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EF0FD" w14:textId="77777777" w:rsidR="00AD7FA3" w:rsidRDefault="00313AE5" w:rsidP="000E213E">
      <w:pPr>
        <w:jc w:val="center"/>
      </w:pPr>
      <w:r>
        <w:t>Algorithm for Filtering Drug-Drug Interaction Alerts for</w:t>
      </w:r>
    </w:p>
    <w:p w14:paraId="642FCAB0" w14:textId="77777777" w:rsidR="00313AE5" w:rsidRDefault="00313AE5" w:rsidP="000E213E">
      <w:pPr>
        <w:jc w:val="center"/>
      </w:pPr>
    </w:p>
    <w:p w14:paraId="187FA54C" w14:textId="77777777" w:rsidR="00313AE5" w:rsidRDefault="00313AE5" w:rsidP="000E213E">
      <w:pPr>
        <w:jc w:val="center"/>
      </w:pPr>
      <w:r>
        <w:t>Warfarin – Non-steroidal Anti-inflammatory Drugs (NSAIDs)</w:t>
      </w:r>
    </w:p>
    <w:p w14:paraId="73F5028A" w14:textId="77777777" w:rsidR="00313AE5" w:rsidRDefault="00313AE5"/>
    <w:p w14:paraId="196F4F3D" w14:textId="77777777" w:rsidR="00313AE5" w:rsidRDefault="00313AE5"/>
    <w:p w14:paraId="5E3F883D" w14:textId="500160A4" w:rsidR="00313AE5" w:rsidRDefault="005730D2" w:rsidP="000E213E">
      <w:pPr>
        <w:jc w:val="center"/>
      </w:pPr>
      <w:r>
        <w:t>Developed by:</w:t>
      </w:r>
    </w:p>
    <w:p w14:paraId="23AD7229" w14:textId="77777777" w:rsidR="005730D2" w:rsidRDefault="005730D2" w:rsidP="000E213E">
      <w:pPr>
        <w:jc w:val="center"/>
      </w:pPr>
    </w:p>
    <w:p w14:paraId="465A6506" w14:textId="4A42FD77" w:rsidR="00313AE5" w:rsidRDefault="005730D2" w:rsidP="000E213E">
      <w:pPr>
        <w:jc w:val="center"/>
      </w:pPr>
      <w:proofErr w:type="spellStart"/>
      <w:r>
        <w:t>Hansten</w:t>
      </w:r>
      <w:proofErr w:type="spellEnd"/>
      <w:r>
        <w:t xml:space="preserve"> P, </w:t>
      </w:r>
      <w:r w:rsidR="00313AE5">
        <w:t>Boyce R, Rosko SC</w:t>
      </w:r>
      <w:proofErr w:type="gramStart"/>
      <w:r w:rsidR="00313AE5">
        <w:t xml:space="preserve">, </w:t>
      </w:r>
      <w:r>
        <w:t>,</w:t>
      </w:r>
      <w:proofErr w:type="gramEnd"/>
      <w:r>
        <w:t xml:space="preserve"> Horn JR, Romero A, Malone DC.</w:t>
      </w:r>
    </w:p>
    <w:p w14:paraId="12B1CE46" w14:textId="77777777" w:rsidR="005730D2" w:rsidRDefault="005730D2" w:rsidP="000E213E">
      <w:pPr>
        <w:jc w:val="center"/>
      </w:pPr>
    </w:p>
    <w:p w14:paraId="07029440" w14:textId="77777777" w:rsidR="005730D2" w:rsidRDefault="005730D2"/>
    <w:p w14:paraId="08FE22CF" w14:textId="77777777" w:rsidR="005730D2" w:rsidRDefault="005730D2"/>
    <w:p w14:paraId="3AB69BAF" w14:textId="77777777" w:rsidR="0097085C" w:rsidRDefault="005730D2" w:rsidP="0097085C">
      <w:pPr>
        <w:pStyle w:val="NormalWeb"/>
        <w:numPr>
          <w:ilvl w:val="0"/>
          <w:numId w:val="3"/>
        </w:numPr>
        <w:spacing w:before="0" w:beforeAutospacing="0" w:after="0" w:afterAutospacing="0"/>
        <w:textAlignment w:val="baseline"/>
        <w:rPr>
          <w:rFonts w:ascii="Arial" w:hAnsi="Arial" w:cs="Arial"/>
          <w:color w:val="000000"/>
          <w:sz w:val="22"/>
          <w:szCs w:val="22"/>
        </w:rPr>
      </w:pPr>
      <w:r>
        <w:t>Select NSAIDs from World Health Organization Anatomical Therapeutic Chemical Classific</w:t>
      </w:r>
      <w:r w:rsidR="00A74D61">
        <w:t>a</w:t>
      </w:r>
      <w:r>
        <w:t>tion codes.</w:t>
      </w:r>
      <w:r w:rsidR="0097085C">
        <w:t xml:space="preserve"> </w:t>
      </w:r>
      <w:r w:rsidR="0097085C">
        <w:rPr>
          <w:rFonts w:ascii="Arial" w:hAnsi="Arial" w:cs="Arial"/>
          <w:color w:val="000000"/>
          <w:sz w:val="22"/>
          <w:szCs w:val="22"/>
        </w:rPr>
        <w:t>Access the WHO website</w:t>
      </w:r>
      <w:r w:rsidR="0097085C">
        <w:rPr>
          <w:rFonts w:ascii="Arial" w:hAnsi="Arial" w:cs="Arial"/>
          <w:b/>
          <w:bCs/>
          <w:color w:val="000000"/>
          <w:sz w:val="22"/>
          <w:szCs w:val="22"/>
        </w:rPr>
        <w:t xml:space="preserve"> (</w:t>
      </w:r>
      <w:hyperlink r:id="rId5" w:history="1">
        <w:r w:rsidR="0097085C">
          <w:rPr>
            <w:rStyle w:val="Hyperlink"/>
            <w:rFonts w:ascii="Arial" w:hAnsi="Arial" w:cs="Arial"/>
            <w:b/>
            <w:bCs/>
            <w:color w:val="1155CC"/>
            <w:sz w:val="22"/>
            <w:szCs w:val="22"/>
          </w:rPr>
          <w:t>http://www.whocc.no/atc_ddd_index/</w:t>
        </w:r>
      </w:hyperlink>
      <w:r w:rsidR="0097085C">
        <w:rPr>
          <w:rFonts w:ascii="Arial" w:hAnsi="Arial" w:cs="Arial"/>
          <w:color w:val="000000"/>
          <w:sz w:val="22"/>
          <w:szCs w:val="22"/>
        </w:rPr>
        <w:t>)</w:t>
      </w:r>
    </w:p>
    <w:p w14:paraId="188A2496" w14:textId="7260E2EC" w:rsidR="005730D2" w:rsidRDefault="005730D2" w:rsidP="0097085C">
      <w:pPr>
        <w:pStyle w:val="ListParagraph"/>
      </w:pPr>
    </w:p>
    <w:p w14:paraId="7B2E1254" w14:textId="77777777" w:rsidR="005730D2" w:rsidRDefault="005730D2" w:rsidP="005730D2"/>
    <w:p w14:paraId="5FACA659" w14:textId="733C6136" w:rsidR="005730D2" w:rsidRDefault="005730D2" w:rsidP="0097085C">
      <w:pPr>
        <w:rPr>
          <w:rFonts w:ascii="Times New Roman" w:eastAsia="Times New Roman" w:hAnsi="Times New Roman" w:cs="Times New Roman"/>
        </w:rPr>
      </w:pPr>
      <w:r>
        <w:t xml:space="preserve">NSAIDs of interest:  ATC Code: M01A  - </w:t>
      </w:r>
      <w:proofErr w:type="spellStart"/>
      <w:r>
        <w:t>Antiinflammatory</w:t>
      </w:r>
      <w:proofErr w:type="spellEnd"/>
      <w:r>
        <w:t xml:space="preserve"> and </w:t>
      </w:r>
      <w:proofErr w:type="spellStart"/>
      <w:r>
        <w:t>Antirheumatic</w:t>
      </w:r>
      <w:proofErr w:type="spellEnd"/>
      <w:r>
        <w:t xml:space="preserve"> Products, Non-Steroids</w:t>
      </w:r>
      <w:r w:rsidR="0097085C">
        <w:t>.</w:t>
      </w:r>
      <w:r w:rsidR="0097085C">
        <w:br/>
      </w:r>
      <w:r w:rsidR="0097085C">
        <w:br/>
      </w:r>
      <w:r w:rsidR="0082618D">
        <w:rPr>
          <w:rFonts w:ascii="Arial" w:eastAsia="Times New Roman" w:hAnsi="Arial" w:cs="Arial"/>
          <w:color w:val="000000"/>
          <w:sz w:val="22"/>
          <w:szCs w:val="22"/>
        </w:rPr>
        <w:t xml:space="preserve">2. </w:t>
      </w:r>
      <w:r w:rsidR="0097085C" w:rsidRPr="0097085C">
        <w:rPr>
          <w:rFonts w:ascii="Arial" w:eastAsia="Times New Roman" w:hAnsi="Arial" w:cs="Arial"/>
          <w:color w:val="000000"/>
          <w:sz w:val="22"/>
          <w:szCs w:val="22"/>
        </w:rPr>
        <w:t>Open Atlas, click on the “Vocabulary” button on the left sidebar, then click on the “Import” tab at the top, then click on “Source Codes” below that. Put the ATC class code into the search box here and hit “Import Source Codes”.</w:t>
      </w:r>
      <w:r w:rsidR="0097085C">
        <w:rPr>
          <w:rFonts w:ascii="Arial" w:eastAsia="Times New Roman" w:hAnsi="Arial" w:cs="Arial"/>
          <w:color w:val="000000"/>
          <w:sz w:val="22"/>
          <w:szCs w:val="22"/>
        </w:rPr>
        <w:br/>
      </w:r>
      <w:r w:rsidR="0097085C">
        <w:rPr>
          <w:rFonts w:ascii="Arial" w:eastAsia="Times New Roman" w:hAnsi="Arial" w:cs="Arial"/>
          <w:color w:val="000000"/>
          <w:sz w:val="22"/>
          <w:szCs w:val="22"/>
        </w:rPr>
        <w:br/>
      </w:r>
      <w:r w:rsidR="0082618D">
        <w:rPr>
          <w:rFonts w:ascii="Arial" w:eastAsia="Times New Roman" w:hAnsi="Arial" w:cs="Arial"/>
          <w:color w:val="000000"/>
          <w:sz w:val="22"/>
          <w:szCs w:val="22"/>
        </w:rPr>
        <w:t xml:space="preserve">3. </w:t>
      </w:r>
      <w:r w:rsidR="0097085C" w:rsidRPr="0097085C">
        <w:rPr>
          <w:rFonts w:ascii="Arial" w:eastAsia="Times New Roman" w:hAnsi="Arial" w:cs="Arial"/>
          <w:color w:val="000000"/>
          <w:sz w:val="22"/>
          <w:szCs w:val="22"/>
        </w:rPr>
        <w:t xml:space="preserve">Click on the name of the ATC class, and you will be taken to the related concepts page. Here, filter the results by click on the categories on the left side. You want to select “Ingredients” under the heading “Class” and “Valid” under the heading “Invalid Reason”. This limits the concept set to the drug ingredients from the ATC class that have an </w:t>
      </w:r>
      <w:proofErr w:type="spellStart"/>
      <w:r w:rsidR="0097085C" w:rsidRPr="0097085C">
        <w:rPr>
          <w:rFonts w:ascii="Arial" w:eastAsia="Times New Roman" w:hAnsi="Arial" w:cs="Arial"/>
          <w:color w:val="000000"/>
          <w:sz w:val="22"/>
          <w:szCs w:val="22"/>
        </w:rPr>
        <w:t>RxNorm</w:t>
      </w:r>
      <w:proofErr w:type="spellEnd"/>
      <w:r w:rsidR="0097085C" w:rsidRPr="0097085C">
        <w:rPr>
          <w:rFonts w:ascii="Arial" w:eastAsia="Times New Roman" w:hAnsi="Arial" w:cs="Arial"/>
          <w:color w:val="000000"/>
          <w:sz w:val="22"/>
          <w:szCs w:val="22"/>
        </w:rPr>
        <w:t xml:space="preserve"> mapping.</w:t>
      </w:r>
    </w:p>
    <w:p w14:paraId="2DF6F4ED" w14:textId="77777777" w:rsidR="0097085C" w:rsidRDefault="0097085C" w:rsidP="0097085C">
      <w:pPr>
        <w:rPr>
          <w:rFonts w:ascii="Times New Roman" w:eastAsia="Times New Roman" w:hAnsi="Times New Roman" w:cs="Times New Roman"/>
        </w:rPr>
      </w:pPr>
    </w:p>
    <w:p w14:paraId="74BD2E81" w14:textId="6E6A4455" w:rsidR="0097085C" w:rsidRPr="0097085C" w:rsidRDefault="0082618D" w:rsidP="0097085C">
      <w:pPr>
        <w:textAlignment w:val="baseline"/>
        <w:rPr>
          <w:rFonts w:ascii="Arial" w:hAnsi="Arial" w:cs="Arial"/>
          <w:color w:val="000000"/>
          <w:sz w:val="22"/>
          <w:szCs w:val="22"/>
        </w:rPr>
      </w:pPr>
      <w:r>
        <w:rPr>
          <w:rFonts w:ascii="Arial" w:hAnsi="Arial" w:cs="Arial"/>
          <w:color w:val="000000"/>
          <w:sz w:val="22"/>
          <w:szCs w:val="22"/>
        </w:rPr>
        <w:t xml:space="preserve">4. </w:t>
      </w:r>
      <w:r w:rsidR="0097085C" w:rsidRPr="0097085C">
        <w:rPr>
          <w:rFonts w:ascii="Arial" w:hAnsi="Arial" w:cs="Arial"/>
          <w:color w:val="000000"/>
          <w:sz w:val="22"/>
          <w:szCs w:val="22"/>
        </w:rPr>
        <w:t xml:space="preserve">Click the shopping cart symbol to add all of these to a new concept set, then navigate to the concept set management page. Do not save your concept set yet. Take the concept codes from this page (NOTE: NOT CONCEPT ID) and access the </w:t>
      </w:r>
      <w:proofErr w:type="spellStart"/>
      <w:r w:rsidR="0097085C" w:rsidRPr="0097085C">
        <w:rPr>
          <w:rFonts w:ascii="Arial" w:hAnsi="Arial" w:cs="Arial"/>
          <w:color w:val="000000"/>
          <w:sz w:val="22"/>
          <w:szCs w:val="22"/>
        </w:rPr>
        <w:t>RxNorm</w:t>
      </w:r>
      <w:proofErr w:type="spellEnd"/>
      <w:r w:rsidR="0097085C" w:rsidRPr="0097085C">
        <w:rPr>
          <w:rFonts w:ascii="Arial" w:hAnsi="Arial" w:cs="Arial"/>
          <w:color w:val="000000"/>
          <w:sz w:val="22"/>
          <w:szCs w:val="22"/>
        </w:rPr>
        <w:t xml:space="preserve"> Currently </w:t>
      </w:r>
      <w:proofErr w:type="spellStart"/>
      <w:r w:rsidR="0097085C" w:rsidRPr="0097085C">
        <w:rPr>
          <w:rFonts w:ascii="Arial" w:hAnsi="Arial" w:cs="Arial"/>
          <w:color w:val="000000"/>
          <w:sz w:val="22"/>
          <w:szCs w:val="22"/>
        </w:rPr>
        <w:t>Prescribable</w:t>
      </w:r>
      <w:proofErr w:type="spellEnd"/>
      <w:r w:rsidR="0097085C" w:rsidRPr="0097085C">
        <w:rPr>
          <w:rFonts w:ascii="Arial" w:hAnsi="Arial" w:cs="Arial"/>
          <w:color w:val="000000"/>
          <w:sz w:val="22"/>
          <w:szCs w:val="22"/>
        </w:rPr>
        <w:t xml:space="preserve"> Content Subset (CPCS), which is loaded into MySQL. Use these RXCUIs to search the </w:t>
      </w:r>
      <w:proofErr w:type="spellStart"/>
      <w:r w:rsidR="0097085C" w:rsidRPr="0097085C">
        <w:rPr>
          <w:rFonts w:ascii="Arial" w:hAnsi="Arial" w:cs="Arial"/>
          <w:color w:val="000000"/>
          <w:sz w:val="22"/>
          <w:szCs w:val="22"/>
        </w:rPr>
        <w:t>RxNORM</w:t>
      </w:r>
      <w:proofErr w:type="spellEnd"/>
      <w:r w:rsidR="0097085C" w:rsidRPr="0097085C">
        <w:rPr>
          <w:rFonts w:ascii="Arial" w:hAnsi="Arial" w:cs="Arial"/>
          <w:color w:val="000000"/>
          <w:sz w:val="22"/>
          <w:szCs w:val="22"/>
        </w:rPr>
        <w:t xml:space="preserve"> CPCS and find which drugs are still on the market.</w:t>
      </w:r>
    </w:p>
    <w:p w14:paraId="18ADF3FE" w14:textId="77777777" w:rsidR="0097085C" w:rsidRPr="0097085C" w:rsidRDefault="0097085C" w:rsidP="0097085C">
      <w:pPr>
        <w:rPr>
          <w:rFonts w:ascii="Times New Roman" w:eastAsia="Times New Roman" w:hAnsi="Times New Roman" w:cs="Times New Roman"/>
        </w:rPr>
      </w:pPr>
    </w:p>
    <w:p w14:paraId="1EA143C5" w14:textId="035A08A5" w:rsidR="0097085C" w:rsidRPr="0097085C" w:rsidRDefault="0097085C" w:rsidP="0097085C">
      <w:pPr>
        <w:textAlignment w:val="baseline"/>
        <w:rPr>
          <w:rFonts w:ascii="Arial" w:hAnsi="Arial" w:cs="Arial"/>
          <w:color w:val="000000"/>
          <w:sz w:val="22"/>
          <w:szCs w:val="22"/>
        </w:rPr>
      </w:pPr>
      <w:r w:rsidRPr="0097085C">
        <w:rPr>
          <w:rFonts w:ascii="Arial" w:hAnsi="Arial" w:cs="Arial"/>
          <w:color w:val="000000"/>
          <w:sz w:val="22"/>
          <w:szCs w:val="22"/>
        </w:rPr>
        <w:t>Here is a macro for Excel/Google Sheets to flip your list of CUIs and create a single comma-delimited string</w:t>
      </w:r>
      <w:r>
        <w:rPr>
          <w:rFonts w:ascii="Arial" w:hAnsi="Arial" w:cs="Arial"/>
          <w:color w:val="000000"/>
          <w:sz w:val="22"/>
          <w:szCs w:val="22"/>
        </w:rPr>
        <w:t xml:space="preserve">: </w:t>
      </w:r>
      <w:r w:rsidRPr="0097085C">
        <w:rPr>
          <w:rFonts w:ascii="Verdana" w:hAnsi="Verdana" w:cs="Arial"/>
          <w:color w:val="000000"/>
          <w:sz w:val="21"/>
          <w:szCs w:val="21"/>
          <w:shd w:val="clear" w:color="auto" w:fill="FFFFFF"/>
        </w:rPr>
        <w:t>=</w:t>
      </w:r>
      <w:proofErr w:type="spellStart"/>
      <w:r w:rsidRPr="0097085C">
        <w:rPr>
          <w:rFonts w:ascii="Verdana" w:hAnsi="Verdana" w:cs="Arial"/>
          <w:color w:val="000000"/>
          <w:sz w:val="21"/>
          <w:szCs w:val="21"/>
          <w:shd w:val="clear" w:color="auto" w:fill="FFFFFF"/>
        </w:rPr>
        <w:t>arrayformula</w:t>
      </w:r>
      <w:proofErr w:type="spellEnd"/>
      <w:r w:rsidRPr="0097085C">
        <w:rPr>
          <w:rFonts w:ascii="Verdana" w:hAnsi="Verdana" w:cs="Arial"/>
          <w:color w:val="000000"/>
          <w:sz w:val="21"/>
          <w:szCs w:val="21"/>
          <w:shd w:val="clear" w:color="auto" w:fill="FFFFFF"/>
        </w:rPr>
        <w:t>(concatenate(</w:t>
      </w:r>
      <w:proofErr w:type="gramStart"/>
      <w:r w:rsidRPr="0097085C">
        <w:rPr>
          <w:rFonts w:ascii="Verdana" w:hAnsi="Verdana" w:cs="Arial"/>
          <w:color w:val="000000"/>
          <w:sz w:val="21"/>
          <w:szCs w:val="21"/>
          <w:shd w:val="clear" w:color="auto" w:fill="FFFFFF"/>
        </w:rPr>
        <w:t>filter(</w:t>
      </w:r>
      <w:proofErr w:type="gramEnd"/>
      <w:r w:rsidRPr="0097085C">
        <w:rPr>
          <w:rFonts w:ascii="Verdana" w:hAnsi="Verdana" w:cs="Arial"/>
          <w:color w:val="F7981D"/>
          <w:sz w:val="21"/>
          <w:szCs w:val="21"/>
          <w:shd w:val="clear" w:color="auto" w:fill="FFFFFF"/>
        </w:rPr>
        <w:t>A2:A45</w:t>
      </w:r>
      <w:r w:rsidRPr="0097085C">
        <w:rPr>
          <w:rFonts w:ascii="Verdana" w:hAnsi="Verdana" w:cs="Arial"/>
          <w:color w:val="000000"/>
          <w:sz w:val="21"/>
          <w:szCs w:val="21"/>
          <w:shd w:val="clear" w:color="auto" w:fill="FFFFFF"/>
        </w:rPr>
        <w:t>,</w:t>
      </w:r>
      <w:r w:rsidRPr="0097085C">
        <w:rPr>
          <w:rFonts w:ascii="Verdana" w:hAnsi="Verdana" w:cs="Arial"/>
          <w:color w:val="F7981D"/>
          <w:sz w:val="21"/>
          <w:szCs w:val="21"/>
          <w:shd w:val="clear" w:color="auto" w:fill="FFFFFF"/>
        </w:rPr>
        <w:t>A2:A45</w:t>
      </w:r>
      <w:r w:rsidRPr="0097085C">
        <w:rPr>
          <w:rFonts w:ascii="Verdana" w:hAnsi="Verdana" w:cs="Arial"/>
          <w:color w:val="000000"/>
          <w:sz w:val="21"/>
          <w:szCs w:val="21"/>
          <w:shd w:val="clear" w:color="auto" w:fill="FFFFFF"/>
        </w:rPr>
        <w:t>&lt;&gt;</w:t>
      </w:r>
      <w:r w:rsidRPr="0097085C">
        <w:rPr>
          <w:rFonts w:ascii="Verdana" w:hAnsi="Verdana" w:cs="Arial"/>
          <w:color w:val="008000"/>
          <w:sz w:val="21"/>
          <w:szCs w:val="21"/>
          <w:shd w:val="clear" w:color="auto" w:fill="FFFFFF"/>
        </w:rPr>
        <w:t>""</w:t>
      </w:r>
      <w:r w:rsidRPr="0097085C">
        <w:rPr>
          <w:rFonts w:ascii="Verdana" w:hAnsi="Verdana" w:cs="Arial"/>
          <w:color w:val="000000"/>
          <w:sz w:val="21"/>
          <w:szCs w:val="21"/>
          <w:shd w:val="clear" w:color="auto" w:fill="FFFFFF"/>
        </w:rPr>
        <w:t>)&amp;</w:t>
      </w:r>
      <w:r w:rsidRPr="0097085C">
        <w:rPr>
          <w:rFonts w:ascii="Verdana" w:hAnsi="Verdana" w:cs="Arial"/>
          <w:color w:val="008000"/>
          <w:sz w:val="21"/>
          <w:szCs w:val="21"/>
          <w:shd w:val="clear" w:color="auto" w:fill="FFFFFF"/>
        </w:rPr>
        <w:t>"', '"</w:t>
      </w:r>
      <w:r w:rsidRPr="0097085C">
        <w:rPr>
          <w:rFonts w:ascii="Verdana" w:hAnsi="Verdana" w:cs="Arial"/>
          <w:color w:val="000000"/>
          <w:sz w:val="21"/>
          <w:szCs w:val="21"/>
          <w:shd w:val="clear" w:color="auto" w:fill="FFFFFF"/>
        </w:rPr>
        <w:t>))</w:t>
      </w:r>
    </w:p>
    <w:p w14:paraId="2BB1A65F" w14:textId="77777777" w:rsidR="0097085C" w:rsidRPr="0097085C" w:rsidRDefault="0097085C" w:rsidP="0097085C">
      <w:pPr>
        <w:rPr>
          <w:rFonts w:ascii="Times New Roman" w:eastAsia="Times New Roman" w:hAnsi="Times New Roman" w:cs="Times New Roman"/>
        </w:rPr>
      </w:pPr>
    </w:p>
    <w:p w14:paraId="59486121" w14:textId="1E62A61A" w:rsidR="0097085C" w:rsidRPr="0097085C" w:rsidRDefault="0082618D" w:rsidP="0097085C">
      <w:pPr>
        <w:textAlignment w:val="baseline"/>
        <w:rPr>
          <w:rFonts w:ascii="Arial" w:hAnsi="Arial" w:cs="Arial"/>
          <w:color w:val="000000"/>
          <w:sz w:val="22"/>
          <w:szCs w:val="22"/>
        </w:rPr>
      </w:pPr>
      <w:r>
        <w:rPr>
          <w:rFonts w:ascii="Arial" w:hAnsi="Arial" w:cs="Arial"/>
          <w:color w:val="000000"/>
          <w:sz w:val="22"/>
          <w:szCs w:val="22"/>
        </w:rPr>
        <w:t xml:space="preserve">Use the following </w:t>
      </w:r>
      <w:r w:rsidR="0097085C" w:rsidRPr="0097085C">
        <w:rPr>
          <w:rFonts w:ascii="Arial" w:hAnsi="Arial" w:cs="Arial"/>
          <w:color w:val="000000"/>
          <w:sz w:val="22"/>
          <w:szCs w:val="22"/>
        </w:rPr>
        <w:t xml:space="preserve">query </w:t>
      </w:r>
      <w:r>
        <w:rPr>
          <w:rFonts w:ascii="Arial" w:hAnsi="Arial" w:cs="Arial"/>
          <w:color w:val="000000"/>
          <w:sz w:val="22"/>
          <w:szCs w:val="22"/>
        </w:rPr>
        <w:t xml:space="preserve">for </w:t>
      </w:r>
      <w:proofErr w:type="spellStart"/>
      <w:r>
        <w:rPr>
          <w:rFonts w:ascii="Arial" w:hAnsi="Arial" w:cs="Arial"/>
          <w:color w:val="000000"/>
          <w:sz w:val="22"/>
          <w:szCs w:val="22"/>
        </w:rPr>
        <w:t>RxNorm</w:t>
      </w:r>
      <w:proofErr w:type="spellEnd"/>
      <w:r>
        <w:rPr>
          <w:rFonts w:ascii="Arial" w:hAnsi="Arial" w:cs="Arial"/>
          <w:color w:val="000000"/>
          <w:sz w:val="22"/>
          <w:szCs w:val="22"/>
        </w:rPr>
        <w:t xml:space="preserve"> CPCS</w:t>
      </w:r>
      <w:r w:rsidR="0097085C" w:rsidRPr="0097085C">
        <w:rPr>
          <w:rFonts w:ascii="Arial" w:hAnsi="Arial" w:cs="Arial"/>
          <w:color w:val="000000"/>
          <w:sz w:val="22"/>
          <w:szCs w:val="22"/>
        </w:rPr>
        <w:t>:</w:t>
      </w:r>
    </w:p>
    <w:p w14:paraId="300A4562" w14:textId="77777777" w:rsidR="0097085C" w:rsidRDefault="0097085C" w:rsidP="0097085C">
      <w:pPr>
        <w:textAlignment w:val="baseline"/>
        <w:rPr>
          <w:rFonts w:ascii="Arial" w:hAnsi="Arial" w:cs="Arial"/>
          <w:color w:val="000000"/>
          <w:sz w:val="22"/>
          <w:szCs w:val="22"/>
        </w:rPr>
      </w:pPr>
    </w:p>
    <w:p w14:paraId="48C307EE" w14:textId="77777777" w:rsidR="0097085C" w:rsidRPr="0097085C" w:rsidRDefault="0097085C" w:rsidP="0097085C">
      <w:pPr>
        <w:textAlignment w:val="baseline"/>
        <w:rPr>
          <w:rFonts w:ascii="Arial" w:hAnsi="Arial" w:cs="Arial"/>
          <w:color w:val="000000"/>
          <w:sz w:val="22"/>
          <w:szCs w:val="22"/>
        </w:rPr>
      </w:pPr>
      <w:r w:rsidRPr="0097085C">
        <w:rPr>
          <w:rFonts w:ascii="Arial" w:hAnsi="Arial" w:cs="Arial"/>
          <w:color w:val="000000"/>
          <w:sz w:val="22"/>
          <w:szCs w:val="22"/>
        </w:rPr>
        <w:t xml:space="preserve">SELECT RXCUI FROM </w:t>
      </w:r>
      <w:proofErr w:type="spellStart"/>
      <w:r w:rsidRPr="0097085C">
        <w:rPr>
          <w:rFonts w:ascii="Arial" w:hAnsi="Arial" w:cs="Arial"/>
          <w:color w:val="000000"/>
          <w:sz w:val="22"/>
          <w:szCs w:val="22"/>
        </w:rPr>
        <w:t>rxnorm_cpcs.RXNCONSO</w:t>
      </w:r>
      <w:proofErr w:type="spellEnd"/>
      <w:r w:rsidRPr="0097085C">
        <w:rPr>
          <w:rFonts w:ascii="Arial" w:hAnsi="Arial" w:cs="Arial"/>
          <w:color w:val="000000"/>
          <w:sz w:val="22"/>
          <w:szCs w:val="22"/>
        </w:rPr>
        <w:t xml:space="preserve"> </w:t>
      </w:r>
      <w:r w:rsidRPr="0097085C">
        <w:rPr>
          <w:rFonts w:ascii="Arial" w:hAnsi="Arial" w:cs="Arial"/>
          <w:color w:val="000000"/>
          <w:sz w:val="22"/>
          <w:szCs w:val="22"/>
        </w:rPr>
        <w:br/>
        <w:t>WHERE SAB = 'RXNORM' and RXCUI IN (</w:t>
      </w:r>
      <w:r w:rsidRPr="0097085C">
        <w:rPr>
          <w:rFonts w:ascii="Arial" w:hAnsi="Arial" w:cs="Arial"/>
          <w:b/>
          <w:bCs/>
          <w:color w:val="000000"/>
          <w:sz w:val="22"/>
          <w:szCs w:val="22"/>
        </w:rPr>
        <w:t>COMMA DELIMITED LIST GOES HERE</w:t>
      </w:r>
      <w:r w:rsidRPr="0097085C">
        <w:rPr>
          <w:rFonts w:ascii="Arial" w:hAnsi="Arial" w:cs="Arial"/>
          <w:color w:val="000000"/>
          <w:sz w:val="22"/>
          <w:szCs w:val="22"/>
        </w:rPr>
        <w:t>)</w:t>
      </w:r>
      <w:r w:rsidRPr="0097085C">
        <w:rPr>
          <w:rFonts w:ascii="Arial" w:hAnsi="Arial" w:cs="Arial"/>
          <w:color w:val="000000"/>
          <w:sz w:val="22"/>
          <w:szCs w:val="22"/>
        </w:rPr>
        <w:br/>
        <w:t>ORDER BY STR</w:t>
      </w:r>
      <w:r w:rsidRPr="0097085C">
        <w:rPr>
          <w:rFonts w:ascii="Arial" w:hAnsi="Arial" w:cs="Arial"/>
          <w:color w:val="000000"/>
          <w:sz w:val="22"/>
          <w:szCs w:val="22"/>
        </w:rPr>
        <w:br/>
        <w:t>;</w:t>
      </w:r>
    </w:p>
    <w:p w14:paraId="761F04EE" w14:textId="77777777" w:rsidR="0097085C" w:rsidRPr="0097085C" w:rsidRDefault="0097085C" w:rsidP="0097085C">
      <w:pPr>
        <w:rPr>
          <w:rFonts w:ascii="Times New Roman" w:eastAsia="Times New Roman" w:hAnsi="Times New Roman" w:cs="Times New Roman"/>
        </w:rPr>
      </w:pPr>
    </w:p>
    <w:p w14:paraId="4F4C9320" w14:textId="77777777" w:rsidR="00446BED" w:rsidRPr="00446BED" w:rsidRDefault="0082618D" w:rsidP="00446BED">
      <w:pPr>
        <w:rPr>
          <w:rFonts w:ascii="Times New Roman" w:eastAsia="Times New Roman" w:hAnsi="Times New Roman" w:cs="Times New Roman"/>
        </w:rPr>
      </w:pPr>
      <w:r>
        <w:t xml:space="preserve">5.  </w:t>
      </w:r>
      <w:r w:rsidR="00446BED" w:rsidRPr="00446BED">
        <w:rPr>
          <w:rFonts w:ascii="Arial" w:eastAsia="Times New Roman" w:hAnsi="Arial" w:cs="Arial"/>
          <w:color w:val="000000"/>
          <w:sz w:val="22"/>
          <w:szCs w:val="22"/>
        </w:rPr>
        <w:t xml:space="preserve">Go back to Atlas. Clear the concept set that you have in your cart. Click on “Vocabulary” on the left sidebar again, then click the “Import” tab, followed by the “Source Codes” tab. Here, paste the </w:t>
      </w:r>
      <w:proofErr w:type="spellStart"/>
      <w:r w:rsidR="00446BED" w:rsidRPr="00446BED">
        <w:rPr>
          <w:rFonts w:ascii="Arial" w:eastAsia="Times New Roman" w:hAnsi="Arial" w:cs="Arial"/>
          <w:color w:val="000000"/>
          <w:sz w:val="22"/>
          <w:szCs w:val="22"/>
        </w:rPr>
        <w:t>RxCUIs</w:t>
      </w:r>
      <w:proofErr w:type="spellEnd"/>
      <w:r w:rsidR="00446BED" w:rsidRPr="00446BED">
        <w:rPr>
          <w:rFonts w:ascii="Arial" w:eastAsia="Times New Roman" w:hAnsi="Arial" w:cs="Arial"/>
          <w:color w:val="000000"/>
          <w:sz w:val="22"/>
          <w:szCs w:val="22"/>
        </w:rPr>
        <w:t xml:space="preserve"> that you got from the </w:t>
      </w:r>
      <w:proofErr w:type="spellStart"/>
      <w:r w:rsidR="00446BED" w:rsidRPr="00446BED">
        <w:rPr>
          <w:rFonts w:ascii="Arial" w:eastAsia="Times New Roman" w:hAnsi="Arial" w:cs="Arial"/>
          <w:color w:val="000000"/>
          <w:sz w:val="22"/>
          <w:szCs w:val="22"/>
        </w:rPr>
        <w:t>RxNorm</w:t>
      </w:r>
      <w:proofErr w:type="spellEnd"/>
      <w:r w:rsidR="00446BED" w:rsidRPr="00446BED">
        <w:rPr>
          <w:rFonts w:ascii="Arial" w:eastAsia="Times New Roman" w:hAnsi="Arial" w:cs="Arial"/>
          <w:color w:val="000000"/>
          <w:sz w:val="22"/>
          <w:szCs w:val="22"/>
        </w:rPr>
        <w:t xml:space="preserve"> database. Delimiters do not matter. Once you hit import, all of these </w:t>
      </w:r>
      <w:proofErr w:type="spellStart"/>
      <w:r w:rsidR="00446BED" w:rsidRPr="00446BED">
        <w:rPr>
          <w:rFonts w:ascii="Arial" w:eastAsia="Times New Roman" w:hAnsi="Arial" w:cs="Arial"/>
          <w:color w:val="000000"/>
          <w:sz w:val="22"/>
          <w:szCs w:val="22"/>
        </w:rPr>
        <w:t>RxCUIs</w:t>
      </w:r>
      <w:proofErr w:type="spellEnd"/>
      <w:r w:rsidR="00446BED" w:rsidRPr="00446BED">
        <w:rPr>
          <w:rFonts w:ascii="Arial" w:eastAsia="Times New Roman" w:hAnsi="Arial" w:cs="Arial"/>
          <w:color w:val="000000"/>
          <w:sz w:val="22"/>
          <w:szCs w:val="22"/>
        </w:rPr>
        <w:t xml:space="preserve"> will be re-added to the concept set. </w:t>
      </w:r>
    </w:p>
    <w:p w14:paraId="39262A6C" w14:textId="77777777" w:rsidR="00446BED" w:rsidRDefault="00446BED" w:rsidP="0082618D"/>
    <w:p w14:paraId="2213D5CE" w14:textId="77777777" w:rsidR="00446BED" w:rsidRDefault="00446BED" w:rsidP="0082618D"/>
    <w:p w14:paraId="6DFE0F2F" w14:textId="77777777" w:rsidR="00446BED" w:rsidRDefault="00446BED" w:rsidP="0082618D"/>
    <w:p w14:paraId="6C7AAAD1" w14:textId="12A96421" w:rsidR="00446BED" w:rsidRDefault="00446BED" w:rsidP="00446BED">
      <w:pPr>
        <w:pStyle w:val="NormalWeb"/>
        <w:spacing w:before="0" w:beforeAutospacing="0" w:after="0" w:afterAutospacing="0"/>
        <w:textAlignment w:val="baseline"/>
        <w:rPr>
          <w:rFonts w:ascii="Arial" w:hAnsi="Arial" w:cs="Arial"/>
          <w:color w:val="000000"/>
          <w:sz w:val="22"/>
          <w:szCs w:val="22"/>
        </w:rPr>
      </w:pPr>
      <w:r>
        <w:t xml:space="preserve">6. </w:t>
      </w:r>
      <w:r>
        <w:rPr>
          <w:rFonts w:ascii="Arial" w:hAnsi="Arial" w:cs="Arial"/>
          <w:color w:val="000000"/>
          <w:sz w:val="22"/>
          <w:szCs w:val="22"/>
        </w:rPr>
        <w:t>Navigate to the concept set page. Exclude the following products:</w:t>
      </w:r>
    </w:p>
    <w:p w14:paraId="4170779C" w14:textId="77777777" w:rsidR="00446BED" w:rsidRDefault="00446BED" w:rsidP="00446BED">
      <w:pPr>
        <w:pStyle w:val="NormalWeb"/>
        <w:spacing w:before="0" w:beforeAutospacing="0" w:after="0" w:afterAutospacing="0"/>
        <w:textAlignment w:val="baseline"/>
        <w:rPr>
          <w:rFonts w:ascii="Arial" w:hAnsi="Arial" w:cs="Arial"/>
          <w:color w:val="000000"/>
          <w:sz w:val="22"/>
          <w:szCs w:val="22"/>
        </w:rPr>
      </w:pPr>
    </w:p>
    <w:p w14:paraId="6CA3A6AD" w14:textId="34F3CFEC" w:rsidR="00111BE7" w:rsidRDefault="00111BE7" w:rsidP="00446BED">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phenylbutazone</w:t>
      </w:r>
      <w:proofErr w:type="spellEnd"/>
    </w:p>
    <w:p w14:paraId="5D3E2A90" w14:textId="77777777" w:rsidR="00111BE7" w:rsidRDefault="00111BE7" w:rsidP="00446BED">
      <w:pPr>
        <w:pStyle w:val="NormalWeb"/>
        <w:spacing w:before="0" w:beforeAutospacing="0" w:after="0" w:afterAutospacing="0"/>
        <w:textAlignment w:val="baseline"/>
        <w:rPr>
          <w:rFonts w:ascii="Arial" w:hAnsi="Arial" w:cs="Arial"/>
          <w:color w:val="000000"/>
          <w:sz w:val="22"/>
          <w:szCs w:val="22"/>
        </w:rPr>
      </w:pPr>
    </w:p>
    <w:p w14:paraId="37847E6D" w14:textId="77777777" w:rsidR="00111BE7" w:rsidRDefault="00111BE7" w:rsidP="00111BE7">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7. Enter a title at the top left, then save at the top right. Naming conventions: Use the class name or ingredient name, always keep the name plural for consistency’s sake, and if it is an ingredient set, add ingredients to the end of it.</w:t>
      </w:r>
    </w:p>
    <w:p w14:paraId="70F2DD75" w14:textId="77777777" w:rsidR="00111BE7" w:rsidRDefault="00111BE7" w:rsidP="00111BE7">
      <w:pPr>
        <w:pStyle w:val="NormalWeb"/>
        <w:spacing w:before="0" w:beforeAutospacing="0" w:after="0" w:afterAutospacing="0"/>
        <w:textAlignment w:val="baseline"/>
        <w:rPr>
          <w:rFonts w:ascii="Arial" w:hAnsi="Arial" w:cs="Arial"/>
          <w:color w:val="000000"/>
          <w:sz w:val="22"/>
          <w:szCs w:val="22"/>
        </w:rPr>
      </w:pPr>
    </w:p>
    <w:p w14:paraId="4B7214BA" w14:textId="10A45749" w:rsidR="00111BE7" w:rsidRPr="00111BE7" w:rsidRDefault="00111BE7" w:rsidP="00111BE7">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8. </w:t>
      </w:r>
      <w:r w:rsidRPr="00111BE7">
        <w:rPr>
          <w:rFonts w:ascii="Arial" w:hAnsi="Arial" w:cs="Arial"/>
          <w:color w:val="000000"/>
          <w:sz w:val="22"/>
          <w:szCs w:val="22"/>
        </w:rPr>
        <w:t xml:space="preserve">Return to </w:t>
      </w:r>
      <w:proofErr w:type="spellStart"/>
      <w:r w:rsidRPr="00111BE7">
        <w:rPr>
          <w:rFonts w:ascii="Arial" w:hAnsi="Arial" w:cs="Arial"/>
          <w:color w:val="000000"/>
          <w:sz w:val="22"/>
          <w:szCs w:val="22"/>
        </w:rPr>
        <w:t>RxNORM</w:t>
      </w:r>
      <w:proofErr w:type="spellEnd"/>
      <w:r w:rsidRPr="00111BE7">
        <w:rPr>
          <w:rFonts w:ascii="Arial" w:hAnsi="Arial" w:cs="Arial"/>
          <w:color w:val="000000"/>
          <w:sz w:val="22"/>
          <w:szCs w:val="22"/>
        </w:rPr>
        <w:t xml:space="preserve"> CPCS and use the following query to find the clinical drugs for your drug ingredient concept set</w:t>
      </w:r>
      <w:r>
        <w:rPr>
          <w:rFonts w:ascii="Arial" w:hAnsi="Arial" w:cs="Arial"/>
          <w:color w:val="000000"/>
          <w:sz w:val="22"/>
          <w:szCs w:val="22"/>
        </w:rPr>
        <w:t>:</w:t>
      </w:r>
    </w:p>
    <w:p w14:paraId="7291FF34" w14:textId="77777777" w:rsidR="00111BE7" w:rsidRPr="00111BE7" w:rsidRDefault="00111BE7" w:rsidP="00111BE7">
      <w:pPr>
        <w:rPr>
          <w:rFonts w:ascii="Times New Roman" w:eastAsia="Times New Roman" w:hAnsi="Times New Roman" w:cs="Times New Roman"/>
        </w:rPr>
      </w:pPr>
    </w:p>
    <w:p w14:paraId="65F873B6" w14:textId="2A8F4264" w:rsidR="00111BE7" w:rsidRPr="00111BE7" w:rsidRDefault="00111BE7" w:rsidP="00111BE7">
      <w:pPr>
        <w:rPr>
          <w:rFonts w:ascii="Times New Roman" w:hAnsi="Times New Roman" w:cs="Times New Roman"/>
        </w:rPr>
      </w:pPr>
      <w:r w:rsidRPr="00111BE7">
        <w:rPr>
          <w:rFonts w:ascii="Arial" w:hAnsi="Arial" w:cs="Arial"/>
          <w:color w:val="000000"/>
          <w:sz w:val="22"/>
          <w:szCs w:val="22"/>
        </w:rPr>
        <w:t xml:space="preserve">SELECT </w:t>
      </w:r>
      <w:proofErr w:type="gramStart"/>
      <w:r w:rsidRPr="00111BE7">
        <w:rPr>
          <w:rFonts w:ascii="Arial" w:hAnsi="Arial" w:cs="Arial"/>
          <w:color w:val="000000"/>
          <w:sz w:val="22"/>
          <w:szCs w:val="22"/>
        </w:rPr>
        <w:t>RXCUI,STR</w:t>
      </w:r>
      <w:proofErr w:type="gramEnd"/>
      <w:r w:rsidRPr="00111BE7">
        <w:rPr>
          <w:rFonts w:ascii="Arial" w:hAnsi="Arial" w:cs="Arial"/>
          <w:color w:val="000000"/>
          <w:sz w:val="22"/>
          <w:szCs w:val="22"/>
        </w:rPr>
        <w:t xml:space="preserve"> FROM </w:t>
      </w:r>
      <w:proofErr w:type="spellStart"/>
      <w:r w:rsidRPr="00111BE7">
        <w:rPr>
          <w:rFonts w:ascii="Arial" w:hAnsi="Arial" w:cs="Arial"/>
          <w:color w:val="000000"/>
          <w:sz w:val="22"/>
          <w:szCs w:val="22"/>
        </w:rPr>
        <w:t>rxnorm_cpcs.RXNCONSO</w:t>
      </w:r>
      <w:proofErr w:type="spellEnd"/>
    </w:p>
    <w:p w14:paraId="077BF6D8" w14:textId="77777777" w:rsidR="00111BE7" w:rsidRPr="00111BE7" w:rsidRDefault="00111BE7" w:rsidP="00111BE7">
      <w:pPr>
        <w:ind w:left="720"/>
        <w:rPr>
          <w:rFonts w:ascii="Times New Roman" w:hAnsi="Times New Roman" w:cs="Times New Roman"/>
        </w:rPr>
      </w:pPr>
      <w:r w:rsidRPr="00111BE7">
        <w:rPr>
          <w:rFonts w:ascii="Arial" w:hAnsi="Arial" w:cs="Arial"/>
          <w:color w:val="000000"/>
          <w:sz w:val="22"/>
          <w:szCs w:val="22"/>
        </w:rPr>
        <w:t xml:space="preserve">WHERE TTY = 'SCD' and RXCUI in </w:t>
      </w:r>
    </w:p>
    <w:p w14:paraId="39B97B42" w14:textId="225523EB" w:rsidR="00111BE7" w:rsidRPr="00111BE7" w:rsidRDefault="00111BE7" w:rsidP="00111BE7">
      <w:pPr>
        <w:rPr>
          <w:rFonts w:ascii="Times New Roman" w:hAnsi="Times New Roman" w:cs="Times New Roman"/>
        </w:rPr>
      </w:pPr>
      <w:r w:rsidRPr="00111BE7">
        <w:rPr>
          <w:rFonts w:ascii="Arial" w:hAnsi="Arial" w:cs="Arial"/>
          <w:color w:val="000000"/>
          <w:sz w:val="22"/>
          <w:szCs w:val="22"/>
        </w:rPr>
        <w:t xml:space="preserve">(SELECT RXCUI2 FROM </w:t>
      </w:r>
      <w:proofErr w:type="spellStart"/>
      <w:r w:rsidRPr="00111BE7">
        <w:rPr>
          <w:rFonts w:ascii="Arial" w:hAnsi="Arial" w:cs="Arial"/>
          <w:color w:val="000000"/>
          <w:sz w:val="22"/>
          <w:szCs w:val="22"/>
        </w:rPr>
        <w:t>rxnorm_</w:t>
      </w:r>
      <w:proofErr w:type="gramStart"/>
      <w:r w:rsidRPr="00111BE7">
        <w:rPr>
          <w:rFonts w:ascii="Arial" w:hAnsi="Arial" w:cs="Arial"/>
          <w:color w:val="000000"/>
          <w:sz w:val="22"/>
          <w:szCs w:val="22"/>
        </w:rPr>
        <w:t>cpcs.RXNREL</w:t>
      </w:r>
      <w:proofErr w:type="spellEnd"/>
      <w:proofErr w:type="gramEnd"/>
    </w:p>
    <w:p w14:paraId="1BBA750F" w14:textId="6353CF1F" w:rsidR="00111BE7" w:rsidRPr="00111BE7" w:rsidRDefault="00111BE7" w:rsidP="00111BE7">
      <w:pPr>
        <w:rPr>
          <w:rFonts w:ascii="Times New Roman" w:hAnsi="Times New Roman" w:cs="Times New Roman"/>
        </w:rPr>
      </w:pPr>
      <w:r w:rsidRPr="00111BE7">
        <w:rPr>
          <w:rFonts w:ascii="Arial" w:hAnsi="Arial" w:cs="Arial"/>
          <w:color w:val="000000"/>
          <w:sz w:val="22"/>
          <w:szCs w:val="22"/>
        </w:rPr>
        <w:t>WHERE RELA = '</w:t>
      </w:r>
      <w:proofErr w:type="spellStart"/>
      <w:r w:rsidRPr="00111BE7">
        <w:rPr>
          <w:rFonts w:ascii="Arial" w:hAnsi="Arial" w:cs="Arial"/>
          <w:color w:val="000000"/>
          <w:sz w:val="22"/>
          <w:szCs w:val="22"/>
        </w:rPr>
        <w:t>consists_of</w:t>
      </w:r>
      <w:proofErr w:type="spellEnd"/>
      <w:r w:rsidRPr="00111BE7">
        <w:rPr>
          <w:rFonts w:ascii="Arial" w:hAnsi="Arial" w:cs="Arial"/>
          <w:color w:val="000000"/>
          <w:sz w:val="22"/>
          <w:szCs w:val="22"/>
        </w:rPr>
        <w:t>' and RXCUI1 in</w:t>
      </w:r>
    </w:p>
    <w:p w14:paraId="5B29915F" w14:textId="58369CFE" w:rsidR="00111BE7" w:rsidRPr="00111BE7" w:rsidRDefault="00111BE7" w:rsidP="00111BE7">
      <w:pPr>
        <w:ind w:left="720"/>
        <w:rPr>
          <w:rFonts w:ascii="Times New Roman" w:hAnsi="Times New Roman" w:cs="Times New Roman"/>
        </w:rPr>
      </w:pPr>
      <w:r w:rsidRPr="00111BE7">
        <w:rPr>
          <w:rFonts w:ascii="Arial" w:hAnsi="Arial" w:cs="Arial"/>
          <w:color w:val="000000"/>
          <w:sz w:val="22"/>
          <w:szCs w:val="22"/>
        </w:rPr>
        <w:t xml:space="preserve">(SELECT RXCUI2 FROM </w:t>
      </w:r>
      <w:proofErr w:type="spellStart"/>
      <w:r w:rsidRPr="00111BE7">
        <w:rPr>
          <w:rFonts w:ascii="Arial" w:hAnsi="Arial" w:cs="Arial"/>
          <w:color w:val="000000"/>
          <w:sz w:val="22"/>
          <w:szCs w:val="22"/>
        </w:rPr>
        <w:t>rxnorm_</w:t>
      </w:r>
      <w:proofErr w:type="gramStart"/>
      <w:r w:rsidRPr="00111BE7">
        <w:rPr>
          <w:rFonts w:ascii="Arial" w:hAnsi="Arial" w:cs="Arial"/>
          <w:color w:val="000000"/>
          <w:sz w:val="22"/>
          <w:szCs w:val="22"/>
        </w:rPr>
        <w:t>cpcs.RXNREL</w:t>
      </w:r>
      <w:proofErr w:type="spellEnd"/>
      <w:proofErr w:type="gramEnd"/>
    </w:p>
    <w:p w14:paraId="64BAC9F1" w14:textId="77777777" w:rsidR="00111BE7" w:rsidRPr="00111BE7" w:rsidRDefault="00111BE7" w:rsidP="00111BE7">
      <w:pPr>
        <w:ind w:left="2160"/>
        <w:rPr>
          <w:rFonts w:ascii="Times New Roman" w:hAnsi="Times New Roman" w:cs="Times New Roman"/>
        </w:rPr>
      </w:pPr>
      <w:r w:rsidRPr="00111BE7">
        <w:rPr>
          <w:rFonts w:ascii="Arial" w:hAnsi="Arial" w:cs="Arial"/>
          <w:color w:val="000000"/>
          <w:sz w:val="22"/>
          <w:szCs w:val="22"/>
        </w:rPr>
        <w:t>WHERE RELA = '</w:t>
      </w:r>
      <w:proofErr w:type="spellStart"/>
      <w:r w:rsidRPr="00111BE7">
        <w:rPr>
          <w:rFonts w:ascii="Arial" w:hAnsi="Arial" w:cs="Arial"/>
          <w:color w:val="000000"/>
          <w:sz w:val="22"/>
          <w:szCs w:val="22"/>
        </w:rPr>
        <w:t>has_ingredient</w:t>
      </w:r>
      <w:proofErr w:type="spellEnd"/>
      <w:r w:rsidRPr="00111BE7">
        <w:rPr>
          <w:rFonts w:ascii="Arial" w:hAnsi="Arial" w:cs="Arial"/>
          <w:color w:val="000000"/>
          <w:sz w:val="22"/>
          <w:szCs w:val="22"/>
        </w:rPr>
        <w:t>' and RXCUI1 in (</w:t>
      </w:r>
      <w:r w:rsidRPr="00111BE7">
        <w:rPr>
          <w:rFonts w:ascii="Arial" w:hAnsi="Arial" w:cs="Arial"/>
          <w:b/>
          <w:bCs/>
          <w:color w:val="000000"/>
          <w:sz w:val="22"/>
          <w:szCs w:val="22"/>
        </w:rPr>
        <w:t>COMMA-DELIMITED LIST GOES HERE</w:t>
      </w:r>
      <w:r w:rsidRPr="00111BE7">
        <w:rPr>
          <w:rFonts w:ascii="Arial" w:hAnsi="Arial" w:cs="Arial"/>
          <w:color w:val="000000"/>
          <w:sz w:val="22"/>
          <w:szCs w:val="22"/>
        </w:rPr>
        <w:t>)))</w:t>
      </w:r>
    </w:p>
    <w:p w14:paraId="6CE219FC" w14:textId="77777777" w:rsidR="00111BE7" w:rsidRPr="00111BE7" w:rsidRDefault="00111BE7" w:rsidP="00111BE7">
      <w:pPr>
        <w:ind w:left="720"/>
        <w:rPr>
          <w:rFonts w:ascii="Times New Roman" w:hAnsi="Times New Roman" w:cs="Times New Roman"/>
        </w:rPr>
      </w:pPr>
      <w:r w:rsidRPr="00111BE7">
        <w:rPr>
          <w:rFonts w:ascii="Arial" w:hAnsi="Arial" w:cs="Arial"/>
          <w:color w:val="000000"/>
          <w:sz w:val="22"/>
          <w:szCs w:val="22"/>
        </w:rPr>
        <w:t>ORDER BY STR</w:t>
      </w:r>
    </w:p>
    <w:p w14:paraId="390BC6EB" w14:textId="77777777" w:rsidR="00111BE7" w:rsidRPr="00111BE7" w:rsidRDefault="00111BE7" w:rsidP="00111BE7">
      <w:pPr>
        <w:ind w:left="720"/>
        <w:rPr>
          <w:rFonts w:ascii="Times New Roman" w:hAnsi="Times New Roman" w:cs="Times New Roman"/>
        </w:rPr>
      </w:pPr>
      <w:r w:rsidRPr="00111BE7">
        <w:rPr>
          <w:rFonts w:ascii="Arial" w:hAnsi="Arial" w:cs="Arial"/>
          <w:color w:val="000000"/>
          <w:sz w:val="22"/>
          <w:szCs w:val="22"/>
        </w:rPr>
        <w:t>;</w:t>
      </w:r>
    </w:p>
    <w:p w14:paraId="3026C4BF" w14:textId="5A5694F3" w:rsidR="00111BE7" w:rsidRDefault="00111BE7" w:rsidP="00111BE7">
      <w:pPr>
        <w:pStyle w:val="NormalWeb"/>
        <w:spacing w:before="0" w:beforeAutospacing="0" w:after="0" w:afterAutospacing="0"/>
        <w:textAlignment w:val="baseline"/>
        <w:rPr>
          <w:rFonts w:ascii="Arial" w:hAnsi="Arial" w:cs="Arial"/>
          <w:color w:val="000000"/>
          <w:sz w:val="22"/>
          <w:szCs w:val="22"/>
        </w:rPr>
      </w:pPr>
    </w:p>
    <w:p w14:paraId="31DCEAED" w14:textId="77777777" w:rsidR="00446BED" w:rsidRDefault="00446BED" w:rsidP="0082618D"/>
    <w:p w14:paraId="7C4797D0" w14:textId="242AF4CF" w:rsidR="00B27ADA" w:rsidRDefault="00B27ADA" w:rsidP="0082618D">
      <w:r>
        <w:t>Restrict to medications for human consumption</w:t>
      </w:r>
    </w:p>
    <w:p w14:paraId="325031CE" w14:textId="77777777" w:rsidR="00446BED" w:rsidRDefault="00446BED" w:rsidP="0082618D"/>
    <w:p w14:paraId="49937617" w14:textId="15E03E67" w:rsidR="00446BED" w:rsidRDefault="00CC7CE9" w:rsidP="0082618D">
      <w:r>
        <w:t>Delete products not of interest:</w:t>
      </w:r>
    </w:p>
    <w:p w14:paraId="1E9C124C" w14:textId="37923E52" w:rsidR="00B27ADA" w:rsidRPr="00B61A95" w:rsidRDefault="00B27ADA" w:rsidP="00B27ADA">
      <w:pPr>
        <w:pStyle w:val="ListParagraph"/>
        <w:numPr>
          <w:ilvl w:val="1"/>
          <w:numId w:val="1"/>
        </w:numPr>
      </w:pPr>
      <w:r w:rsidRPr="00B61A95">
        <w:t xml:space="preserve">Eliminate topical </w:t>
      </w:r>
      <w:r w:rsidR="00B61A95">
        <w:t>NSAIDs</w:t>
      </w:r>
    </w:p>
    <w:p w14:paraId="69D80E91" w14:textId="2755C416" w:rsidR="00E11B8C" w:rsidRPr="00B61A95" w:rsidRDefault="00E11B8C" w:rsidP="00E11B8C">
      <w:pPr>
        <w:pStyle w:val="ListParagraph"/>
        <w:numPr>
          <w:ilvl w:val="1"/>
          <w:numId w:val="1"/>
        </w:numPr>
      </w:pPr>
      <w:r w:rsidRPr="00B61A95">
        <w:t>Eliminate ophthalmic NSAIDs preparations</w:t>
      </w:r>
    </w:p>
    <w:p w14:paraId="205039C4" w14:textId="77777777" w:rsidR="00E11B8C" w:rsidRDefault="00E11B8C" w:rsidP="00E11B8C"/>
    <w:p w14:paraId="3DA09BF0" w14:textId="6BA09A37" w:rsidR="00E11B8C" w:rsidRDefault="00B67A5D" w:rsidP="00E11B8C">
      <w:pPr>
        <w:pStyle w:val="ListParagraph"/>
        <w:numPr>
          <w:ilvl w:val="0"/>
          <w:numId w:val="1"/>
        </w:numPr>
      </w:pPr>
      <w:r>
        <w:t xml:space="preserve">Identify warfarin via </w:t>
      </w:r>
      <w:proofErr w:type="spellStart"/>
      <w:r>
        <w:t>RxNorm</w:t>
      </w:r>
      <w:proofErr w:type="spellEnd"/>
      <w:r>
        <w:t>:  RXCUI: 11289</w:t>
      </w:r>
    </w:p>
    <w:p w14:paraId="20872664" w14:textId="77777777" w:rsidR="00B61A95" w:rsidRDefault="00B61A95" w:rsidP="00B61A95">
      <w:pPr>
        <w:pStyle w:val="ListParagraph"/>
        <w:numPr>
          <w:ilvl w:val="1"/>
          <w:numId w:val="1"/>
        </w:numPr>
      </w:pPr>
      <w:r>
        <w:t>Identify clinical drug components</w:t>
      </w:r>
    </w:p>
    <w:p w14:paraId="7BD89A80" w14:textId="77777777" w:rsidR="00B61A95" w:rsidRDefault="00B61A95" w:rsidP="00B61A95">
      <w:pPr>
        <w:pStyle w:val="ListParagraph"/>
        <w:numPr>
          <w:ilvl w:val="1"/>
          <w:numId w:val="1"/>
        </w:numPr>
      </w:pPr>
      <w:r>
        <w:t>Remove products not available in US</w:t>
      </w:r>
    </w:p>
    <w:p w14:paraId="3FAC07FA" w14:textId="20598619" w:rsidR="00B61A95" w:rsidRDefault="00B61A95" w:rsidP="00B61A95">
      <w:pPr>
        <w:pStyle w:val="ListParagraph"/>
        <w:numPr>
          <w:ilvl w:val="1"/>
          <w:numId w:val="1"/>
        </w:numPr>
      </w:pPr>
      <w:r>
        <w:t>Identify clinical drug or pack with warfarin</w:t>
      </w:r>
    </w:p>
    <w:p w14:paraId="6AF59D4E" w14:textId="77777777" w:rsidR="00B67A5D" w:rsidRDefault="00B67A5D" w:rsidP="00B67A5D"/>
    <w:p w14:paraId="791F804D" w14:textId="576ED1CB" w:rsidR="00B67A5D" w:rsidRDefault="00B67A5D" w:rsidP="00B67A5D">
      <w:pPr>
        <w:pStyle w:val="ListParagraph"/>
        <w:numPr>
          <w:ilvl w:val="0"/>
          <w:numId w:val="1"/>
        </w:numPr>
      </w:pPr>
      <w:r>
        <w:t xml:space="preserve">Identify proton pump inhibitors </w:t>
      </w:r>
      <w:r w:rsidR="00306816">
        <w:t xml:space="preserve">or misoprostol </w:t>
      </w:r>
      <w:r>
        <w:t xml:space="preserve">in </w:t>
      </w:r>
      <w:proofErr w:type="spellStart"/>
      <w:r>
        <w:t>RxNorm</w:t>
      </w:r>
      <w:proofErr w:type="spellEnd"/>
      <w:r>
        <w:t>: RXCUI:</w:t>
      </w:r>
    </w:p>
    <w:p w14:paraId="4BD06CE1" w14:textId="77777777" w:rsidR="00B67A5D" w:rsidRDefault="00B67A5D" w:rsidP="00B67A5D"/>
    <w:p w14:paraId="59BB6190" w14:textId="0C8F3B6D" w:rsidR="00B67A5D" w:rsidRDefault="00B67A5D" w:rsidP="00B67A5D">
      <w:pPr>
        <w:pStyle w:val="ListParagraph"/>
        <w:numPr>
          <w:ilvl w:val="1"/>
          <w:numId w:val="1"/>
        </w:numPr>
      </w:pPr>
      <w:proofErr w:type="spellStart"/>
      <w:r>
        <w:t>Dexlansoprazole</w:t>
      </w:r>
      <w:proofErr w:type="spellEnd"/>
      <w:r>
        <w:t xml:space="preserve">: </w:t>
      </w:r>
      <w:r w:rsidR="00306816">
        <w:t>816346</w:t>
      </w:r>
    </w:p>
    <w:p w14:paraId="3E0658EF" w14:textId="65C22DE1" w:rsidR="00B67A5D" w:rsidRDefault="00B67A5D" w:rsidP="00B67A5D">
      <w:pPr>
        <w:pStyle w:val="ListParagraph"/>
        <w:numPr>
          <w:ilvl w:val="1"/>
          <w:numId w:val="1"/>
        </w:numPr>
      </w:pPr>
      <w:r>
        <w:t xml:space="preserve">Esomeprazole: </w:t>
      </w:r>
      <w:r w:rsidR="00306816">
        <w:t xml:space="preserve"> 283742</w:t>
      </w:r>
    </w:p>
    <w:p w14:paraId="6D1E34EC" w14:textId="3CE24C28" w:rsidR="00B67A5D" w:rsidRDefault="00B67A5D" w:rsidP="00B67A5D">
      <w:pPr>
        <w:pStyle w:val="ListParagraph"/>
        <w:numPr>
          <w:ilvl w:val="1"/>
          <w:numId w:val="1"/>
        </w:numPr>
      </w:pPr>
      <w:r>
        <w:t>Lansoprazole</w:t>
      </w:r>
      <w:r w:rsidR="00306816">
        <w:t>: 17128</w:t>
      </w:r>
    </w:p>
    <w:p w14:paraId="1343E4A3" w14:textId="55E65D65" w:rsidR="00306816" w:rsidRDefault="00306816" w:rsidP="00B67A5D">
      <w:pPr>
        <w:pStyle w:val="ListParagraph"/>
        <w:numPr>
          <w:ilvl w:val="1"/>
          <w:numId w:val="1"/>
        </w:numPr>
      </w:pPr>
      <w:r>
        <w:t>Misoprostol: 42331</w:t>
      </w:r>
    </w:p>
    <w:p w14:paraId="030B9E5F" w14:textId="6BD019EA" w:rsidR="00B67A5D" w:rsidRDefault="00306816" w:rsidP="00B67A5D">
      <w:pPr>
        <w:pStyle w:val="ListParagraph"/>
        <w:numPr>
          <w:ilvl w:val="1"/>
          <w:numId w:val="1"/>
        </w:numPr>
      </w:pPr>
      <w:r>
        <w:t>Omeprazole</w:t>
      </w:r>
      <w:r w:rsidR="00B67A5D">
        <w:t>: 7646</w:t>
      </w:r>
    </w:p>
    <w:p w14:paraId="35A4B109" w14:textId="4F408408" w:rsidR="00B67A5D" w:rsidRDefault="00306816" w:rsidP="00B67A5D">
      <w:pPr>
        <w:pStyle w:val="ListParagraph"/>
        <w:numPr>
          <w:ilvl w:val="1"/>
          <w:numId w:val="1"/>
        </w:numPr>
      </w:pPr>
      <w:r>
        <w:t>Pantoprazole: 40790</w:t>
      </w:r>
    </w:p>
    <w:p w14:paraId="0DBBB970" w14:textId="5B137D79" w:rsidR="00306816" w:rsidRDefault="00306816" w:rsidP="00B67A5D">
      <w:pPr>
        <w:pStyle w:val="ListParagraph"/>
        <w:numPr>
          <w:ilvl w:val="1"/>
          <w:numId w:val="1"/>
        </w:numPr>
      </w:pPr>
      <w:proofErr w:type="spellStart"/>
      <w:r>
        <w:t>Rabeprazole</w:t>
      </w:r>
      <w:proofErr w:type="spellEnd"/>
      <w:r>
        <w:t>: 114979</w:t>
      </w:r>
    </w:p>
    <w:p w14:paraId="18063FB4" w14:textId="77777777" w:rsidR="00B61A95" w:rsidRDefault="00B61A95" w:rsidP="00B61A95"/>
    <w:p w14:paraId="45A7895E" w14:textId="400CE4F0" w:rsidR="00A10449" w:rsidRDefault="00A10449" w:rsidP="00A10449">
      <w:pPr>
        <w:pStyle w:val="ListParagraph"/>
        <w:numPr>
          <w:ilvl w:val="0"/>
          <w:numId w:val="1"/>
        </w:numPr>
      </w:pPr>
      <w:r>
        <w:t xml:space="preserve">Pull products of interest for proton pump inhibitors or misoprostol from </w:t>
      </w:r>
      <w:proofErr w:type="spellStart"/>
      <w:r>
        <w:t>RxNorm</w:t>
      </w:r>
      <w:proofErr w:type="spellEnd"/>
    </w:p>
    <w:p w14:paraId="28EBE94A" w14:textId="77777777" w:rsidR="00B61A95" w:rsidRDefault="00B61A95" w:rsidP="00B61A95">
      <w:pPr>
        <w:pStyle w:val="ListParagraph"/>
        <w:numPr>
          <w:ilvl w:val="1"/>
          <w:numId w:val="1"/>
        </w:numPr>
      </w:pPr>
      <w:r>
        <w:t>Identify clinical drug components</w:t>
      </w:r>
    </w:p>
    <w:p w14:paraId="172A144B" w14:textId="77777777" w:rsidR="00A10449" w:rsidRDefault="00B61A95" w:rsidP="00A10449">
      <w:pPr>
        <w:pStyle w:val="ListParagraph"/>
        <w:numPr>
          <w:ilvl w:val="1"/>
          <w:numId w:val="1"/>
        </w:numPr>
      </w:pPr>
      <w:r>
        <w:t>Remove products not available in US</w:t>
      </w:r>
    </w:p>
    <w:p w14:paraId="0724C6D1" w14:textId="4459377F" w:rsidR="00B61A95" w:rsidRDefault="00B61A95" w:rsidP="00A10449">
      <w:pPr>
        <w:pStyle w:val="ListParagraph"/>
        <w:numPr>
          <w:ilvl w:val="1"/>
          <w:numId w:val="1"/>
        </w:numPr>
      </w:pPr>
      <w:r>
        <w:t xml:space="preserve">Identify clinical drug or </w:t>
      </w:r>
      <w:commentRangeStart w:id="0"/>
      <w:r>
        <w:t>pack</w:t>
      </w:r>
      <w:commentRangeEnd w:id="0"/>
      <w:r w:rsidR="00C26C57">
        <w:rPr>
          <w:rStyle w:val="CommentReference"/>
        </w:rPr>
        <w:commentReference w:id="0"/>
      </w:r>
    </w:p>
    <w:p w14:paraId="51733847" w14:textId="77777777" w:rsidR="00306816" w:rsidRDefault="00306816" w:rsidP="00B61A95">
      <w:pPr>
        <w:ind w:left="1440"/>
      </w:pPr>
    </w:p>
    <w:p w14:paraId="7915F98D" w14:textId="77777777" w:rsidR="00306816" w:rsidRDefault="00306816" w:rsidP="00306816"/>
    <w:p w14:paraId="7464DB44" w14:textId="0199CC0E" w:rsidR="00306816" w:rsidRDefault="00306816" w:rsidP="00306816">
      <w:pPr>
        <w:pStyle w:val="ListParagraph"/>
        <w:numPr>
          <w:ilvl w:val="0"/>
          <w:numId w:val="1"/>
        </w:numPr>
      </w:pPr>
      <w:r>
        <w:t xml:space="preserve">Exclude patients taking warfarin, NSAIDs, </w:t>
      </w:r>
      <w:r w:rsidRPr="00A10449">
        <w:rPr>
          <w:u w:val="single"/>
        </w:rPr>
        <w:t>and</w:t>
      </w:r>
      <w:r>
        <w:t xml:space="preserve"> proton pump inhibitor or </w:t>
      </w:r>
      <w:proofErr w:type="spellStart"/>
      <w:r>
        <w:t>misoprotstol</w:t>
      </w:r>
      <w:proofErr w:type="spellEnd"/>
    </w:p>
    <w:p w14:paraId="11605006" w14:textId="77777777" w:rsidR="00306816" w:rsidRDefault="00306816" w:rsidP="00306816"/>
    <w:p w14:paraId="2DC83639" w14:textId="434BFE5B" w:rsidR="00306816" w:rsidRDefault="00306816" w:rsidP="00306816">
      <w:pPr>
        <w:pStyle w:val="ListParagraph"/>
        <w:numPr>
          <w:ilvl w:val="0"/>
          <w:numId w:val="1"/>
        </w:numPr>
      </w:pPr>
      <w:r>
        <w:t>Determine if patient has history of gastrointestinal bleeding</w:t>
      </w:r>
    </w:p>
    <w:p w14:paraId="5569CE49" w14:textId="77777777" w:rsidR="00306816" w:rsidRDefault="00306816" w:rsidP="00306816"/>
    <w:p w14:paraId="44BA89F9" w14:textId="0F521F31" w:rsidR="00306816" w:rsidRDefault="00306816" w:rsidP="00306816">
      <w:pPr>
        <w:pStyle w:val="ListParagraph"/>
        <w:numPr>
          <w:ilvl w:val="1"/>
          <w:numId w:val="1"/>
        </w:numPr>
      </w:pPr>
      <w:r>
        <w:t xml:space="preserve">ICD-9 codes: </w:t>
      </w:r>
    </w:p>
    <w:p w14:paraId="33293519" w14:textId="5C3945A2" w:rsidR="00E224F3" w:rsidRDefault="00E224F3" w:rsidP="00E224F3">
      <w:pPr>
        <w:pStyle w:val="ListParagraph"/>
        <w:numPr>
          <w:ilvl w:val="2"/>
          <w:numId w:val="1"/>
        </w:numPr>
      </w:pPr>
      <w:r>
        <w:t>578.0 – Hematemesis</w:t>
      </w:r>
    </w:p>
    <w:p w14:paraId="51826FE9" w14:textId="17709498" w:rsidR="00E224F3" w:rsidRDefault="00E224F3" w:rsidP="00E224F3">
      <w:pPr>
        <w:pStyle w:val="ListParagraph"/>
        <w:numPr>
          <w:ilvl w:val="2"/>
          <w:numId w:val="1"/>
        </w:numPr>
      </w:pPr>
      <w:r>
        <w:t>532.00 – Acute bleeding duodenal ulcer</w:t>
      </w:r>
    </w:p>
    <w:p w14:paraId="6BA4AB21" w14:textId="5FE1D32D" w:rsidR="004074DF" w:rsidRDefault="004074DF" w:rsidP="00E224F3">
      <w:pPr>
        <w:pStyle w:val="ListParagraph"/>
        <w:numPr>
          <w:ilvl w:val="2"/>
          <w:numId w:val="1"/>
        </w:numPr>
      </w:pPr>
      <w:r>
        <w:t>578.9 – Gastrointestinal hemorrhage</w:t>
      </w:r>
    </w:p>
    <w:p w14:paraId="01F52516" w14:textId="7241542F" w:rsidR="00703972" w:rsidRDefault="00703972" w:rsidP="00E224F3">
      <w:pPr>
        <w:pStyle w:val="ListParagraph"/>
        <w:numPr>
          <w:ilvl w:val="2"/>
          <w:numId w:val="1"/>
        </w:numPr>
      </w:pPr>
      <w:r>
        <w:t>530.21 – Ulcer of esophagus with bleeding</w:t>
      </w:r>
    </w:p>
    <w:p w14:paraId="4F478A08" w14:textId="7081D87A" w:rsidR="00703972" w:rsidRDefault="00703972" w:rsidP="00E224F3">
      <w:pPr>
        <w:pStyle w:val="ListParagraph"/>
        <w:numPr>
          <w:ilvl w:val="2"/>
          <w:numId w:val="1"/>
        </w:numPr>
      </w:pPr>
      <w:r>
        <w:t>530.82 – Esophageal hemorrhage</w:t>
      </w:r>
    </w:p>
    <w:p w14:paraId="07FF8444" w14:textId="25CE4B5D" w:rsidR="00703972" w:rsidRDefault="00703972" w:rsidP="00E224F3">
      <w:pPr>
        <w:pStyle w:val="ListParagraph"/>
        <w:numPr>
          <w:ilvl w:val="2"/>
          <w:numId w:val="1"/>
        </w:numPr>
      </w:pPr>
      <w:r>
        <w:t>531.0 – Acute gastric ulcer with hemorrhage</w:t>
      </w:r>
    </w:p>
    <w:p w14:paraId="1C207FAA" w14:textId="43194FA2" w:rsidR="00703972" w:rsidRDefault="00703972" w:rsidP="00E224F3">
      <w:pPr>
        <w:pStyle w:val="ListParagraph"/>
        <w:numPr>
          <w:ilvl w:val="2"/>
          <w:numId w:val="1"/>
        </w:numPr>
      </w:pPr>
      <w:r>
        <w:t>531.2 – Acute gastric ulcer with hemorrhage and perforation</w:t>
      </w:r>
    </w:p>
    <w:p w14:paraId="16B544B3" w14:textId="3CD4454E" w:rsidR="00703972" w:rsidRDefault="00703972" w:rsidP="00E224F3">
      <w:pPr>
        <w:pStyle w:val="ListParagraph"/>
        <w:numPr>
          <w:ilvl w:val="2"/>
          <w:numId w:val="1"/>
        </w:numPr>
      </w:pPr>
      <w:r>
        <w:t>531.4 – Chronic gastric ulcer with hemorrhage</w:t>
      </w:r>
    </w:p>
    <w:p w14:paraId="36738AB1" w14:textId="0BF129F2" w:rsidR="00703972" w:rsidRDefault="00703972" w:rsidP="00E224F3">
      <w:pPr>
        <w:pStyle w:val="ListParagraph"/>
        <w:numPr>
          <w:ilvl w:val="2"/>
          <w:numId w:val="1"/>
        </w:numPr>
      </w:pPr>
      <w:r>
        <w:t>531.6 – Chronic or unspecified gastric ulcer with hemorrhage and perforation</w:t>
      </w:r>
    </w:p>
    <w:p w14:paraId="297F190F" w14:textId="4AA27FD6" w:rsidR="00703972" w:rsidRDefault="00703972" w:rsidP="00E224F3">
      <w:pPr>
        <w:pStyle w:val="ListParagraph"/>
        <w:numPr>
          <w:ilvl w:val="2"/>
          <w:numId w:val="1"/>
        </w:numPr>
      </w:pPr>
      <w:r>
        <w:t>532.0 – Acute duodenal ulcer with hemorrhage</w:t>
      </w:r>
    </w:p>
    <w:p w14:paraId="429AE07A" w14:textId="3155E15B" w:rsidR="00703972" w:rsidRDefault="00703972" w:rsidP="00E224F3">
      <w:pPr>
        <w:pStyle w:val="ListParagraph"/>
        <w:numPr>
          <w:ilvl w:val="2"/>
          <w:numId w:val="1"/>
        </w:numPr>
      </w:pPr>
      <w:r>
        <w:t>532.2 - Acute duodenal ulcer with hemorrhage and perforation</w:t>
      </w:r>
    </w:p>
    <w:p w14:paraId="0EF813BA" w14:textId="77777777" w:rsidR="00703972" w:rsidRDefault="00703972" w:rsidP="00703972">
      <w:pPr>
        <w:pStyle w:val="ListParagraph"/>
        <w:numPr>
          <w:ilvl w:val="2"/>
          <w:numId w:val="1"/>
        </w:numPr>
      </w:pPr>
      <w:r>
        <w:t>532.4 – Chronic or unspecified duodenal ulcer with hemorrhage</w:t>
      </w:r>
    </w:p>
    <w:p w14:paraId="5183335A" w14:textId="257CA5D8" w:rsidR="00703972" w:rsidRDefault="00703972" w:rsidP="00E224F3">
      <w:pPr>
        <w:pStyle w:val="ListParagraph"/>
        <w:numPr>
          <w:ilvl w:val="2"/>
          <w:numId w:val="1"/>
        </w:numPr>
      </w:pPr>
      <w:r>
        <w:t>532.6 - Chronic or unspecified duodenal ulcer with hemorrhage and perforation</w:t>
      </w:r>
    </w:p>
    <w:p w14:paraId="41E26655" w14:textId="05C57EF3" w:rsidR="00703972" w:rsidRDefault="00703972" w:rsidP="00E224F3">
      <w:pPr>
        <w:pStyle w:val="ListParagraph"/>
        <w:numPr>
          <w:ilvl w:val="2"/>
          <w:numId w:val="1"/>
        </w:numPr>
      </w:pPr>
      <w:r>
        <w:t>533.0 – Acute peptic ulcer with hemorrhage</w:t>
      </w:r>
    </w:p>
    <w:p w14:paraId="77C96F73" w14:textId="71BE909B" w:rsidR="00703972" w:rsidRDefault="00703972" w:rsidP="00E224F3">
      <w:pPr>
        <w:pStyle w:val="ListParagraph"/>
        <w:numPr>
          <w:ilvl w:val="2"/>
          <w:numId w:val="1"/>
        </w:numPr>
      </w:pPr>
      <w:r>
        <w:t>533.2 - Acute peptic ulcer with hemorrhage and perforation</w:t>
      </w:r>
    </w:p>
    <w:p w14:paraId="234F014B" w14:textId="77777777" w:rsidR="00703972" w:rsidRDefault="00703972" w:rsidP="00703972">
      <w:pPr>
        <w:pStyle w:val="ListParagraph"/>
        <w:numPr>
          <w:ilvl w:val="2"/>
          <w:numId w:val="1"/>
        </w:numPr>
      </w:pPr>
      <w:r>
        <w:t>533.4 – Chronic peptic ulcer with hemorrhage</w:t>
      </w:r>
    </w:p>
    <w:p w14:paraId="350090C4" w14:textId="1E8BE476" w:rsidR="00703972" w:rsidRDefault="00703972" w:rsidP="00E224F3">
      <w:pPr>
        <w:pStyle w:val="ListParagraph"/>
        <w:numPr>
          <w:ilvl w:val="2"/>
          <w:numId w:val="1"/>
        </w:numPr>
      </w:pPr>
      <w:r>
        <w:t>533.6 - Chronic peptic ulcer with hemorrhage and perforation</w:t>
      </w:r>
    </w:p>
    <w:p w14:paraId="2B05F4C5" w14:textId="63318BED" w:rsidR="00703972" w:rsidRDefault="00703972" w:rsidP="00E224F3">
      <w:pPr>
        <w:pStyle w:val="ListParagraph"/>
        <w:numPr>
          <w:ilvl w:val="2"/>
          <w:numId w:val="1"/>
        </w:numPr>
      </w:pPr>
      <w:r>
        <w:t xml:space="preserve">534.0 – Acute </w:t>
      </w:r>
      <w:proofErr w:type="spellStart"/>
      <w:r>
        <w:t>gastrojejunal</w:t>
      </w:r>
      <w:proofErr w:type="spellEnd"/>
      <w:r>
        <w:t xml:space="preserve"> ulcer with hemorrhage</w:t>
      </w:r>
    </w:p>
    <w:p w14:paraId="15867B36" w14:textId="29A6940F" w:rsidR="00703972" w:rsidRDefault="00703972" w:rsidP="00E224F3">
      <w:pPr>
        <w:pStyle w:val="ListParagraph"/>
        <w:numPr>
          <w:ilvl w:val="2"/>
          <w:numId w:val="1"/>
        </w:numPr>
      </w:pPr>
      <w:r>
        <w:t xml:space="preserve">534.2 - Acute </w:t>
      </w:r>
      <w:proofErr w:type="spellStart"/>
      <w:r>
        <w:t>gastrojejunal</w:t>
      </w:r>
      <w:proofErr w:type="spellEnd"/>
      <w:r>
        <w:t xml:space="preserve"> ulcer with hemorrhage and perforation</w:t>
      </w:r>
    </w:p>
    <w:p w14:paraId="553DCF2D" w14:textId="77777777" w:rsidR="00703972" w:rsidRDefault="00703972" w:rsidP="00703972">
      <w:pPr>
        <w:pStyle w:val="ListParagraph"/>
        <w:numPr>
          <w:ilvl w:val="2"/>
          <w:numId w:val="1"/>
        </w:numPr>
      </w:pPr>
      <w:r>
        <w:t xml:space="preserve">534.4 – Chronic </w:t>
      </w:r>
      <w:proofErr w:type="spellStart"/>
      <w:r>
        <w:t>gastrojejunal</w:t>
      </w:r>
      <w:proofErr w:type="spellEnd"/>
      <w:r>
        <w:t xml:space="preserve"> ulcer with hemorrhage</w:t>
      </w:r>
    </w:p>
    <w:p w14:paraId="65E552CE" w14:textId="10C80380" w:rsidR="00703972" w:rsidRDefault="00703972" w:rsidP="00E224F3">
      <w:pPr>
        <w:pStyle w:val="ListParagraph"/>
        <w:numPr>
          <w:ilvl w:val="2"/>
          <w:numId w:val="1"/>
        </w:numPr>
      </w:pPr>
      <w:r>
        <w:t xml:space="preserve">534.6 - Chronic </w:t>
      </w:r>
      <w:proofErr w:type="spellStart"/>
      <w:r>
        <w:t>gastrojejunal</w:t>
      </w:r>
      <w:proofErr w:type="spellEnd"/>
      <w:r>
        <w:t xml:space="preserve"> ulcer with hemorrhage and perforation</w:t>
      </w:r>
    </w:p>
    <w:p w14:paraId="19E2118D" w14:textId="77777777" w:rsidR="00703972" w:rsidRDefault="00703972" w:rsidP="00703972"/>
    <w:p w14:paraId="679F2881" w14:textId="77777777" w:rsidR="004074DF" w:rsidRDefault="004074DF" w:rsidP="004074DF"/>
    <w:p w14:paraId="4E4396CB" w14:textId="7D776878" w:rsidR="004074DF" w:rsidRDefault="004074DF" w:rsidP="004074DF">
      <w:pPr>
        <w:pStyle w:val="ListParagraph"/>
        <w:numPr>
          <w:ilvl w:val="1"/>
          <w:numId w:val="1"/>
        </w:numPr>
      </w:pPr>
      <w:r>
        <w:t>ICD-10 codes:</w:t>
      </w:r>
    </w:p>
    <w:p w14:paraId="52BED17C" w14:textId="40C70219" w:rsidR="004074DF" w:rsidRDefault="002C07CB" w:rsidP="004074DF">
      <w:pPr>
        <w:pStyle w:val="ListParagraph"/>
        <w:numPr>
          <w:ilvl w:val="2"/>
          <w:numId w:val="1"/>
        </w:numPr>
      </w:pPr>
      <w:r>
        <w:t>K92.2 – G</w:t>
      </w:r>
      <w:r w:rsidR="004074DF">
        <w:t>astrointestinal hemorrhage, unspecified</w:t>
      </w:r>
    </w:p>
    <w:p w14:paraId="00B8D1CC" w14:textId="55A097AB" w:rsidR="004074DF" w:rsidRDefault="004074DF" w:rsidP="004074DF">
      <w:pPr>
        <w:pStyle w:val="ListParagraph"/>
        <w:numPr>
          <w:ilvl w:val="2"/>
          <w:numId w:val="1"/>
        </w:numPr>
      </w:pPr>
      <w:r>
        <w:t>K25.0 – Acute gastric ulcer with hemorrhage</w:t>
      </w:r>
    </w:p>
    <w:p w14:paraId="3E68CD81" w14:textId="491B78BE" w:rsidR="004074DF" w:rsidRDefault="004074DF" w:rsidP="004074DF">
      <w:pPr>
        <w:pStyle w:val="ListParagraph"/>
        <w:numPr>
          <w:ilvl w:val="2"/>
          <w:numId w:val="1"/>
        </w:numPr>
      </w:pPr>
      <w:r>
        <w:t>K25.2 – Acute gastric ulcer with hemorrhage and perforation</w:t>
      </w:r>
    </w:p>
    <w:p w14:paraId="52029BAF" w14:textId="6EAF729F" w:rsidR="004074DF" w:rsidRDefault="004074DF" w:rsidP="004074DF">
      <w:pPr>
        <w:pStyle w:val="ListParagraph"/>
        <w:numPr>
          <w:ilvl w:val="2"/>
          <w:numId w:val="1"/>
        </w:numPr>
      </w:pPr>
      <w:r>
        <w:t>K25.4 – Chronic or unspecified gastric ulcer with hemorrhage</w:t>
      </w:r>
    </w:p>
    <w:p w14:paraId="3D11CB42" w14:textId="6172B668" w:rsidR="004074DF" w:rsidRDefault="004074DF" w:rsidP="004074DF">
      <w:pPr>
        <w:pStyle w:val="ListParagraph"/>
        <w:numPr>
          <w:ilvl w:val="2"/>
          <w:numId w:val="1"/>
        </w:numPr>
      </w:pPr>
      <w:r>
        <w:t>K25.6 – Chronic or unspecified gastric ulcer with both hemorrhage and perforation</w:t>
      </w:r>
    </w:p>
    <w:p w14:paraId="2E6B323A" w14:textId="18C3C6D8" w:rsidR="004074DF" w:rsidRDefault="004074DF" w:rsidP="004074DF">
      <w:pPr>
        <w:pStyle w:val="ListParagraph"/>
        <w:numPr>
          <w:ilvl w:val="2"/>
          <w:numId w:val="1"/>
        </w:numPr>
      </w:pPr>
      <w:r>
        <w:t>K26.0 – Acute duodenal ulcer with hemorrhage</w:t>
      </w:r>
    </w:p>
    <w:p w14:paraId="43F4934D" w14:textId="4E7F255E" w:rsidR="004074DF" w:rsidRDefault="004074DF" w:rsidP="004074DF">
      <w:pPr>
        <w:pStyle w:val="ListParagraph"/>
        <w:numPr>
          <w:ilvl w:val="2"/>
          <w:numId w:val="1"/>
        </w:numPr>
      </w:pPr>
      <w:r>
        <w:t>K26.2 - Acute duodenal ulcer with hemorrhage and perforation</w:t>
      </w:r>
    </w:p>
    <w:p w14:paraId="3FC39D87" w14:textId="6D3FCE00" w:rsidR="004074DF" w:rsidRDefault="004074DF" w:rsidP="004074DF">
      <w:pPr>
        <w:pStyle w:val="ListParagraph"/>
        <w:numPr>
          <w:ilvl w:val="2"/>
          <w:numId w:val="1"/>
        </w:numPr>
      </w:pPr>
      <w:r>
        <w:t>K26.4 – Chronic duodenal ulcer with hemorrhage</w:t>
      </w:r>
    </w:p>
    <w:p w14:paraId="381CA300" w14:textId="5008B02F" w:rsidR="00B27ADA" w:rsidRDefault="004074DF" w:rsidP="00A21A7E">
      <w:pPr>
        <w:pStyle w:val="ListParagraph"/>
        <w:numPr>
          <w:ilvl w:val="2"/>
          <w:numId w:val="1"/>
        </w:numPr>
      </w:pPr>
      <w:r>
        <w:t>K26.6 – Chronic duodenal ulcer with hemorrhage and perforation</w:t>
      </w:r>
    </w:p>
    <w:p w14:paraId="24258FC1" w14:textId="6DCA0A99" w:rsidR="004074DF" w:rsidRDefault="004074DF" w:rsidP="00A21A7E">
      <w:pPr>
        <w:pStyle w:val="ListParagraph"/>
        <w:numPr>
          <w:ilvl w:val="2"/>
          <w:numId w:val="1"/>
        </w:numPr>
      </w:pPr>
      <w:r>
        <w:t xml:space="preserve">K27.0 – Acute </w:t>
      </w:r>
      <w:r w:rsidR="00E13924">
        <w:t>peptic ulcer, site unspecified, with hemorrhage</w:t>
      </w:r>
    </w:p>
    <w:p w14:paraId="55D1D44A" w14:textId="7FB86A5A" w:rsidR="00E13924" w:rsidRDefault="00E13924" w:rsidP="00A21A7E">
      <w:pPr>
        <w:pStyle w:val="ListParagraph"/>
        <w:numPr>
          <w:ilvl w:val="2"/>
          <w:numId w:val="1"/>
        </w:numPr>
      </w:pPr>
      <w:r>
        <w:t>K27.2 - Acute peptic ulcer, site unspecified, with hemorrhage and perforation</w:t>
      </w:r>
    </w:p>
    <w:p w14:paraId="294CBB41" w14:textId="6800F5A9" w:rsidR="00E13924" w:rsidRDefault="00E13924" w:rsidP="00A21A7E">
      <w:pPr>
        <w:pStyle w:val="ListParagraph"/>
        <w:numPr>
          <w:ilvl w:val="2"/>
          <w:numId w:val="1"/>
        </w:numPr>
      </w:pPr>
      <w:r>
        <w:t>K27.4 – Chronic peptic ulcer, site unspecified, with hemorrhage</w:t>
      </w:r>
    </w:p>
    <w:p w14:paraId="07DD555A" w14:textId="06BC5AE8" w:rsidR="00E13924" w:rsidRDefault="00E13924" w:rsidP="00A21A7E">
      <w:pPr>
        <w:pStyle w:val="ListParagraph"/>
        <w:numPr>
          <w:ilvl w:val="2"/>
          <w:numId w:val="1"/>
        </w:numPr>
      </w:pPr>
      <w:r>
        <w:t>K27.6 – Chronic peptic ulcer, site unspecified, with hemorrhage and perforation</w:t>
      </w:r>
    </w:p>
    <w:p w14:paraId="76968013" w14:textId="2A2D8073" w:rsidR="00E13924" w:rsidRPr="00BB23E8" w:rsidRDefault="00E13924" w:rsidP="00A21A7E">
      <w:pPr>
        <w:pStyle w:val="ListParagraph"/>
        <w:numPr>
          <w:ilvl w:val="2"/>
          <w:numId w:val="1"/>
        </w:numPr>
      </w:pPr>
      <w:r w:rsidRPr="00BB23E8">
        <w:t xml:space="preserve">K28.0 – Acute </w:t>
      </w:r>
      <w:proofErr w:type="spellStart"/>
      <w:r w:rsidRPr="00BB23E8">
        <w:t>gastrojejunel</w:t>
      </w:r>
      <w:proofErr w:type="spellEnd"/>
      <w:r w:rsidRPr="00BB23E8">
        <w:t xml:space="preserve"> ulcer with hemorrhage</w:t>
      </w:r>
    </w:p>
    <w:p w14:paraId="433382CB" w14:textId="747C1DFA" w:rsidR="00E13924" w:rsidRPr="00BB23E8" w:rsidRDefault="00E13924" w:rsidP="00A21A7E">
      <w:pPr>
        <w:pStyle w:val="ListParagraph"/>
        <w:numPr>
          <w:ilvl w:val="2"/>
          <w:numId w:val="1"/>
        </w:numPr>
      </w:pPr>
      <w:r w:rsidRPr="00BB23E8">
        <w:t xml:space="preserve">K28.2 - Acute </w:t>
      </w:r>
      <w:proofErr w:type="spellStart"/>
      <w:r w:rsidRPr="00BB23E8">
        <w:t>gastrojejunel</w:t>
      </w:r>
      <w:proofErr w:type="spellEnd"/>
      <w:r w:rsidRPr="00BB23E8">
        <w:t xml:space="preserve"> ulcer with hemorrhage and perforation</w:t>
      </w:r>
    </w:p>
    <w:p w14:paraId="6509A7FB" w14:textId="6D08F5F5" w:rsidR="00E13924" w:rsidRPr="00BB23E8" w:rsidRDefault="00E13924" w:rsidP="00A21A7E">
      <w:pPr>
        <w:pStyle w:val="ListParagraph"/>
        <w:numPr>
          <w:ilvl w:val="2"/>
          <w:numId w:val="1"/>
        </w:numPr>
      </w:pPr>
      <w:r w:rsidRPr="00BB23E8">
        <w:t xml:space="preserve">K28.4 – Chronic </w:t>
      </w:r>
      <w:proofErr w:type="spellStart"/>
      <w:r w:rsidRPr="00BB23E8">
        <w:t>gastrojejunel</w:t>
      </w:r>
      <w:proofErr w:type="spellEnd"/>
      <w:r w:rsidRPr="00BB23E8">
        <w:t xml:space="preserve"> ulcer with hemorrhage</w:t>
      </w:r>
    </w:p>
    <w:p w14:paraId="0BD0A866" w14:textId="473ECB47" w:rsidR="00E13924" w:rsidRDefault="00E13924" w:rsidP="00A21A7E">
      <w:pPr>
        <w:pStyle w:val="ListParagraph"/>
        <w:numPr>
          <w:ilvl w:val="2"/>
          <w:numId w:val="1"/>
        </w:numPr>
      </w:pPr>
      <w:r w:rsidRPr="00BB23E8">
        <w:t xml:space="preserve">K28.6 – Chronic Acute </w:t>
      </w:r>
      <w:proofErr w:type="spellStart"/>
      <w:r w:rsidRPr="00BB23E8">
        <w:t>gastrojejunel</w:t>
      </w:r>
      <w:proofErr w:type="spellEnd"/>
      <w:r w:rsidRPr="00BB23E8">
        <w:t xml:space="preserve"> ulcer with hemorrhag</w:t>
      </w:r>
      <w:r>
        <w:t>e and perforation</w:t>
      </w:r>
    </w:p>
    <w:p w14:paraId="4F094C11" w14:textId="3B186088" w:rsidR="00E13924" w:rsidRDefault="00E13924" w:rsidP="00A21A7E">
      <w:pPr>
        <w:pStyle w:val="ListParagraph"/>
        <w:numPr>
          <w:ilvl w:val="2"/>
          <w:numId w:val="1"/>
        </w:numPr>
      </w:pPr>
      <w:r>
        <w:t>K29.01 – Acute gastritis with bleeding</w:t>
      </w:r>
    </w:p>
    <w:p w14:paraId="59054AEE" w14:textId="4CA716A5" w:rsidR="00E13924" w:rsidRDefault="00E13924" w:rsidP="00A21A7E">
      <w:pPr>
        <w:pStyle w:val="ListParagraph"/>
        <w:numPr>
          <w:ilvl w:val="2"/>
          <w:numId w:val="1"/>
        </w:numPr>
      </w:pPr>
      <w:r>
        <w:t>K29.31 – Chronic gastritis with bleeding</w:t>
      </w:r>
    </w:p>
    <w:p w14:paraId="5A280726" w14:textId="51D317C2" w:rsidR="00E13924" w:rsidRDefault="00E13924" w:rsidP="00A21A7E">
      <w:pPr>
        <w:pStyle w:val="ListParagraph"/>
        <w:numPr>
          <w:ilvl w:val="2"/>
          <w:numId w:val="1"/>
        </w:numPr>
      </w:pPr>
      <w:r>
        <w:t>K29.41 – Chronic atrophic gastritis with bleeding</w:t>
      </w:r>
    </w:p>
    <w:p w14:paraId="0DFA2E69" w14:textId="4CA51375" w:rsidR="00E13924" w:rsidRDefault="00E13924" w:rsidP="00A21A7E">
      <w:pPr>
        <w:pStyle w:val="ListParagraph"/>
        <w:numPr>
          <w:ilvl w:val="2"/>
          <w:numId w:val="1"/>
        </w:numPr>
      </w:pPr>
      <w:r>
        <w:t>K29.51 – Unspecified chronic gastritis with bleeding</w:t>
      </w:r>
    </w:p>
    <w:p w14:paraId="02FD5B52" w14:textId="3C3F853A" w:rsidR="00E13924" w:rsidRDefault="00E13924" w:rsidP="00A21A7E">
      <w:pPr>
        <w:pStyle w:val="ListParagraph"/>
        <w:numPr>
          <w:ilvl w:val="2"/>
          <w:numId w:val="1"/>
        </w:numPr>
      </w:pPr>
      <w:r>
        <w:t>K29.61 – Other gastritis with bleeding</w:t>
      </w:r>
    </w:p>
    <w:p w14:paraId="60446E12" w14:textId="6A488921" w:rsidR="00E13924" w:rsidRDefault="00E13924" w:rsidP="00A21A7E">
      <w:pPr>
        <w:pStyle w:val="ListParagraph"/>
        <w:numPr>
          <w:ilvl w:val="2"/>
          <w:numId w:val="1"/>
        </w:numPr>
      </w:pPr>
      <w:r>
        <w:t xml:space="preserve">K29.71 </w:t>
      </w:r>
      <w:r w:rsidR="00243448">
        <w:t>–</w:t>
      </w:r>
      <w:r>
        <w:t xml:space="preserve"> </w:t>
      </w:r>
      <w:r w:rsidR="00243448">
        <w:t>Gastritis, unspecified, with bleeding</w:t>
      </w:r>
    </w:p>
    <w:p w14:paraId="3F599226" w14:textId="4D70D92A" w:rsidR="00243448" w:rsidRDefault="00243448" w:rsidP="00A21A7E">
      <w:pPr>
        <w:pStyle w:val="ListParagraph"/>
        <w:numPr>
          <w:ilvl w:val="2"/>
          <w:numId w:val="1"/>
        </w:numPr>
      </w:pPr>
      <w:r>
        <w:t xml:space="preserve">K29.81 – </w:t>
      </w:r>
      <w:proofErr w:type="spellStart"/>
      <w:r>
        <w:t>Duodenitis</w:t>
      </w:r>
      <w:proofErr w:type="spellEnd"/>
      <w:r>
        <w:t xml:space="preserve"> with bleeding</w:t>
      </w:r>
    </w:p>
    <w:p w14:paraId="46051E86" w14:textId="1FEFB304" w:rsidR="00243448" w:rsidRDefault="00243448" w:rsidP="00A21A7E">
      <w:pPr>
        <w:pStyle w:val="ListParagraph"/>
        <w:numPr>
          <w:ilvl w:val="2"/>
          <w:numId w:val="1"/>
        </w:numPr>
      </w:pPr>
      <w:r>
        <w:t xml:space="preserve">K29.91 – </w:t>
      </w:r>
      <w:proofErr w:type="spellStart"/>
      <w:r>
        <w:t>Gastroduodenitis</w:t>
      </w:r>
      <w:proofErr w:type="spellEnd"/>
      <w:r>
        <w:t>, unspecified, with bleeding</w:t>
      </w:r>
    </w:p>
    <w:p w14:paraId="1952FE3A" w14:textId="33F484A6" w:rsidR="00243448" w:rsidRDefault="00243448" w:rsidP="00A21A7E">
      <w:pPr>
        <w:pStyle w:val="ListParagraph"/>
        <w:numPr>
          <w:ilvl w:val="2"/>
          <w:numId w:val="1"/>
        </w:numPr>
      </w:pPr>
      <w:r>
        <w:t xml:space="preserve">K31.811 – </w:t>
      </w:r>
      <w:proofErr w:type="spellStart"/>
      <w:r>
        <w:t>Angiodysplasia</w:t>
      </w:r>
      <w:proofErr w:type="spellEnd"/>
      <w:r>
        <w:t xml:space="preserve"> –of stomach and duodenum with bleeding</w:t>
      </w:r>
    </w:p>
    <w:p w14:paraId="2A3AFC79" w14:textId="425882CB" w:rsidR="00243448" w:rsidRDefault="00243448" w:rsidP="00A21A7E">
      <w:pPr>
        <w:pStyle w:val="ListParagraph"/>
        <w:numPr>
          <w:ilvl w:val="2"/>
          <w:numId w:val="1"/>
        </w:numPr>
      </w:pPr>
      <w:r>
        <w:t xml:space="preserve">K31.82 – </w:t>
      </w:r>
      <w:proofErr w:type="spellStart"/>
      <w:r>
        <w:t>Dieulafoy</w:t>
      </w:r>
      <w:proofErr w:type="spellEnd"/>
      <w:r>
        <w:t xml:space="preserve"> lesion (hemorrhagic) of stomach and duodenum</w:t>
      </w:r>
    </w:p>
    <w:p w14:paraId="75DA3751" w14:textId="77777777" w:rsidR="00243448" w:rsidRDefault="00243448" w:rsidP="00243448"/>
    <w:p w14:paraId="2DB2CA18" w14:textId="3E686D64" w:rsidR="00A10449" w:rsidRDefault="00A10449" w:rsidP="00A10449">
      <w:pPr>
        <w:pStyle w:val="ListParagraph"/>
        <w:numPr>
          <w:ilvl w:val="1"/>
          <w:numId w:val="1"/>
        </w:numPr>
      </w:pPr>
      <w:r>
        <w:t>SNOMED CT codes</w:t>
      </w:r>
    </w:p>
    <w:p w14:paraId="43D69042" w14:textId="4701C68C" w:rsidR="006B10C6" w:rsidRDefault="006B10C6" w:rsidP="006B10C6">
      <w:pPr>
        <w:pStyle w:val="ListParagraph"/>
        <w:numPr>
          <w:ilvl w:val="2"/>
          <w:numId w:val="1"/>
        </w:numPr>
        <w:rPr>
          <w:rFonts w:ascii="Times New Roman" w:eastAsia="Times New Roman" w:hAnsi="Times New Roman" w:cs="Times New Roman"/>
        </w:rPr>
      </w:pPr>
      <w:r w:rsidRPr="006B10C6">
        <w:rPr>
          <w:rFonts w:ascii="Times New Roman" w:eastAsia="Times New Roman" w:hAnsi="Times New Roman" w:cs="Times New Roman"/>
        </w:rPr>
        <w:t>61401005</w:t>
      </w:r>
      <w:r w:rsidR="00BB23E8">
        <w:rPr>
          <w:rFonts w:ascii="Times New Roman" w:eastAsia="Times New Roman" w:hAnsi="Times New Roman" w:cs="Times New Roman"/>
        </w:rPr>
        <w:t xml:space="preserve"> </w:t>
      </w:r>
      <w:r>
        <w:rPr>
          <w:rFonts w:ascii="Times New Roman" w:eastAsia="Times New Roman" w:hAnsi="Times New Roman" w:cs="Times New Roman"/>
        </w:rPr>
        <w:t xml:space="preserve">- </w:t>
      </w:r>
      <w:r w:rsidR="00EB58C2">
        <w:rPr>
          <w:rFonts w:ascii="Times New Roman" w:eastAsia="Times New Roman" w:hAnsi="Times New Roman" w:cs="Times New Roman"/>
        </w:rPr>
        <w:t>Gastric hemorrhage</w:t>
      </w:r>
    </w:p>
    <w:p w14:paraId="1F58F3B4" w14:textId="77777777" w:rsidR="00EB58C2" w:rsidRPr="006B10C6" w:rsidRDefault="00EB58C2" w:rsidP="006B10C6">
      <w:pPr>
        <w:pStyle w:val="ListParagraph"/>
        <w:numPr>
          <w:ilvl w:val="2"/>
          <w:numId w:val="1"/>
        </w:numPr>
        <w:rPr>
          <w:rFonts w:ascii="Times New Roman" w:eastAsia="Times New Roman" w:hAnsi="Times New Roman" w:cs="Times New Roman"/>
        </w:rPr>
      </w:pPr>
    </w:p>
    <w:p w14:paraId="10022C41" w14:textId="77777777" w:rsidR="00A10449" w:rsidRDefault="00A10449" w:rsidP="00A10449">
      <w:pPr>
        <w:pStyle w:val="ListParagraph"/>
        <w:numPr>
          <w:ilvl w:val="2"/>
          <w:numId w:val="1"/>
        </w:numPr>
      </w:pPr>
    </w:p>
    <w:p w14:paraId="41920DA0" w14:textId="0B2C5D90" w:rsidR="00417B8E" w:rsidRDefault="00417B8E" w:rsidP="00243448">
      <w:r>
        <w:t>Add SNOMED CT</w:t>
      </w:r>
    </w:p>
    <w:p w14:paraId="1B219535" w14:textId="77777777" w:rsidR="00417B8E" w:rsidRDefault="00417B8E" w:rsidP="00243448"/>
    <w:p w14:paraId="49C915C8" w14:textId="77777777" w:rsidR="00417B8E" w:rsidRDefault="00417B8E" w:rsidP="00243448"/>
    <w:p w14:paraId="55DAE8AF" w14:textId="77777777" w:rsidR="00243448" w:rsidRDefault="00243448" w:rsidP="00243448"/>
    <w:p w14:paraId="70413791" w14:textId="65238DD2" w:rsidR="00B27ADA" w:rsidRDefault="006747D2" w:rsidP="006747D2">
      <w:pPr>
        <w:pStyle w:val="ListParagraph"/>
        <w:numPr>
          <w:ilvl w:val="0"/>
          <w:numId w:val="1"/>
        </w:numPr>
      </w:pPr>
      <w:r>
        <w:t xml:space="preserve">Determine if the age of the patient is </w:t>
      </w:r>
      <w:r w:rsidR="0047391E">
        <w:t>greater than 65 years of age. Alert if yes.</w:t>
      </w:r>
    </w:p>
    <w:p w14:paraId="62E0CCF4" w14:textId="77777777" w:rsidR="0047391E" w:rsidRDefault="0047391E" w:rsidP="0047391E"/>
    <w:p w14:paraId="45F75D0C" w14:textId="257A6087" w:rsidR="0047391E" w:rsidRDefault="0047391E" w:rsidP="0047391E">
      <w:pPr>
        <w:pStyle w:val="ListParagraph"/>
        <w:numPr>
          <w:ilvl w:val="0"/>
          <w:numId w:val="1"/>
        </w:numPr>
      </w:pPr>
      <w:r>
        <w:t>Determine if other therapies are being used:</w:t>
      </w:r>
    </w:p>
    <w:p w14:paraId="62D5D722" w14:textId="77777777" w:rsidR="0047391E" w:rsidRDefault="0047391E" w:rsidP="0047391E"/>
    <w:p w14:paraId="6998C996" w14:textId="5577B5BF" w:rsidR="0047391E" w:rsidRDefault="0047391E" w:rsidP="0047391E">
      <w:pPr>
        <w:pStyle w:val="ListParagraph"/>
        <w:numPr>
          <w:ilvl w:val="1"/>
          <w:numId w:val="1"/>
        </w:numPr>
      </w:pPr>
      <w:r>
        <w:t xml:space="preserve">Selective serotonin reuptake inhibitors or Selective norepinephrine reuptake inhibitors using </w:t>
      </w:r>
      <w:proofErr w:type="spellStart"/>
      <w:r>
        <w:t>RxNorm</w:t>
      </w:r>
      <w:proofErr w:type="spellEnd"/>
      <w:r>
        <w:t xml:space="preserve"> codes</w:t>
      </w:r>
    </w:p>
    <w:p w14:paraId="60574567" w14:textId="77777777" w:rsidR="0047391E" w:rsidRDefault="0047391E" w:rsidP="0047391E">
      <w:pPr>
        <w:pStyle w:val="ListParagraph"/>
        <w:numPr>
          <w:ilvl w:val="2"/>
          <w:numId w:val="1"/>
        </w:numPr>
      </w:pPr>
      <w:r>
        <w:t>Citalopram: 2556</w:t>
      </w:r>
    </w:p>
    <w:p w14:paraId="6B002495" w14:textId="77777777" w:rsidR="0047391E" w:rsidRDefault="0047391E" w:rsidP="0047391E">
      <w:pPr>
        <w:pStyle w:val="ListParagraph"/>
        <w:numPr>
          <w:ilvl w:val="2"/>
          <w:numId w:val="1"/>
        </w:numPr>
      </w:pPr>
      <w:r>
        <w:t>Escitalopram: 321988</w:t>
      </w:r>
    </w:p>
    <w:p w14:paraId="628CFB03" w14:textId="77777777" w:rsidR="0047391E" w:rsidRDefault="0047391E" w:rsidP="0047391E">
      <w:pPr>
        <w:pStyle w:val="ListParagraph"/>
        <w:numPr>
          <w:ilvl w:val="2"/>
          <w:numId w:val="1"/>
        </w:numPr>
      </w:pPr>
      <w:r>
        <w:t>Fluoxetine: 4493</w:t>
      </w:r>
    </w:p>
    <w:p w14:paraId="44227F2E" w14:textId="77777777" w:rsidR="0047391E" w:rsidRDefault="0047391E" w:rsidP="0047391E">
      <w:pPr>
        <w:pStyle w:val="ListParagraph"/>
        <w:numPr>
          <w:ilvl w:val="2"/>
          <w:numId w:val="1"/>
        </w:numPr>
      </w:pPr>
      <w:r>
        <w:t>Fluvoxamine: 42355</w:t>
      </w:r>
    </w:p>
    <w:p w14:paraId="70B80045" w14:textId="3FDA3BEC" w:rsidR="00417B8E" w:rsidRDefault="00417B8E" w:rsidP="0047391E">
      <w:pPr>
        <w:pStyle w:val="ListParagraph"/>
        <w:numPr>
          <w:ilvl w:val="2"/>
          <w:numId w:val="1"/>
        </w:numPr>
      </w:pPr>
      <w:proofErr w:type="spellStart"/>
      <w:r>
        <w:t>Levomilnacipran</w:t>
      </w:r>
      <w:proofErr w:type="spellEnd"/>
      <w:r>
        <w:t>: 1433212</w:t>
      </w:r>
    </w:p>
    <w:p w14:paraId="7D6728CA" w14:textId="77777777" w:rsidR="0047391E" w:rsidRDefault="0047391E" w:rsidP="0047391E">
      <w:pPr>
        <w:pStyle w:val="ListParagraph"/>
        <w:numPr>
          <w:ilvl w:val="2"/>
          <w:numId w:val="1"/>
        </w:numPr>
      </w:pPr>
      <w:r>
        <w:t>Paroxetine: 32937</w:t>
      </w:r>
    </w:p>
    <w:p w14:paraId="04665F63" w14:textId="77777777" w:rsidR="0047391E" w:rsidRDefault="0047391E" w:rsidP="0047391E">
      <w:pPr>
        <w:pStyle w:val="ListParagraph"/>
        <w:numPr>
          <w:ilvl w:val="2"/>
          <w:numId w:val="1"/>
        </w:numPr>
      </w:pPr>
      <w:r>
        <w:t>Sertraline: 36437</w:t>
      </w:r>
    </w:p>
    <w:p w14:paraId="151A90FE" w14:textId="2480B55F" w:rsidR="005306F5" w:rsidRDefault="005306F5" w:rsidP="0047391E">
      <w:pPr>
        <w:pStyle w:val="ListParagraph"/>
        <w:numPr>
          <w:ilvl w:val="2"/>
          <w:numId w:val="1"/>
        </w:numPr>
      </w:pPr>
      <w:r>
        <w:t>Trazodone: 10737</w:t>
      </w:r>
    </w:p>
    <w:p w14:paraId="50A56C38" w14:textId="77777777" w:rsidR="007846E2" w:rsidRDefault="0047391E" w:rsidP="0047391E">
      <w:pPr>
        <w:pStyle w:val="ListParagraph"/>
        <w:numPr>
          <w:ilvl w:val="2"/>
          <w:numId w:val="1"/>
        </w:numPr>
      </w:pPr>
      <w:proofErr w:type="spellStart"/>
      <w:r>
        <w:t>Des</w:t>
      </w:r>
      <w:r w:rsidR="007846E2">
        <w:t>venlafaxine</w:t>
      </w:r>
      <w:proofErr w:type="spellEnd"/>
      <w:r w:rsidR="007846E2">
        <w:t>: 734064</w:t>
      </w:r>
    </w:p>
    <w:p w14:paraId="222F7122" w14:textId="77777777" w:rsidR="007846E2" w:rsidRDefault="007846E2" w:rsidP="0047391E">
      <w:pPr>
        <w:pStyle w:val="ListParagraph"/>
        <w:numPr>
          <w:ilvl w:val="2"/>
          <w:numId w:val="1"/>
        </w:numPr>
      </w:pPr>
      <w:r>
        <w:t>Duloxetine: 72625</w:t>
      </w:r>
    </w:p>
    <w:p w14:paraId="43B0F4D3" w14:textId="77777777" w:rsidR="007846E2" w:rsidRDefault="007846E2" w:rsidP="0047391E">
      <w:pPr>
        <w:pStyle w:val="ListParagraph"/>
        <w:numPr>
          <w:ilvl w:val="2"/>
          <w:numId w:val="1"/>
        </w:numPr>
      </w:pPr>
      <w:proofErr w:type="spellStart"/>
      <w:r>
        <w:t>Milnacipran</w:t>
      </w:r>
      <w:proofErr w:type="spellEnd"/>
      <w:r>
        <w:t>: 588250</w:t>
      </w:r>
    </w:p>
    <w:p w14:paraId="3CFC7CD2" w14:textId="77777777" w:rsidR="00417B8E" w:rsidRDefault="007846E2" w:rsidP="0047391E">
      <w:pPr>
        <w:pStyle w:val="ListParagraph"/>
        <w:numPr>
          <w:ilvl w:val="2"/>
          <w:numId w:val="1"/>
        </w:numPr>
      </w:pPr>
      <w:r>
        <w:t>Venlafaxine: 39786</w:t>
      </w:r>
    </w:p>
    <w:p w14:paraId="1DA36136" w14:textId="4AC1326B" w:rsidR="0047391E" w:rsidRDefault="00417B8E" w:rsidP="0047391E">
      <w:pPr>
        <w:pStyle w:val="ListParagraph"/>
        <w:numPr>
          <w:ilvl w:val="2"/>
          <w:numId w:val="1"/>
        </w:numPr>
      </w:pPr>
      <w:proofErr w:type="spellStart"/>
      <w:r>
        <w:t>Vilazodone</w:t>
      </w:r>
      <w:proofErr w:type="spellEnd"/>
      <w:r>
        <w:t>: 1086769</w:t>
      </w:r>
      <w:r>
        <w:br/>
      </w:r>
      <w:r>
        <w:br/>
      </w:r>
    </w:p>
    <w:p w14:paraId="03F3A690" w14:textId="7B65390E" w:rsidR="007846E2" w:rsidRDefault="00C0755F" w:rsidP="007846E2">
      <w:pPr>
        <w:pStyle w:val="ListParagraph"/>
        <w:numPr>
          <w:ilvl w:val="1"/>
          <w:numId w:val="1"/>
        </w:numPr>
      </w:pPr>
      <w:r>
        <w:t xml:space="preserve">Systemic corticosteroids using </w:t>
      </w:r>
      <w:proofErr w:type="spellStart"/>
      <w:r>
        <w:t>RxNorm</w:t>
      </w:r>
      <w:proofErr w:type="spellEnd"/>
      <w:r>
        <w:t xml:space="preserve"> codes:</w:t>
      </w:r>
    </w:p>
    <w:p w14:paraId="1E95FF06" w14:textId="16B960F8" w:rsidR="00C0755F" w:rsidRDefault="00C0755F" w:rsidP="00C0755F">
      <w:pPr>
        <w:pStyle w:val="ListParagraph"/>
        <w:numPr>
          <w:ilvl w:val="2"/>
          <w:numId w:val="1"/>
        </w:numPr>
      </w:pPr>
      <w:r>
        <w:t>Betamethasone: 1514</w:t>
      </w:r>
    </w:p>
    <w:p w14:paraId="523D5A2D" w14:textId="59F06C2D" w:rsidR="00C0755F" w:rsidRDefault="00C0755F" w:rsidP="00C0755F">
      <w:pPr>
        <w:pStyle w:val="ListParagraph"/>
        <w:numPr>
          <w:ilvl w:val="2"/>
          <w:numId w:val="1"/>
        </w:numPr>
      </w:pPr>
      <w:r>
        <w:t>Cortisone: 2878</w:t>
      </w:r>
    </w:p>
    <w:p w14:paraId="3682FB53" w14:textId="3979AB22" w:rsidR="00C0755F" w:rsidRDefault="00C0755F" w:rsidP="00C0755F">
      <w:pPr>
        <w:pStyle w:val="ListParagraph"/>
        <w:numPr>
          <w:ilvl w:val="2"/>
          <w:numId w:val="1"/>
        </w:numPr>
      </w:pPr>
      <w:r>
        <w:t>Dexamethasone: 3264</w:t>
      </w:r>
    </w:p>
    <w:p w14:paraId="08582B16" w14:textId="2054789E" w:rsidR="00C0755F" w:rsidRDefault="00C0755F" w:rsidP="00C0755F">
      <w:pPr>
        <w:pStyle w:val="ListParagraph"/>
        <w:numPr>
          <w:ilvl w:val="2"/>
          <w:numId w:val="1"/>
        </w:numPr>
      </w:pPr>
      <w:r>
        <w:t>Fludrocortisone: 4452</w:t>
      </w:r>
    </w:p>
    <w:p w14:paraId="1A2A5D42" w14:textId="706A726E" w:rsidR="00654E7F" w:rsidRDefault="00654E7F" w:rsidP="00654E7F">
      <w:pPr>
        <w:pStyle w:val="ListParagraph"/>
        <w:numPr>
          <w:ilvl w:val="2"/>
          <w:numId w:val="1"/>
        </w:numPr>
      </w:pPr>
      <w:r>
        <w:t>Hydrocortisone: 5492</w:t>
      </w:r>
    </w:p>
    <w:p w14:paraId="5559C86A" w14:textId="73BAACD2" w:rsidR="00654E7F" w:rsidRDefault="00117FDA" w:rsidP="00654E7F">
      <w:pPr>
        <w:pStyle w:val="ListParagraph"/>
        <w:numPr>
          <w:ilvl w:val="2"/>
          <w:numId w:val="1"/>
        </w:numPr>
      </w:pPr>
      <w:r>
        <w:t>Methylprednisolone: 6902</w:t>
      </w:r>
    </w:p>
    <w:p w14:paraId="167DD0A9" w14:textId="72D8113C" w:rsidR="00117FDA" w:rsidRDefault="00117FDA" w:rsidP="00654E7F">
      <w:pPr>
        <w:pStyle w:val="ListParagraph"/>
        <w:numPr>
          <w:ilvl w:val="2"/>
          <w:numId w:val="1"/>
        </w:numPr>
      </w:pPr>
      <w:r>
        <w:t>Prednisolone: 8638</w:t>
      </w:r>
    </w:p>
    <w:p w14:paraId="16AFD701" w14:textId="0EDF9886" w:rsidR="00117FDA" w:rsidRDefault="00117FDA" w:rsidP="00654E7F">
      <w:pPr>
        <w:pStyle w:val="ListParagraph"/>
        <w:numPr>
          <w:ilvl w:val="2"/>
          <w:numId w:val="1"/>
        </w:numPr>
      </w:pPr>
      <w:r>
        <w:t>Prednisone: 8640</w:t>
      </w:r>
    </w:p>
    <w:p w14:paraId="12CE4952" w14:textId="12CFFD0B" w:rsidR="00117FDA" w:rsidRDefault="00117FDA" w:rsidP="00654E7F">
      <w:pPr>
        <w:pStyle w:val="ListParagraph"/>
        <w:numPr>
          <w:ilvl w:val="2"/>
          <w:numId w:val="1"/>
        </w:numPr>
      </w:pPr>
      <w:r>
        <w:t>Triamcinolone: 10759</w:t>
      </w:r>
    </w:p>
    <w:p w14:paraId="32EAF5F7" w14:textId="4EC06B7F" w:rsidR="00117FDA" w:rsidRDefault="00117FDA" w:rsidP="00654E7F">
      <w:pPr>
        <w:pStyle w:val="ListParagraph"/>
        <w:numPr>
          <w:ilvl w:val="2"/>
          <w:numId w:val="1"/>
        </w:numPr>
      </w:pPr>
      <w:proofErr w:type="spellStart"/>
      <w:r w:rsidRPr="00A03BEB">
        <w:rPr>
          <w:strike/>
        </w:rPr>
        <w:t>Trilostane</w:t>
      </w:r>
      <w:proofErr w:type="spellEnd"/>
      <w:r w:rsidRPr="00A03BEB">
        <w:rPr>
          <w:strike/>
        </w:rPr>
        <w:t>:</w:t>
      </w:r>
      <w:r>
        <w:t xml:space="preserve"> 38668</w:t>
      </w:r>
      <w:r w:rsidR="009078EA">
        <w:br/>
      </w:r>
      <w:r w:rsidR="009078EA">
        <w:br/>
        <w:t xml:space="preserve">Exclude topical, ophthalmic, and </w:t>
      </w:r>
      <w:proofErr w:type="spellStart"/>
      <w:r w:rsidR="009078EA">
        <w:t>otic</w:t>
      </w:r>
      <w:proofErr w:type="spellEnd"/>
      <w:r w:rsidR="009078EA">
        <w:t xml:space="preserve"> preparations.  Keep oral, IM, IV formulations.</w:t>
      </w:r>
      <w:r w:rsidR="00323155">
        <w:t xml:space="preserve">  Alert if on </w:t>
      </w:r>
      <w:r w:rsidR="00154F3B">
        <w:t xml:space="preserve">systemic </w:t>
      </w:r>
      <w:proofErr w:type="spellStart"/>
      <w:r w:rsidR="00154F3B">
        <w:t>corticosteriods</w:t>
      </w:r>
      <w:proofErr w:type="spellEnd"/>
      <w:r w:rsidR="009078EA">
        <w:br/>
      </w:r>
    </w:p>
    <w:p w14:paraId="08FD47B6" w14:textId="7FA96948" w:rsidR="009078EA" w:rsidRDefault="009078EA" w:rsidP="009078EA">
      <w:pPr>
        <w:pStyle w:val="ListParagraph"/>
        <w:numPr>
          <w:ilvl w:val="1"/>
          <w:numId w:val="1"/>
        </w:numPr>
      </w:pPr>
      <w:r>
        <w:t xml:space="preserve">Aldosterone antagonist using </w:t>
      </w:r>
      <w:proofErr w:type="spellStart"/>
      <w:r>
        <w:t>RxNorm</w:t>
      </w:r>
      <w:proofErr w:type="spellEnd"/>
      <w:r>
        <w:t xml:space="preserve"> codes:</w:t>
      </w:r>
    </w:p>
    <w:p w14:paraId="293C0C1C" w14:textId="5FE3ABAC" w:rsidR="009078EA" w:rsidRDefault="00A02067" w:rsidP="009078EA">
      <w:pPr>
        <w:pStyle w:val="ListParagraph"/>
        <w:numPr>
          <w:ilvl w:val="2"/>
          <w:numId w:val="1"/>
        </w:numPr>
      </w:pPr>
      <w:proofErr w:type="spellStart"/>
      <w:r>
        <w:t>Eplerenone</w:t>
      </w:r>
      <w:proofErr w:type="spellEnd"/>
      <w:r>
        <w:t>: 29</w:t>
      </w:r>
      <w:bookmarkStart w:id="1" w:name="_GoBack"/>
      <w:bookmarkEnd w:id="1"/>
      <w:r>
        <w:t>8869</w:t>
      </w:r>
    </w:p>
    <w:p w14:paraId="07E4642C" w14:textId="6917F5CF" w:rsidR="00A02067" w:rsidRDefault="00A02067" w:rsidP="009078EA">
      <w:pPr>
        <w:pStyle w:val="ListParagraph"/>
        <w:numPr>
          <w:ilvl w:val="2"/>
          <w:numId w:val="1"/>
        </w:numPr>
      </w:pPr>
      <w:r>
        <w:t>Spironolactone: 9997</w:t>
      </w:r>
      <w:r w:rsidR="00154F3B">
        <w:br/>
      </w:r>
      <w:r w:rsidR="00154F3B">
        <w:br/>
        <w:t>Alert if on aldosterone antagonists</w:t>
      </w:r>
    </w:p>
    <w:p w14:paraId="3C3DCE76" w14:textId="77777777" w:rsidR="00A02067" w:rsidRDefault="00A02067" w:rsidP="00A02067"/>
    <w:p w14:paraId="19AF5878" w14:textId="77777777" w:rsidR="005730D2" w:rsidRDefault="005730D2"/>
    <w:p w14:paraId="74A88CB7" w14:textId="77777777" w:rsidR="00A5280A" w:rsidRDefault="00A5280A" w:rsidP="00A5280A"/>
    <w:p w14:paraId="5AEE9264" w14:textId="77777777" w:rsidR="00A5280A" w:rsidRDefault="00A5280A" w:rsidP="00A5280A"/>
    <w:p w14:paraId="532092D2" w14:textId="77777777" w:rsidR="005730D2" w:rsidRDefault="005730D2"/>
    <w:sectPr w:rsidR="005730D2" w:rsidSect="00A915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 Malone" w:date="2016-08-04T09:10:00Z" w:initials="DM">
    <w:p w14:paraId="063FDED0" w14:textId="4354803A" w:rsidR="00C26C57" w:rsidRDefault="00C26C57">
      <w:pPr>
        <w:pStyle w:val="CommentText"/>
      </w:pPr>
      <w:r>
        <w:rPr>
          <w:rStyle w:val="CommentReference"/>
        </w:rPr>
        <w:annotationRef/>
      </w:r>
      <w:r w:rsidR="00BB23E8">
        <w:t>Phil to check on H2RA products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FDE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A50F3"/>
    <w:multiLevelType w:val="hybridMultilevel"/>
    <w:tmpl w:val="70A2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F31F6"/>
    <w:multiLevelType w:val="multilevel"/>
    <w:tmpl w:val="F096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EB6332"/>
    <w:multiLevelType w:val="multilevel"/>
    <w:tmpl w:val="92BE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C1179"/>
    <w:multiLevelType w:val="multilevel"/>
    <w:tmpl w:val="F99E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EA5F1E"/>
    <w:multiLevelType w:val="hybridMultilevel"/>
    <w:tmpl w:val="8EB89D8A"/>
    <w:lvl w:ilvl="0" w:tplc="492EF5BA">
      <w:start w:val="2"/>
      <w:numFmt w:val="decimal"/>
      <w:lvlText w:val="%1."/>
      <w:lvlJc w:val="left"/>
      <w:pPr>
        <w:tabs>
          <w:tab w:val="num" w:pos="720"/>
        </w:tabs>
        <w:ind w:left="720" w:hanging="360"/>
      </w:pPr>
    </w:lvl>
    <w:lvl w:ilvl="1" w:tplc="7BA6F130">
      <w:start w:val="2"/>
      <w:numFmt w:val="lowerLetter"/>
      <w:lvlText w:val="%2."/>
      <w:lvlJc w:val="left"/>
      <w:pPr>
        <w:tabs>
          <w:tab w:val="num" w:pos="1440"/>
        </w:tabs>
        <w:ind w:left="1440" w:hanging="360"/>
      </w:pPr>
    </w:lvl>
    <w:lvl w:ilvl="2" w:tplc="7BDE5712">
      <w:start w:val="1"/>
      <w:numFmt w:val="decimal"/>
      <w:lvlText w:val="%3."/>
      <w:lvlJc w:val="left"/>
      <w:pPr>
        <w:tabs>
          <w:tab w:val="num" w:pos="2160"/>
        </w:tabs>
        <w:ind w:left="2160" w:hanging="360"/>
      </w:pPr>
    </w:lvl>
    <w:lvl w:ilvl="3" w:tplc="D2801566" w:tentative="1">
      <w:start w:val="1"/>
      <w:numFmt w:val="decimal"/>
      <w:lvlText w:val="%4."/>
      <w:lvlJc w:val="left"/>
      <w:pPr>
        <w:tabs>
          <w:tab w:val="num" w:pos="2880"/>
        </w:tabs>
        <w:ind w:left="2880" w:hanging="360"/>
      </w:pPr>
    </w:lvl>
    <w:lvl w:ilvl="4" w:tplc="580E6A66" w:tentative="1">
      <w:start w:val="1"/>
      <w:numFmt w:val="decimal"/>
      <w:lvlText w:val="%5."/>
      <w:lvlJc w:val="left"/>
      <w:pPr>
        <w:tabs>
          <w:tab w:val="num" w:pos="3600"/>
        </w:tabs>
        <w:ind w:left="3600" w:hanging="360"/>
      </w:pPr>
    </w:lvl>
    <w:lvl w:ilvl="5" w:tplc="36CCA70C" w:tentative="1">
      <w:start w:val="1"/>
      <w:numFmt w:val="decimal"/>
      <w:lvlText w:val="%6."/>
      <w:lvlJc w:val="left"/>
      <w:pPr>
        <w:tabs>
          <w:tab w:val="num" w:pos="4320"/>
        </w:tabs>
        <w:ind w:left="4320" w:hanging="360"/>
      </w:pPr>
    </w:lvl>
    <w:lvl w:ilvl="6" w:tplc="27DA5EB8" w:tentative="1">
      <w:start w:val="1"/>
      <w:numFmt w:val="decimal"/>
      <w:lvlText w:val="%7."/>
      <w:lvlJc w:val="left"/>
      <w:pPr>
        <w:tabs>
          <w:tab w:val="num" w:pos="5040"/>
        </w:tabs>
        <w:ind w:left="5040" w:hanging="360"/>
      </w:pPr>
    </w:lvl>
    <w:lvl w:ilvl="7" w:tplc="4A52796A" w:tentative="1">
      <w:start w:val="1"/>
      <w:numFmt w:val="decimal"/>
      <w:lvlText w:val="%8."/>
      <w:lvlJc w:val="left"/>
      <w:pPr>
        <w:tabs>
          <w:tab w:val="num" w:pos="5760"/>
        </w:tabs>
        <w:ind w:left="5760" w:hanging="360"/>
      </w:pPr>
    </w:lvl>
    <w:lvl w:ilvl="8" w:tplc="7E2E22AE" w:tentative="1">
      <w:start w:val="1"/>
      <w:numFmt w:val="decimal"/>
      <w:lvlText w:val="%9."/>
      <w:lvlJc w:val="left"/>
      <w:pPr>
        <w:tabs>
          <w:tab w:val="num" w:pos="6480"/>
        </w:tabs>
        <w:ind w:left="6480" w:hanging="360"/>
      </w:pPr>
    </w:lvl>
  </w:abstractNum>
  <w:abstractNum w:abstractNumId="5">
    <w:nsid w:val="25736E3F"/>
    <w:multiLevelType w:val="hybridMultilevel"/>
    <w:tmpl w:val="0DF82F82"/>
    <w:lvl w:ilvl="0" w:tplc="A0F8F7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F438BB"/>
    <w:multiLevelType w:val="hybridMultilevel"/>
    <w:tmpl w:val="E604A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0D251A"/>
    <w:multiLevelType w:val="multilevel"/>
    <w:tmpl w:val="2A5E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53624A"/>
    <w:multiLevelType w:val="multilevel"/>
    <w:tmpl w:val="DC684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3745D3"/>
    <w:multiLevelType w:val="multilevel"/>
    <w:tmpl w:val="FFFAC52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HAnsi" w:eastAsiaTheme="minorHAnsi" w:hAnsiTheme="minorHAns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9"/>
  </w:num>
  <w:num w:numId="4">
    <w:abstractNumId w:val="7"/>
  </w:num>
  <w:num w:numId="5">
    <w:abstractNumId w:val="8"/>
    <w:lvlOverride w:ilvl="1">
      <w:lvl w:ilvl="1">
        <w:numFmt w:val="lowerLetter"/>
        <w:lvlText w:val="%2."/>
        <w:lvlJc w:val="left"/>
      </w:lvl>
    </w:lvlOverride>
  </w:num>
  <w:num w:numId="6">
    <w:abstractNumId w:val="8"/>
    <w:lvlOverride w:ilvl="1">
      <w:lvl w:ilvl="1">
        <w:numFmt w:val="lowerLetter"/>
        <w:lvlText w:val="%2."/>
        <w:lvlJc w:val="left"/>
      </w:lvl>
    </w:lvlOverride>
    <w:lvlOverride w:ilvl="2">
      <w:lvl w:ilvl="2">
        <w:numFmt w:val="lowerRoman"/>
        <w:lvlText w:val="%3."/>
        <w:lvlJc w:val="right"/>
      </w:lvl>
    </w:lvlOverride>
  </w:num>
  <w:num w:numId="7">
    <w:abstractNumId w:val="4"/>
  </w:num>
  <w:num w:numId="8">
    <w:abstractNumId w:val="4"/>
    <w:lvlOverride w:ilvl="2">
      <w:lvl w:ilvl="2" w:tplc="7BDE5712">
        <w:numFmt w:val="lowerRoman"/>
        <w:lvlText w:val="%3."/>
        <w:lvlJc w:val="right"/>
      </w:lvl>
    </w:lvlOverride>
  </w:num>
  <w:num w:numId="9">
    <w:abstractNumId w:val="1"/>
  </w:num>
  <w:num w:numId="10">
    <w:abstractNumId w:val="2"/>
  </w:num>
  <w:num w:numId="11">
    <w:abstractNumId w:val="3"/>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 Malone">
    <w15:presenceInfo w15:providerId="None" w15:userId="Dan Malo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E5"/>
    <w:rsid w:val="00064126"/>
    <w:rsid w:val="000E213E"/>
    <w:rsid w:val="00111BE7"/>
    <w:rsid w:val="00117FDA"/>
    <w:rsid w:val="00154F3B"/>
    <w:rsid w:val="00243448"/>
    <w:rsid w:val="002C07CB"/>
    <w:rsid w:val="00306816"/>
    <w:rsid w:val="00313AE5"/>
    <w:rsid w:val="00323155"/>
    <w:rsid w:val="004074DF"/>
    <w:rsid w:val="00417B8E"/>
    <w:rsid w:val="00446BED"/>
    <w:rsid w:val="0047391E"/>
    <w:rsid w:val="005306F5"/>
    <w:rsid w:val="005730D2"/>
    <w:rsid w:val="00654E7F"/>
    <w:rsid w:val="006747D2"/>
    <w:rsid w:val="006B10C6"/>
    <w:rsid w:val="00703972"/>
    <w:rsid w:val="007846E2"/>
    <w:rsid w:val="00790B39"/>
    <w:rsid w:val="0082618D"/>
    <w:rsid w:val="009078EA"/>
    <w:rsid w:val="0097085C"/>
    <w:rsid w:val="00A02067"/>
    <w:rsid w:val="00A03BEB"/>
    <w:rsid w:val="00A10449"/>
    <w:rsid w:val="00A5280A"/>
    <w:rsid w:val="00A74D61"/>
    <w:rsid w:val="00A9152B"/>
    <w:rsid w:val="00AD7FA3"/>
    <w:rsid w:val="00B27ADA"/>
    <w:rsid w:val="00B61A95"/>
    <w:rsid w:val="00B67A5D"/>
    <w:rsid w:val="00BB23E8"/>
    <w:rsid w:val="00C0755F"/>
    <w:rsid w:val="00C26C57"/>
    <w:rsid w:val="00CA25D1"/>
    <w:rsid w:val="00CC7CE9"/>
    <w:rsid w:val="00D00536"/>
    <w:rsid w:val="00E11B8C"/>
    <w:rsid w:val="00E13924"/>
    <w:rsid w:val="00E224F3"/>
    <w:rsid w:val="00EB58C2"/>
    <w:rsid w:val="00F34013"/>
    <w:rsid w:val="00F40366"/>
    <w:rsid w:val="00FC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0A4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D2"/>
    <w:pPr>
      <w:ind w:left="720"/>
      <w:contextualSpacing/>
    </w:pPr>
  </w:style>
  <w:style w:type="paragraph" w:styleId="NormalWeb">
    <w:name w:val="Normal (Web)"/>
    <w:basedOn w:val="Normal"/>
    <w:uiPriority w:val="99"/>
    <w:semiHidden/>
    <w:unhideWhenUsed/>
    <w:rsid w:val="0097085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97085C"/>
    <w:rPr>
      <w:color w:val="0000FF"/>
      <w:u w:val="single"/>
    </w:rPr>
  </w:style>
  <w:style w:type="character" w:styleId="FollowedHyperlink">
    <w:name w:val="FollowedHyperlink"/>
    <w:basedOn w:val="DefaultParagraphFont"/>
    <w:uiPriority w:val="99"/>
    <w:semiHidden/>
    <w:unhideWhenUsed/>
    <w:rsid w:val="00111BE7"/>
    <w:rPr>
      <w:color w:val="954F72" w:themeColor="followedHyperlink"/>
      <w:u w:val="single"/>
    </w:rPr>
  </w:style>
  <w:style w:type="character" w:styleId="CommentReference">
    <w:name w:val="annotation reference"/>
    <w:basedOn w:val="DefaultParagraphFont"/>
    <w:uiPriority w:val="99"/>
    <w:semiHidden/>
    <w:unhideWhenUsed/>
    <w:rsid w:val="00D00536"/>
    <w:rPr>
      <w:sz w:val="18"/>
      <w:szCs w:val="18"/>
    </w:rPr>
  </w:style>
  <w:style w:type="paragraph" w:styleId="CommentText">
    <w:name w:val="annotation text"/>
    <w:basedOn w:val="Normal"/>
    <w:link w:val="CommentTextChar"/>
    <w:uiPriority w:val="99"/>
    <w:semiHidden/>
    <w:unhideWhenUsed/>
    <w:rsid w:val="00D00536"/>
  </w:style>
  <w:style w:type="character" w:customStyle="1" w:styleId="CommentTextChar">
    <w:name w:val="Comment Text Char"/>
    <w:basedOn w:val="DefaultParagraphFont"/>
    <w:link w:val="CommentText"/>
    <w:uiPriority w:val="99"/>
    <w:semiHidden/>
    <w:rsid w:val="00D00536"/>
  </w:style>
  <w:style w:type="paragraph" w:styleId="CommentSubject">
    <w:name w:val="annotation subject"/>
    <w:basedOn w:val="CommentText"/>
    <w:next w:val="CommentText"/>
    <w:link w:val="CommentSubjectChar"/>
    <w:uiPriority w:val="99"/>
    <w:semiHidden/>
    <w:unhideWhenUsed/>
    <w:rsid w:val="00D00536"/>
    <w:rPr>
      <w:b/>
      <w:bCs/>
      <w:sz w:val="20"/>
      <w:szCs w:val="20"/>
    </w:rPr>
  </w:style>
  <w:style w:type="character" w:customStyle="1" w:styleId="CommentSubjectChar">
    <w:name w:val="Comment Subject Char"/>
    <w:basedOn w:val="CommentTextChar"/>
    <w:link w:val="CommentSubject"/>
    <w:uiPriority w:val="99"/>
    <w:semiHidden/>
    <w:rsid w:val="00D00536"/>
    <w:rPr>
      <w:b/>
      <w:bCs/>
      <w:sz w:val="20"/>
      <w:szCs w:val="20"/>
    </w:rPr>
  </w:style>
  <w:style w:type="paragraph" w:styleId="BalloonText">
    <w:name w:val="Balloon Text"/>
    <w:basedOn w:val="Normal"/>
    <w:link w:val="BalloonTextChar"/>
    <w:uiPriority w:val="99"/>
    <w:semiHidden/>
    <w:unhideWhenUsed/>
    <w:rsid w:val="00D005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05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015">
      <w:bodyDiv w:val="1"/>
      <w:marLeft w:val="0"/>
      <w:marRight w:val="0"/>
      <w:marTop w:val="0"/>
      <w:marBottom w:val="0"/>
      <w:divBdr>
        <w:top w:val="none" w:sz="0" w:space="0" w:color="auto"/>
        <w:left w:val="none" w:sz="0" w:space="0" w:color="auto"/>
        <w:bottom w:val="none" w:sz="0" w:space="0" w:color="auto"/>
        <w:right w:val="none" w:sz="0" w:space="0" w:color="auto"/>
      </w:divBdr>
    </w:div>
    <w:div w:id="162354570">
      <w:bodyDiv w:val="1"/>
      <w:marLeft w:val="0"/>
      <w:marRight w:val="0"/>
      <w:marTop w:val="0"/>
      <w:marBottom w:val="0"/>
      <w:divBdr>
        <w:top w:val="none" w:sz="0" w:space="0" w:color="auto"/>
        <w:left w:val="none" w:sz="0" w:space="0" w:color="auto"/>
        <w:bottom w:val="none" w:sz="0" w:space="0" w:color="auto"/>
        <w:right w:val="none" w:sz="0" w:space="0" w:color="auto"/>
      </w:divBdr>
    </w:div>
    <w:div w:id="284820748">
      <w:bodyDiv w:val="1"/>
      <w:marLeft w:val="0"/>
      <w:marRight w:val="0"/>
      <w:marTop w:val="0"/>
      <w:marBottom w:val="0"/>
      <w:divBdr>
        <w:top w:val="none" w:sz="0" w:space="0" w:color="auto"/>
        <w:left w:val="none" w:sz="0" w:space="0" w:color="auto"/>
        <w:bottom w:val="none" w:sz="0" w:space="0" w:color="auto"/>
        <w:right w:val="none" w:sz="0" w:space="0" w:color="auto"/>
      </w:divBdr>
    </w:div>
    <w:div w:id="676887466">
      <w:bodyDiv w:val="1"/>
      <w:marLeft w:val="0"/>
      <w:marRight w:val="0"/>
      <w:marTop w:val="0"/>
      <w:marBottom w:val="0"/>
      <w:divBdr>
        <w:top w:val="none" w:sz="0" w:space="0" w:color="auto"/>
        <w:left w:val="none" w:sz="0" w:space="0" w:color="auto"/>
        <w:bottom w:val="none" w:sz="0" w:space="0" w:color="auto"/>
        <w:right w:val="none" w:sz="0" w:space="0" w:color="auto"/>
      </w:divBdr>
    </w:div>
    <w:div w:id="872964443">
      <w:bodyDiv w:val="1"/>
      <w:marLeft w:val="0"/>
      <w:marRight w:val="0"/>
      <w:marTop w:val="0"/>
      <w:marBottom w:val="0"/>
      <w:divBdr>
        <w:top w:val="none" w:sz="0" w:space="0" w:color="auto"/>
        <w:left w:val="none" w:sz="0" w:space="0" w:color="auto"/>
        <w:bottom w:val="none" w:sz="0" w:space="0" w:color="auto"/>
        <w:right w:val="none" w:sz="0" w:space="0" w:color="auto"/>
      </w:divBdr>
    </w:div>
    <w:div w:id="1492796325">
      <w:bodyDiv w:val="1"/>
      <w:marLeft w:val="0"/>
      <w:marRight w:val="0"/>
      <w:marTop w:val="0"/>
      <w:marBottom w:val="0"/>
      <w:divBdr>
        <w:top w:val="none" w:sz="0" w:space="0" w:color="auto"/>
        <w:left w:val="none" w:sz="0" w:space="0" w:color="auto"/>
        <w:bottom w:val="none" w:sz="0" w:space="0" w:color="auto"/>
        <w:right w:val="none" w:sz="0" w:space="0" w:color="auto"/>
      </w:divBdr>
    </w:div>
    <w:div w:id="1507747618">
      <w:bodyDiv w:val="1"/>
      <w:marLeft w:val="0"/>
      <w:marRight w:val="0"/>
      <w:marTop w:val="0"/>
      <w:marBottom w:val="0"/>
      <w:divBdr>
        <w:top w:val="none" w:sz="0" w:space="0" w:color="auto"/>
        <w:left w:val="none" w:sz="0" w:space="0" w:color="auto"/>
        <w:bottom w:val="none" w:sz="0" w:space="0" w:color="auto"/>
        <w:right w:val="none" w:sz="0" w:space="0" w:color="auto"/>
      </w:divBdr>
    </w:div>
    <w:div w:id="1772702289">
      <w:bodyDiv w:val="1"/>
      <w:marLeft w:val="0"/>
      <w:marRight w:val="0"/>
      <w:marTop w:val="0"/>
      <w:marBottom w:val="0"/>
      <w:divBdr>
        <w:top w:val="none" w:sz="0" w:space="0" w:color="auto"/>
        <w:left w:val="none" w:sz="0" w:space="0" w:color="auto"/>
        <w:bottom w:val="none" w:sz="0" w:space="0" w:color="auto"/>
        <w:right w:val="none" w:sz="0" w:space="0" w:color="auto"/>
      </w:divBdr>
    </w:div>
    <w:div w:id="1781561937">
      <w:bodyDiv w:val="1"/>
      <w:marLeft w:val="0"/>
      <w:marRight w:val="0"/>
      <w:marTop w:val="0"/>
      <w:marBottom w:val="0"/>
      <w:divBdr>
        <w:top w:val="none" w:sz="0" w:space="0" w:color="auto"/>
        <w:left w:val="none" w:sz="0" w:space="0" w:color="auto"/>
        <w:bottom w:val="none" w:sz="0" w:space="0" w:color="auto"/>
        <w:right w:val="none" w:sz="0" w:space="0" w:color="auto"/>
      </w:divBdr>
    </w:div>
    <w:div w:id="1939824349">
      <w:bodyDiv w:val="1"/>
      <w:marLeft w:val="0"/>
      <w:marRight w:val="0"/>
      <w:marTop w:val="0"/>
      <w:marBottom w:val="0"/>
      <w:divBdr>
        <w:top w:val="none" w:sz="0" w:space="0" w:color="auto"/>
        <w:left w:val="none" w:sz="0" w:space="0" w:color="auto"/>
        <w:bottom w:val="none" w:sz="0" w:space="0" w:color="auto"/>
        <w:right w:val="none" w:sz="0" w:space="0" w:color="auto"/>
      </w:divBdr>
    </w:div>
    <w:div w:id="2011907141">
      <w:bodyDiv w:val="1"/>
      <w:marLeft w:val="0"/>
      <w:marRight w:val="0"/>
      <w:marTop w:val="0"/>
      <w:marBottom w:val="0"/>
      <w:divBdr>
        <w:top w:val="none" w:sz="0" w:space="0" w:color="auto"/>
        <w:left w:val="none" w:sz="0" w:space="0" w:color="auto"/>
        <w:bottom w:val="none" w:sz="0" w:space="0" w:color="auto"/>
        <w:right w:val="none" w:sz="0" w:space="0" w:color="auto"/>
      </w:divBdr>
    </w:div>
    <w:div w:id="2014456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hocc.no/atc_ddd_index/"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1116</Words>
  <Characters>6367</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Malone</dc:creator>
  <cp:keywords/>
  <dc:description/>
  <cp:lastModifiedBy>Dan Malone</cp:lastModifiedBy>
  <cp:revision>6</cp:revision>
  <dcterms:created xsi:type="dcterms:W3CDTF">2016-08-04T15:47:00Z</dcterms:created>
  <dcterms:modified xsi:type="dcterms:W3CDTF">2016-08-04T16:35:00Z</dcterms:modified>
</cp:coreProperties>
</file>