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4E79"/>
          <w:sz w:val="56"/>
          <w:szCs w:val="56"/>
        </w:rPr>
        <w:t xml:space="preserve">Caliper SDPi</w:t>
      </w:r>
    </w:p>
    <w:p>
      <w:pPr>
        <w:spacing w:after="100"/>
        <w:jc w:val="center"/>
      </w:pPr>
      <w:r>
        <w:rPr>
          <w:rFonts w:ascii="Calibri" w:cs="Calibri" w:eastAsia="Calibri" w:hAnsi="Calibri"/>
          <w:b/>
          <w:bCs/>
          <w:color w:val="404040"/>
          <w:sz w:val="40"/>
          <w:szCs w:val="40"/>
        </w:rPr>
        <w:t xml:space="preserve">Microlearning Series</w:t>
      </w:r>
    </w:p>
    <w:p>
      <w:pPr>
        <w:spacing w:after="800"/>
        <w:jc w:val="center"/>
      </w:pPr>
      <w:r>
        <w:rPr>
          <w:rFonts w:ascii="Calibri" w:cs="Calibri" w:eastAsia="Calibri" w:hAnsi="Calibri"/>
          <w:i/>
          <w:iCs/>
          <w:color w:val="595959"/>
          <w:sz w:val="24"/>
          <w:szCs w:val="24"/>
        </w:rPr>
        <w:t xml:space="preserve">Modules 1–6 · Phase 1 (Getting Started) and an introduction to Phases 2/3</w:t>
      </w:r>
    </w:p>
    <w:p>
      <w:pPr>
        <w:spacing w:after="100"/>
        <w:jc w:val="center"/>
      </w:pPr>
      <w:r>
        <w:rPr>
          <w:rFonts w:ascii="Calibri" w:cs="Calibri" w:eastAsia="Calibri" w:hAnsi="Calibri"/>
          <w:sz w:val="22"/>
          <w:szCs w:val="22"/>
        </w:rPr>
        <w:t xml:space="preserve">A Caliper Educational Project contributed by Critical Software and Vector Informatik.</w:t>
      </w:r>
    </w:p>
    <w:p>
      <w:pPr>
        <w:spacing w:after="2000"/>
        <w:jc w:val="center"/>
      </w:pPr>
      <w:r>
        <w:rPr>
          <w:rFonts w:ascii="Calibri" w:cs="Calibri" w:eastAsia="Calibri" w:hAnsi="Calibri"/>
          <w:i/>
          <w:iCs/>
          <w:color w:val="808080"/>
          <w:sz w:val="20"/>
          <w:szCs w:val="20"/>
        </w:rPr>
        <w:t xml:space="preserve">Extract prepared for sharing — content checked for internal consistency and clarity.</w:t>
      </w:r>
    </w:p>
    <w:p>
      <w:pPr>
        <w:pageBreakBefore/>
      </w:pPr>
    </w:p>
    <w:p>
      <w:pPr>
        <w:pStyle w:val="Heading1"/>
        <w:spacing w:after="200" w:before="400"/>
      </w:pPr>
      <w:r>
        <w:rPr>
          <w:rFonts w:ascii="Calibri" w:cs="Calibri" w:eastAsia="Calibri" w:hAnsi="Calibri"/>
          <w:b/>
          <w:bCs/>
          <w:color w:val="1F4E79"/>
          <w:sz w:val="32"/>
          <w:szCs w:val="32"/>
        </w:rPr>
        <w:t xml:space="preserve">About this series</w:t>
      </w:r>
    </w:p>
    <w:p>
      <w:pPr>
        <w:spacing w:after="150"/>
      </w:pPr>
      <w:r>
        <w:rPr>
          <w:rFonts w:ascii="Calibri" w:cs="Calibri" w:eastAsia="Calibri" w:hAnsi="Calibri"/>
          <w:sz w:val="22"/>
          <w:szCs w:val="22"/>
        </w:rPr>
        <w:t xml:space="preserve">The SDPi Microlearning series gives every stakeholder a credible, accessible entry point into SDPi — Service-oriented Device Point-of-care Interoperability for medical devices. SDPi is not something you can grasp by walking in off the street: even experienced professionals who know both standards and devices have struggled to orient themselves. This series fixes that with short, standalone units of 10–15 minutes that also combine into structured learning paths.</w:t>
      </w:r>
    </w:p>
    <w:p>
      <w:pPr>
        <w:spacing w:after="150"/>
      </w:pPr>
      <w:r>
        <w:rPr>
          <w:rFonts w:ascii="Calibri" w:cs="Calibri" w:eastAsia="Calibri" w:hAnsi="Calibri"/>
          <w:sz w:val="22"/>
          <w:szCs w:val="22"/>
        </w:rPr>
        <w:t xml:space="preserve">This document brings together the first six modules of the series (M1 to M6), covering initial orientation (Phase 1 — Getting Started) and an introduction to the implementation-readiness and deployment-readiness phases (Phases 2 and 3).</w:t>
      </w:r>
    </w:p>
    <w:p>
      <w:pPr>
        <w:spacing w:after="150"/>
      </w:pPr>
    </w:p>
    <w:p>
      <w:pPr>
        <w:pStyle w:val="Heading1"/>
        <w:spacing w:after="200" w:before="400"/>
      </w:pPr>
      <w:r>
        <w:rPr>
          <w:rFonts w:ascii="Calibri" w:cs="Calibri" w:eastAsia="Calibri" w:hAnsi="Calibri"/>
          <w:b/>
          <w:bCs/>
          <w:color w:val="1F4E79"/>
          <w:sz w:val="32"/>
          <w:szCs w:val="32"/>
        </w:rPr>
        <w:t xml:space="preserve">Module 1 · Intro to SDPi</w:t>
      </w:r>
    </w:p>
    <w:p>
      <w:pPr>
        <w:spacing w:after="200"/>
      </w:pPr>
      <w:r>
        <w:rPr>
          <w:rFonts w:ascii="Calibri" w:cs="Calibri" w:eastAsia="Calibri" w:hAnsi="Calibri"/>
          <w:i/>
          <w:iCs/>
          <w:color w:val="595959"/>
          <w:sz w:val="20"/>
          <w:szCs w:val="20"/>
        </w:rPr>
        <w:t xml:space="preserve">Duration: ~15 min   ·   Audience: Broad audience, including non-developers</w:t>
      </w:r>
    </w:p>
    <w:p>
      <w:pPr>
        <w:spacing w:after="150"/>
      </w:pPr>
      <w:r>
        <w:rPr>
          <w:rFonts w:ascii="Calibri" w:cs="Calibri" w:eastAsia="Calibri" w:hAnsi="Calibri"/>
          <w:i/>
          <w:iCs/>
          <w:sz w:val="22"/>
          <w:szCs w:val="22"/>
        </w:rPr>
        <w:t xml:space="preserve">Objective: give a practical, accessible introduction to SDPi and why it was created — in plain language, with no prior knowledge assumed.</w:t>
      </w:r>
    </w:p>
    <w:p>
      <w:pPr>
        <w:pStyle w:val="Heading2"/>
        <w:spacing w:after="150" w:before="300"/>
      </w:pPr>
      <w:r>
        <w:rPr>
          <w:rFonts w:ascii="Calibri" w:cs="Calibri" w:eastAsia="Calibri" w:hAnsi="Calibri"/>
          <w:b/>
          <w:bCs/>
          <w:color w:val="1F4E79"/>
          <w:sz w:val="26"/>
          <w:szCs w:val="26"/>
        </w:rPr>
        <w:t xml:space="preserve">What SDPi is — and why it was created</w:t>
      </w:r>
    </w:p>
    <w:p>
      <w:pPr>
        <w:spacing w:after="150"/>
      </w:pPr>
      <w:r>
        <w:rPr>
          <w:rFonts w:ascii="Calibri" w:cs="Calibri" w:eastAsia="Calibri" w:hAnsi="Calibri"/>
          <w:sz w:val="22"/>
          <w:szCs w:val="22"/>
        </w:rPr>
        <w:t xml:space="preserve">SDPi stands for Service-oriented Device Point-of-care Interoperability. It is a family of profiles published through IHE (Integrating the Healthcare Enterprise) that says, in precise and testable terms, how medical devices at the bedside should connect, exchange data, raise alarms, and be controlled — regardless of who manufactured them.</w:t>
      </w:r>
    </w:p>
    <w:p>
      <w:pPr>
        <w:spacing w:after="150"/>
      </w:pPr>
      <w:r>
        <w:rPr>
          <w:rFonts w:ascii="Calibri" w:cs="Calibri" w:eastAsia="Calibri" w:hAnsi="Calibri"/>
          <w:sz w:val="22"/>
          <w:szCs w:val="22"/>
        </w:rPr>
        <w:t xml:space="preserve">SDPi was created to solve a problem that has dogged acute care for decades: medical devices are not built to interconnect. In many hospitals, vital signs are still transcribed by hand every four to six hours, and integrating continuous data from multiple devices remains complex, slow, and vendor-specific. The result is fragmented data, delayed clinical decisions, and patients who are effectively unmonitored most of the time. SDPi exists so that device data can flow safely, securely, and continuously between equipment from different vendors without a custom integration for every pairing.</w:t>
      </w:r>
    </w:p>
    <w:p>
      <w:pPr>
        <w:spacing w:after="150"/>
      </w:pPr>
      <w:r>
        <w:rPr>
          <w:rFonts w:ascii="Calibri" w:cs="Calibri" w:eastAsia="Calibri" w:hAnsi="Calibri"/>
          <w:sz w:val="22"/>
          <w:szCs w:val="22"/>
        </w:rPr>
        <w:t xml:space="preserve">It also did not appear from nowhere. The push for open, vendor-neutral device interoperability grew out of years of clinical and academic work — most visibly the OR.NET research initiative on the networked operating room — which matured into the ISO/IEEE 11073 SDC family of standards. SDPi is the next step in that lineage: it takes the SDC foundation and turns it into IHE profiles that vendors can implement consistently and, crucially, test against each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Key idea</w:t>
            </w:r>
          </w:p>
          <w:p>
            <w:r>
              <w:rPr>
                <w:rFonts w:ascii="Calibri" w:cs="Calibri" w:eastAsia="Calibri" w:hAnsi="Calibri"/>
                <w:i/>
                <w:iCs/>
                <w:sz w:val="21"/>
                <w:szCs w:val="21"/>
              </w:rPr>
              <w:t xml:space="preserve">SDPi is the point-of-care interoperability profile built on top of the ISO/IEEE 11073 SDC standards (Service-oriented Device Connectivity). SDC provides the technical machinery; SDPi defines the use cases, transactions and conformance rules that make it usable and testable in the real world.</w:t>
            </w:r>
          </w:p>
        </w:tc>
      </w:tr>
    </w:tbl>
    <w:p>
      <w:pPr>
        <w:spacing w:after="150"/>
      </w:pPr>
    </w:p>
    <w:p>
      <w:pPr>
        <w:pStyle w:val="Heading2"/>
        <w:spacing w:after="150" w:before="300"/>
      </w:pPr>
      <w:r>
        <w:rPr>
          <w:rFonts w:ascii="Calibri" w:cs="Calibri" w:eastAsia="Calibri" w:hAnsi="Calibri"/>
          <w:b/>
          <w:bCs/>
          <w:color w:val="1F4E79"/>
          <w:sz w:val="26"/>
          <w:szCs w:val="26"/>
        </w:rPr>
        <w:t xml:space="preserve">Why SDPi is harder to grasp than a typical interface spec</w:t>
      </w:r>
    </w:p>
    <w:p>
      <w:pPr>
        <w:spacing w:after="150"/>
      </w:pPr>
      <w:r>
        <w:rPr>
          <w:rFonts w:ascii="Calibri" w:cs="Calibri" w:eastAsia="Calibri" w:hAnsi="Calibri"/>
          <w:sz w:val="22"/>
          <w:szCs w:val="22"/>
        </w:rPr>
        <w:t xml:space="preserve">A normal interface specification answers a narrow question: "send these bytes to this endpoint and you'll get this response." SDPi is broader by design, and that is exactly why newcomers struggle. Three things make it different:</w:t>
      </w:r>
    </w:p>
    <w:p>
      <w:pPr>
        <w:pStyle w:val="ListParagraph"/>
        <w:numPr>
          <w:ilvl w:val="0"/>
          <w:numId w:val="1"/>
        </w:numPr>
        <w:spacing w:after="100"/>
      </w:pPr>
      <w:r>
        <w:rPr>
          <w:rFonts w:ascii="Calibri" w:cs="Calibri" w:eastAsia="Calibri" w:hAnsi="Calibri"/>
          <w:sz w:val="22"/>
          <w:szCs w:val="22"/>
        </w:rPr>
        <w:t xml:space="preserve">It is service-oriented, not message-oriented. Devices don't just push messages; they expose services that others discover and use at runtime — more like a network of small web services than a fixed data feed.</w:t>
      </w:r>
    </w:p>
    <w:p>
      <w:pPr>
        <w:pStyle w:val="ListParagraph"/>
        <w:numPr>
          <w:ilvl w:val="0"/>
          <w:numId w:val="1"/>
        </w:numPr>
        <w:spacing w:after="100"/>
      </w:pPr>
      <w:r>
        <w:rPr>
          <w:rFonts w:ascii="Calibri" w:cs="Calibri" w:eastAsia="Calibri" w:hAnsi="Calibri"/>
          <w:sz w:val="22"/>
          <w:szCs w:val="22"/>
        </w:rPr>
        <w:t xml:space="preserve">It spans connectivity and clinical behaviour and safety and security. A single profile family touches discovery, data modelling, alarms, remote control, trust, and regulatory evidence. You have to hold several layers in your head at once.</w:t>
      </w:r>
    </w:p>
    <w:p>
      <w:pPr>
        <w:pStyle w:val="ListParagraph"/>
        <w:numPr>
          <w:ilvl w:val="0"/>
          <w:numId w:val="1"/>
        </w:numPr>
        <w:spacing w:after="100"/>
      </w:pPr>
      <w:r>
        <w:rPr>
          <w:rFonts w:ascii="Calibri" w:cs="Calibri" w:eastAsia="Calibri" w:hAnsi="Calibri"/>
          <w:sz w:val="22"/>
          <w:szCs w:val="22"/>
        </w:rPr>
        <w:t xml:space="preserve">It is a layered ecosystem, not one document. SDPi sits on SDC, which sits on web-services and networking standards, and reaches up toward HL7 for enterprise integration. Understanding any one part means knowing roughly where it sits in the stack.</w:t>
      </w:r>
    </w:p>
    <w:p>
      <w:pPr>
        <w:spacing w:after="150"/>
      </w:pPr>
      <w:r>
        <w:rPr>
          <w:rFonts w:ascii="Calibri" w:cs="Calibri" w:eastAsia="Calibri" w:hAnsi="Calibri"/>
          <w:sz w:val="22"/>
          <w:szCs w:val="22"/>
        </w:rPr>
        <w:t xml:space="preserve">This is why "just read the spec" rarely works — and why this series starts with orientation before detail.</w:t>
      </w:r>
    </w:p>
    <w:p>
      <w:pPr>
        <w:spacing w:after="150"/>
      </w:pPr>
    </w:p>
    <w:p>
      <w:pPr>
        <w:pStyle w:val="Heading2"/>
        <w:spacing w:after="150" w:before="300"/>
      </w:pPr>
      <w:r>
        <w:rPr>
          <w:rFonts w:ascii="Calibri" w:cs="Calibri" w:eastAsia="Calibri" w:hAnsi="Calibri"/>
          <w:b/>
          <w:bCs/>
          <w:color w:val="1F4E79"/>
          <w:sz w:val="26"/>
          <w:szCs w:val="26"/>
        </w:rPr>
        <w:t xml:space="preserve">The concept of a profile standard</w:t>
      </w:r>
    </w:p>
    <w:p>
      <w:pPr>
        <w:spacing w:after="150"/>
      </w:pPr>
      <w:r>
        <w:rPr>
          <w:rFonts w:ascii="Calibri" w:cs="Calibri" w:eastAsia="Calibri" w:hAnsi="Calibri"/>
          <w:sz w:val="22"/>
          <w:szCs w:val="22"/>
        </w:rPr>
        <w:t xml:space="preserve">This is the single most useful mental model in this module. A base standard (like IEEE 11073 SDC) gives you a large toolbox of capabilities — but a toolbox alone does not guarantee that two vendors will interoperate, because each could use the tools differently.</w:t>
      </w:r>
    </w:p>
    <w:p>
      <w:pPr>
        <w:spacing w:after="150"/>
      </w:pPr>
      <w:r>
        <w:rPr>
          <w:rFonts w:ascii="Calibri" w:cs="Calibri" w:eastAsia="Calibri" w:hAnsi="Calibri"/>
          <w:sz w:val="22"/>
          <w:szCs w:val="22"/>
        </w:rPr>
        <w:t xml:space="preserve">A profile standard closes that gap. SDPi defines the rules, behaviours, and conformance requirements for interoperable medical devices: which capabilities to use, how to use them, what a compliant device must do in a given situation, and how that can be tested. In other words, the base standard says what is possible; the profile says what you must do to interoperate.</w:t>
      </w:r>
    </w:p>
    <w:p>
      <w:pPr>
        <w:spacing w:after="150"/>
      </w:pPr>
      <w:r>
        <w:rPr>
          <w:rFonts w:ascii="Calibri" w:cs="Calibri" w:eastAsia="Calibri" w:hAnsi="Calibri"/>
          <w:sz w:val="22"/>
          <w:szCs w:val="22"/>
        </w:rPr>
        <w:t xml:space="preserve">The pattern is familiar from other industries. Wi-Fi devices from hundreds of manufacturers work together not merely because IEEE 802.11 exists, but because the Wi-Fi Alliance defines certification profiles and tests products against them. SDPi plays that role for point-of-care devices: the profile plus its testing ecosystem is what turns "standards-based" into "actually interoperable."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Analogy</w:t>
            </w:r>
          </w:p>
          <w:p>
            <w:r>
              <w:rPr>
                <w:rFonts w:ascii="Calibri" w:cs="Calibri" w:eastAsia="Calibri" w:hAnsi="Calibri"/>
                <w:i/>
                <w:iCs/>
                <w:sz w:val="21"/>
                <w:szCs w:val="21"/>
              </w:rPr>
              <w:t xml:space="preserve">Think of SDC as a language with a huge vocabulary. SDPi is the style guide and grammar that ensures two speakers actually understand each other — and a way to test that they do.</w:t>
            </w:r>
          </w:p>
        </w:tc>
      </w:tr>
    </w:tbl>
    <w:p>
      <w:pPr>
        <w:spacing w:after="150"/>
      </w:pPr>
    </w:p>
    <w:p>
      <w:pPr>
        <w:pStyle w:val="Heading2"/>
        <w:spacing w:after="150" w:before="300"/>
      </w:pPr>
      <w:r>
        <w:rPr>
          <w:rFonts w:ascii="Calibri" w:cs="Calibri" w:eastAsia="Calibri" w:hAnsi="Calibri"/>
          <w:b/>
          <w:bCs/>
          <w:color w:val="1F4E79"/>
          <w:sz w:val="26"/>
          <w:szCs w:val="26"/>
        </w:rPr>
        <w:t xml:space="preserve">The structure of SDPi: the three volumes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50"/>
      </w:tblGrid>
      <w:tr>
        <w:trPr>
          <w:tblHeader/>
        </w:trPr>
        <w:tc>
          <w:tcPr>
            <w:tcW w:type="dxa" w:w="22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Volume</w:t>
            </w:r>
          </w:p>
        </w:tc>
        <w:tc>
          <w:tcPr>
            <w:tcW w:type="dxa" w:w="44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contains</w:t>
            </w:r>
          </w:p>
        </w:tc>
        <w:tc>
          <w:tcPr>
            <w:tcW w:type="dxa" w:w="27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The question it answers</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sz w:val="20"/>
                <w:szCs w:val="20"/>
              </w:rPr>
              <w:t xml:space="preserve">Volume 1</w:t>
            </w:r>
          </w:p>
        </w:tc>
        <w:tc>
          <w:tcPr>
            <w:tcW w:type="dxa" w:w="4400"/>
            <w:shd w:fill="FFFFFF" w:val="clear"/>
            <w:tcMar>
              <w:top w:type="dxa" w:w="100"/>
              <w:left w:type="dxa" w:w="120"/>
              <w:bottom w:type="dxa" w:w="100"/>
              <w:right w:type="dxa" w:w="120"/>
            </w:tcMar>
            <w:vAlign w:val="center"/>
          </w:tcPr>
          <w:p>
            <w:r>
              <w:rPr>
                <w:rFonts w:ascii="Calibri" w:cs="Calibri" w:eastAsia="Calibri" w:hAnsi="Calibri"/>
                <w:sz w:val="20"/>
                <w:szCs w:val="20"/>
              </w:rPr>
              <w:t xml:space="preserve">Profiles, actors and clinical use cases — the high-level "what and why."</w:t>
            </w:r>
          </w:p>
        </w:tc>
        <w:tc>
          <w:tcPr>
            <w:tcW w:type="dxa" w:w="2750"/>
            <w:shd w:fill="FFFFFF" w:val="clear"/>
            <w:tcMar>
              <w:top w:type="dxa" w:w="100"/>
              <w:left w:type="dxa" w:w="120"/>
              <w:bottom w:type="dxa" w:w="100"/>
              <w:right w:type="dxa" w:w="120"/>
            </w:tcMar>
            <w:vAlign w:val="center"/>
          </w:tcPr>
          <w:p>
            <w:r>
              <w:rPr>
                <w:rFonts w:ascii="Calibri" w:cs="Calibri" w:eastAsia="Calibri" w:hAnsi="Calibri"/>
                <w:sz w:val="20"/>
                <w:szCs w:val="20"/>
              </w:rPr>
              <w:t xml:space="preserve">What does this profile enable, and who plays which role?</w:t>
            </w:r>
          </w:p>
        </w:tc>
      </w:tr>
      <w:tr>
        <w:tc>
          <w:tcPr>
            <w:tcW w:type="dxa" w:w="2200"/>
            <w:shd w:fill="EAF1F8" w:val="clear"/>
            <w:tcMar>
              <w:top w:type="dxa" w:w="100"/>
              <w:left w:type="dxa" w:w="120"/>
              <w:bottom w:type="dxa" w:w="100"/>
              <w:right w:type="dxa" w:w="120"/>
            </w:tcMar>
            <w:vAlign w:val="center"/>
          </w:tcPr>
          <w:p>
            <w:r>
              <w:rPr>
                <w:rFonts w:ascii="Calibri" w:cs="Calibri" w:eastAsia="Calibri" w:hAnsi="Calibri"/>
                <w:sz w:val="20"/>
                <w:szCs w:val="20"/>
              </w:rPr>
              <w:t xml:space="preserve">Volume 2</w:t>
            </w:r>
          </w:p>
        </w:tc>
        <w:tc>
          <w:tcPr>
            <w:tcW w:type="dxa" w:w="4400"/>
            <w:shd w:fill="EAF1F8" w:val="clear"/>
            <w:tcMar>
              <w:top w:type="dxa" w:w="100"/>
              <w:left w:type="dxa" w:w="120"/>
              <w:bottom w:type="dxa" w:w="100"/>
              <w:right w:type="dxa" w:w="120"/>
            </w:tcMar>
            <w:vAlign w:val="center"/>
          </w:tcPr>
          <w:p>
            <w:r>
              <w:rPr>
                <w:rFonts w:ascii="Calibri" w:cs="Calibri" w:eastAsia="Calibri" w:hAnsi="Calibri"/>
                <w:sz w:val="20"/>
                <w:szCs w:val="20"/>
              </w:rPr>
              <w:t xml:space="preserve">Transactions — the detailed message exchanges between actors.</w:t>
            </w:r>
          </w:p>
        </w:tc>
        <w:tc>
          <w:tcPr>
            <w:tcW w:type="dxa" w:w="2750"/>
            <w:shd w:fill="EAF1F8" w:val="clear"/>
            <w:tcMar>
              <w:top w:type="dxa" w:w="100"/>
              <w:left w:type="dxa" w:w="120"/>
              <w:bottom w:type="dxa" w:w="100"/>
              <w:right w:type="dxa" w:w="120"/>
            </w:tcMar>
            <w:vAlign w:val="center"/>
          </w:tcPr>
          <w:p>
            <w:r>
              <w:rPr>
                <w:rFonts w:ascii="Calibri" w:cs="Calibri" w:eastAsia="Calibri" w:hAnsi="Calibri"/>
                <w:sz w:val="20"/>
                <w:szCs w:val="20"/>
              </w:rPr>
              <w:t xml:space="preserve">Exactly how do the actors talk to each other?</w:t>
            </w:r>
          </w:p>
        </w:tc>
      </w:tr>
      <w:tr>
        <w:tc>
          <w:tcPr>
            <w:tcW w:type="dxa" w:w="2200"/>
            <w:shd w:fill="FFFFFF" w:val="clear"/>
            <w:tcMar>
              <w:top w:type="dxa" w:w="100"/>
              <w:left w:type="dxa" w:w="120"/>
              <w:bottom w:type="dxa" w:w="100"/>
              <w:right w:type="dxa" w:w="120"/>
            </w:tcMar>
            <w:vAlign w:val="center"/>
          </w:tcPr>
          <w:p>
            <w:r>
              <w:rPr>
                <w:rFonts w:ascii="Calibri" w:cs="Calibri" w:eastAsia="Calibri" w:hAnsi="Calibri"/>
                <w:sz w:val="20"/>
                <w:szCs w:val="20"/>
              </w:rPr>
              <w:t xml:space="preserve">Volume 3</w:t>
            </w:r>
          </w:p>
        </w:tc>
        <w:tc>
          <w:tcPr>
            <w:tcW w:type="dxa" w:w="4400"/>
            <w:shd w:fill="FFFFFF" w:val="clear"/>
            <w:tcMar>
              <w:top w:type="dxa" w:w="100"/>
              <w:left w:type="dxa" w:w="120"/>
              <w:bottom w:type="dxa" w:w="100"/>
              <w:right w:type="dxa" w:w="120"/>
            </w:tcMar>
            <w:vAlign w:val="center"/>
          </w:tcPr>
          <w:p>
            <w:r>
              <w:rPr>
                <w:rFonts w:ascii="Calibri" w:cs="Calibri" w:eastAsia="Calibri" w:hAnsi="Calibri"/>
                <w:sz w:val="20"/>
                <w:szCs w:val="20"/>
              </w:rPr>
              <w:t xml:space="preserve">Content and semantics — the data, nomenclature and metadata models.</w:t>
            </w:r>
          </w:p>
        </w:tc>
        <w:tc>
          <w:tcPr>
            <w:tcW w:type="dxa" w:w="2750"/>
            <w:shd w:fill="FFFFFF" w:val="clear"/>
            <w:tcMar>
              <w:top w:type="dxa" w:w="100"/>
              <w:left w:type="dxa" w:w="120"/>
              <w:bottom w:type="dxa" w:w="100"/>
              <w:right w:type="dxa" w:w="120"/>
            </w:tcMar>
            <w:vAlign w:val="center"/>
          </w:tcPr>
          <w:p>
            <w:r>
              <w:rPr>
                <w:rFonts w:ascii="Calibri" w:cs="Calibri" w:eastAsia="Calibri" w:hAnsi="Calibri"/>
                <w:sz w:val="20"/>
                <w:szCs w:val="20"/>
              </w:rPr>
              <w:t xml:space="preserve">What does the information mean, precisely?</w:t>
            </w:r>
          </w:p>
        </w:tc>
      </w:tr>
    </w:tbl>
    <w:p>
      <w:pPr>
        <w:spacing w:after="150"/>
      </w:pPr>
      <w:r>
        <w:rPr>
          <w:rFonts w:ascii="Calibri" w:cs="Calibri" w:eastAsia="Calibri" w:hAnsi="Calibri"/>
          <w:sz w:val="22"/>
          <w:szCs w:val="22"/>
        </w:rPr>
        <w:t xml:space="preserve">You do not need to memorise the volumes. You only need to know that when someone says "that's a Volume 2 transaction" they mean the wire-level interaction, and "Volume 3 semantics" means the meaning of the data. The three-volume split is also a practical reading guide: product and clinical stakeholders live mostly in Volume 1, developers in Volume 2, and data modellers and terminologists in Volume 3.</w:t>
      </w:r>
    </w:p>
    <w:p>
      <w:pPr>
        <w:spacing w:after="150"/>
      </w:pPr>
    </w:p>
    <w:p>
      <w:pPr>
        <w:pStyle w:val="Heading2"/>
        <w:spacing w:after="150" w:before="300"/>
      </w:pPr>
      <w:r>
        <w:rPr>
          <w:rFonts w:ascii="Calibri" w:cs="Calibri" w:eastAsia="Calibri" w:hAnsi="Calibri"/>
          <w:b/>
          <w:bCs/>
          <w:color w:val="1F4E79"/>
          <w:sz w:val="26"/>
          <w:szCs w:val="26"/>
        </w:rPr>
        <w:t xml:space="preserve">Profiles, options and gateways at a high level</w:t>
      </w:r>
    </w:p>
    <w:p>
      <w:pPr>
        <w:pStyle w:val="ListParagraph"/>
        <w:numPr>
          <w:ilvl w:val="0"/>
          <w:numId w:val="1"/>
        </w:numPr>
        <w:spacing w:after="100"/>
      </w:pPr>
      <w:r>
        <w:rPr>
          <w:rFonts w:ascii="Calibri" w:cs="Calibri" w:eastAsia="Calibri" w:hAnsi="Calibri"/>
          <w:sz w:val="22"/>
          <w:szCs w:val="22"/>
        </w:rPr>
        <w:t xml:space="preserve">Profiles are the named, testable capability sets. SDPi's capabilities are organised into a small number of core profiles — secure onboarding, real-time reporting, alerting, and (in future) external control.</w:t>
      </w:r>
    </w:p>
    <w:p>
      <w:pPr>
        <w:pStyle w:val="ListParagraph"/>
        <w:numPr>
          <w:ilvl w:val="0"/>
          <w:numId w:val="1"/>
        </w:numPr>
        <w:spacing w:after="100"/>
      </w:pPr>
      <w:r>
        <w:rPr>
          <w:rFonts w:ascii="Calibri" w:cs="Calibri" w:eastAsia="Calibri" w:hAnsi="Calibri"/>
          <w:sz w:val="22"/>
          <w:szCs w:val="22"/>
        </w:rPr>
        <w:t xml:space="preserve">Options are well-defined add-ons within a profile. They let a device declare extra, optional behaviour without breaking the baseline that everyone must support.</w:t>
      </w:r>
    </w:p>
    <w:p>
      <w:pPr>
        <w:pStyle w:val="ListParagraph"/>
        <w:numPr>
          <w:ilvl w:val="0"/>
          <w:numId w:val="1"/>
        </w:numPr>
        <w:spacing w:after="100"/>
      </w:pPr>
      <w:r>
        <w:rPr>
          <w:rFonts w:ascii="Calibri" w:cs="Calibri" w:eastAsia="Calibri" w:hAnsi="Calibri"/>
          <w:sz w:val="22"/>
          <w:szCs w:val="22"/>
        </w:rPr>
        <w:t xml:space="preserve">Gateways are the bridges between the point-of-care SDPi world and the enterprise world. A gateway translates between SDPi/SDC at the bedside and standards like HL7 FHIR or V2 used by EMRs, middleware and analytics. Gateways are how device data reaches the rest of the hospital — for example, a ventilator's live settings and measurements arriving in the EMR flowsheet without anyone typing them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Remember</w:t>
            </w:r>
          </w:p>
          <w:p>
            <w:r>
              <w:rPr>
                <w:rFonts w:ascii="Calibri" w:cs="Calibri" w:eastAsia="Calibri" w:hAnsi="Calibri"/>
                <w:i/>
                <w:iCs/>
                <w:sz w:val="21"/>
                <w:szCs w:val="21"/>
              </w:rPr>
              <w:t xml:space="preserve">Profiles = capabilities. Options = optional extensions. Gateways = bridges to the enterprise. Everything else in SDPi hangs off these three ideas.</w:t>
            </w:r>
          </w:p>
        </w:tc>
      </w:tr>
    </w:tbl>
    <w:p>
      <w:pPr>
        <w:spacing w:after="150"/>
      </w:pPr>
    </w:p>
    <w:p>
      <w:pPr>
        <w:pStyle w:val="Heading2"/>
        <w:spacing w:after="150" w:before="300"/>
      </w:pPr>
      <w:r>
        <w:rPr>
          <w:rFonts w:ascii="Calibri" w:cs="Calibri" w:eastAsia="Calibri" w:hAnsi="Calibri"/>
          <w:b/>
          <w:bCs/>
          <w:color w:val="1F4E79"/>
          <w:sz w:val="26"/>
          <w:szCs w:val="26"/>
        </w:rPr>
        <w:t xml:space="preserve">SDPi vs. HL7 PCD V2 vs. FHIR — what each is, and where it fits</w:t>
      </w:r>
    </w:p>
    <w:p>
      <w:pPr>
        <w:spacing w:after="150"/>
      </w:pPr>
      <w:r>
        <w:rPr>
          <w:rFonts w:ascii="Calibri" w:cs="Calibri" w:eastAsia="Calibri" w:hAnsi="Calibri"/>
          <w:sz w:val="22"/>
          <w:szCs w:val="22"/>
        </w:rPr>
        <w:t xml:space="preserve">These three are complementary, not competing. A common misconception is that SDPi "replaces" HL7. It does not. They operate at different points in the journey of a piece of device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650"/>
        <w:gridCol w:w="2450"/>
        <w:gridCol w:w="2550"/>
      </w:tblGrid>
      <w:tr>
        <w:trPr>
          <w:tblHeader/>
        </w:trPr>
        <w:tc>
          <w:tcPr>
            <w:tcW w:type="dxa" w:w="17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tcW w:type="dxa" w:w="26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SDPi (on SDC)</w:t>
            </w:r>
          </w:p>
        </w:tc>
        <w:tc>
          <w:tcPr>
            <w:tcW w:type="dxa" w:w="24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HL7 PCD V2</w:t>
            </w:r>
          </w:p>
        </w:tc>
        <w:tc>
          <w:tcPr>
            <w:tcW w:type="dxa" w:w="25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HL7 FHIR</w:t>
            </w:r>
          </w:p>
        </w:tc>
      </w:tr>
      <w:tr>
        <w:tc>
          <w:tcPr>
            <w:tcW w:type="dxa" w:w="1700"/>
            <w:shd w:fill="FFFFFF" w:val="clear"/>
            <w:tcMar>
              <w:top w:type="dxa" w:w="100"/>
              <w:left w:type="dxa" w:w="120"/>
              <w:bottom w:type="dxa" w:w="100"/>
              <w:right w:type="dxa" w:w="120"/>
            </w:tcMar>
            <w:vAlign w:val="center"/>
          </w:tcPr>
          <w:p>
            <w:r>
              <w:rPr>
                <w:rFonts w:ascii="Calibri" w:cs="Calibri" w:eastAsia="Calibri" w:hAnsi="Calibri"/>
                <w:sz w:val="20"/>
                <w:szCs w:val="20"/>
              </w:rPr>
              <w:t xml:space="preserve">What it is</w:t>
            </w:r>
          </w:p>
        </w:tc>
        <w:tc>
          <w:tcPr>
            <w:tcW w:type="dxa" w:w="2650"/>
            <w:shd w:fill="FFFFFF" w:val="clear"/>
            <w:tcMar>
              <w:top w:type="dxa" w:w="100"/>
              <w:left w:type="dxa" w:w="120"/>
              <w:bottom w:type="dxa" w:w="100"/>
              <w:right w:type="dxa" w:w="120"/>
            </w:tcMar>
            <w:vAlign w:val="center"/>
          </w:tcPr>
          <w:p>
            <w:r>
              <w:rPr>
                <w:rFonts w:ascii="Calibri" w:cs="Calibri" w:eastAsia="Calibri" w:hAnsi="Calibri"/>
                <w:sz w:val="20"/>
                <w:szCs w:val="20"/>
              </w:rPr>
              <w:t xml:space="preserve">Point-of-care, device-to-device interoperability profile</w:t>
            </w:r>
          </w:p>
        </w:tc>
        <w:tc>
          <w:tcPr>
            <w:tcW w:type="dxa" w:w="2450"/>
            <w:shd w:fill="FFFFFF" w:val="clear"/>
            <w:tcMar>
              <w:top w:type="dxa" w:w="100"/>
              <w:left w:type="dxa" w:w="120"/>
              <w:bottom w:type="dxa" w:w="100"/>
              <w:right w:type="dxa" w:w="120"/>
            </w:tcMar>
            <w:vAlign w:val="center"/>
          </w:tcPr>
          <w:p>
            <w:r>
              <w:rPr>
                <w:rFonts w:ascii="Calibri" w:cs="Calibri" w:eastAsia="Calibri" w:hAnsi="Calibri"/>
                <w:sz w:val="20"/>
                <w:szCs w:val="20"/>
              </w:rPr>
              <w:t xml:space="preserve">Classic HL7 V2 messaging for Patient Care Devices</w:t>
            </w:r>
          </w:p>
        </w:tc>
        <w:tc>
          <w:tcPr>
            <w:tcW w:type="dxa" w:w="2550"/>
            <w:shd w:fill="FFFFFF" w:val="clear"/>
            <w:tcMar>
              <w:top w:type="dxa" w:w="100"/>
              <w:left w:type="dxa" w:w="120"/>
              <w:bottom w:type="dxa" w:w="100"/>
              <w:right w:type="dxa" w:w="120"/>
            </w:tcMar>
            <w:vAlign w:val="center"/>
          </w:tcPr>
          <w:p>
            <w:r>
              <w:rPr>
                <w:rFonts w:ascii="Calibri" w:cs="Calibri" w:eastAsia="Calibri" w:hAnsi="Calibri"/>
                <w:sz w:val="20"/>
                <w:szCs w:val="20"/>
              </w:rPr>
              <w:t xml:space="preserve">Modern web-API standard for health data resources</w:t>
            </w:r>
          </w:p>
        </w:tc>
      </w:tr>
      <w:tr>
        <w:tc>
          <w:tcPr>
            <w:tcW w:type="dxa" w:w="1700"/>
            <w:shd w:fill="EAF1F8" w:val="clear"/>
            <w:tcMar>
              <w:top w:type="dxa" w:w="100"/>
              <w:left w:type="dxa" w:w="120"/>
              <w:bottom w:type="dxa" w:w="100"/>
              <w:right w:type="dxa" w:w="120"/>
            </w:tcMar>
            <w:vAlign w:val="center"/>
          </w:tcPr>
          <w:p>
            <w:r>
              <w:rPr>
                <w:rFonts w:ascii="Calibri" w:cs="Calibri" w:eastAsia="Calibri" w:hAnsi="Calibri"/>
                <w:sz w:val="20"/>
                <w:szCs w:val="20"/>
              </w:rPr>
              <w:t xml:space="preserve">Where it lives</w:t>
            </w:r>
          </w:p>
        </w:tc>
        <w:tc>
          <w:tcPr>
            <w:tcW w:type="dxa" w:w="2650"/>
            <w:shd w:fill="EAF1F8" w:val="clear"/>
            <w:tcMar>
              <w:top w:type="dxa" w:w="100"/>
              <w:left w:type="dxa" w:w="120"/>
              <w:bottom w:type="dxa" w:w="100"/>
              <w:right w:type="dxa" w:w="120"/>
            </w:tcMar>
            <w:vAlign w:val="center"/>
          </w:tcPr>
          <w:p>
            <w:r>
              <w:rPr>
                <w:rFonts w:ascii="Calibri" w:cs="Calibri" w:eastAsia="Calibri" w:hAnsi="Calibri"/>
                <w:sz w:val="20"/>
                <w:szCs w:val="20"/>
              </w:rPr>
              <w:t xml:space="preserve">The clinical / point-of-care network, at the bedside</w:t>
            </w:r>
          </w:p>
        </w:tc>
        <w:tc>
          <w:tcPr>
            <w:tcW w:type="dxa" w:w="2450"/>
            <w:shd w:fill="EAF1F8" w:val="clear"/>
            <w:tcMar>
              <w:top w:type="dxa" w:w="100"/>
              <w:left w:type="dxa" w:w="120"/>
              <w:bottom w:type="dxa" w:w="100"/>
              <w:right w:type="dxa" w:w="120"/>
            </w:tcMar>
            <w:vAlign w:val="center"/>
          </w:tcPr>
          <w:p>
            <w:r>
              <w:rPr>
                <w:rFonts w:ascii="Calibri" w:cs="Calibri" w:eastAsia="Calibri" w:hAnsi="Calibri"/>
                <w:sz w:val="20"/>
                <w:szCs w:val="20"/>
              </w:rPr>
              <w:t xml:space="preserve">Between devices/gateways and hospital systems</w:t>
            </w:r>
          </w:p>
        </w:tc>
        <w:tc>
          <w:tcPr>
            <w:tcW w:type="dxa" w:w="2550"/>
            <w:shd w:fill="EAF1F8" w:val="clear"/>
            <w:tcMar>
              <w:top w:type="dxa" w:w="100"/>
              <w:left w:type="dxa" w:w="120"/>
              <w:bottom w:type="dxa" w:w="100"/>
              <w:right w:type="dxa" w:w="120"/>
            </w:tcMar>
            <w:vAlign w:val="center"/>
          </w:tcPr>
          <w:p>
            <w:r>
              <w:rPr>
                <w:rFonts w:ascii="Calibri" w:cs="Calibri" w:eastAsia="Calibri" w:hAnsi="Calibri"/>
                <w:sz w:val="20"/>
                <w:szCs w:val="20"/>
              </w:rPr>
              <w:t xml:space="preserve">The enterprise &amp; ecosystem (EMR, apps, analytics)</w:t>
            </w:r>
          </w:p>
        </w:tc>
      </w:tr>
      <w:tr>
        <w:tc>
          <w:tcPr>
            <w:tcW w:type="dxa" w:w="1700"/>
            <w:shd w:fill="FFFFFF" w:val="clear"/>
            <w:tcMar>
              <w:top w:type="dxa" w:w="100"/>
              <w:left w:type="dxa" w:w="120"/>
              <w:bottom w:type="dxa" w:w="100"/>
              <w:right w:type="dxa" w:w="120"/>
            </w:tcMar>
            <w:vAlign w:val="center"/>
          </w:tcPr>
          <w:p>
            <w:r>
              <w:rPr>
                <w:rFonts w:ascii="Calibri" w:cs="Calibri" w:eastAsia="Calibri" w:hAnsi="Calibri"/>
                <w:sz w:val="20"/>
                <w:szCs w:val="20"/>
              </w:rPr>
              <w:t xml:space="preserve">Strength</w:t>
            </w:r>
          </w:p>
        </w:tc>
        <w:tc>
          <w:tcPr>
            <w:tcW w:type="dxa" w:w="2650"/>
            <w:shd w:fill="FFFFFF" w:val="clear"/>
            <w:tcMar>
              <w:top w:type="dxa" w:w="100"/>
              <w:left w:type="dxa" w:w="120"/>
              <w:bottom w:type="dxa" w:w="100"/>
              <w:right w:type="dxa" w:w="120"/>
            </w:tcMar>
            <w:vAlign w:val="center"/>
          </w:tcPr>
          <w:p>
            <w:r>
              <w:rPr>
                <w:rFonts w:ascii="Calibri" w:cs="Calibri" w:eastAsia="Calibri" w:hAnsi="Calibri"/>
                <w:sz w:val="20"/>
                <w:szCs w:val="20"/>
              </w:rPr>
              <w:t xml:space="preserve">Real-time, bi-directional, secure, vendor-neutral device coordination</w:t>
            </w:r>
          </w:p>
        </w:tc>
        <w:tc>
          <w:tcPr>
            <w:tcW w:type="dxa" w:w="2450"/>
            <w:shd w:fill="FFFFFF" w:val="clear"/>
            <w:tcMar>
              <w:top w:type="dxa" w:w="100"/>
              <w:left w:type="dxa" w:w="120"/>
              <w:bottom w:type="dxa" w:w="100"/>
              <w:right w:type="dxa" w:w="120"/>
            </w:tcMar>
            <w:vAlign w:val="center"/>
          </w:tcPr>
          <w:p>
            <w:r>
              <w:rPr>
                <w:rFonts w:ascii="Calibri" w:cs="Calibri" w:eastAsia="Calibri" w:hAnsi="Calibri"/>
                <w:sz w:val="20"/>
                <w:szCs w:val="20"/>
              </w:rPr>
              <w:t xml:space="preserve">Ubiquitous, well-understood device-to-system feeds</w:t>
            </w:r>
          </w:p>
        </w:tc>
        <w:tc>
          <w:tcPr>
            <w:tcW w:type="dxa" w:w="2550"/>
            <w:shd w:fill="FFFFFF" w:val="clear"/>
            <w:tcMar>
              <w:top w:type="dxa" w:w="100"/>
              <w:left w:type="dxa" w:w="120"/>
              <w:bottom w:type="dxa" w:w="100"/>
              <w:right w:type="dxa" w:w="120"/>
            </w:tcMar>
            <w:vAlign w:val="center"/>
          </w:tcPr>
          <w:p>
            <w:r>
              <w:rPr>
                <w:rFonts w:ascii="Calibri" w:cs="Calibri" w:eastAsia="Calibri" w:hAnsi="Calibri"/>
                <w:sz w:val="20"/>
                <w:szCs w:val="20"/>
              </w:rPr>
              <w:t xml:space="preserve">Flexible REST resources, easy app and cloud integration</w:t>
            </w:r>
          </w:p>
        </w:tc>
      </w:tr>
    </w:tbl>
    <w:p>
      <w:pPr>
        <w:spacing w:after="150"/>
      </w:pPr>
      <w:r>
        <w:rPr>
          <w:rFonts w:ascii="Calibri" w:cs="Calibri" w:eastAsia="Calibri" w:hAnsi="Calibri"/>
          <w:sz w:val="22"/>
          <w:szCs w:val="22"/>
        </w:rPr>
        <w:t xml:space="preserve">The clean way to hold it: SDPi connects devices to each other in real time at the point of care; HL7 V2 and FHIR connect that world to the enterprise — usually through a gateway.</w:t>
      </w:r>
    </w:p>
    <w:p>
      <w:pPr>
        <w:spacing w:after="150"/>
      </w:pPr>
    </w:p>
    <w:p>
      <w:pPr>
        <w:pStyle w:val="Heading2"/>
        <w:spacing w:after="150" w:before="300"/>
      </w:pPr>
      <w:r>
        <w:rPr>
          <w:rFonts w:ascii="Calibri" w:cs="Calibri" w:eastAsia="Calibri" w:hAnsi="Calibri"/>
          <w:b/>
          <w:bCs/>
          <w:color w:val="1F4E79"/>
          <w:sz w:val="26"/>
          <w:szCs w:val="26"/>
        </w:rPr>
        <w:t xml:space="preserve">The role of SDPi in Plug-and-Trust device interoperability</w:t>
      </w:r>
    </w:p>
    <w:p>
      <w:pPr>
        <w:spacing w:after="150"/>
      </w:pPr>
      <w:r>
        <w:rPr>
          <w:rFonts w:ascii="Calibri" w:cs="Calibri" w:eastAsia="Calibri" w:hAnsi="Calibri"/>
          <w:sz w:val="22"/>
          <w:szCs w:val="22"/>
        </w:rPr>
        <w:t xml:space="preserve">Plug-and-Trust is the vision SDPi is built to deliver: a device from any compliant vendor can join the clinical network and be trusted automatically — its identity verified, its role authorised, its data encrypted — without bespoke integration work. "Plug-and-play" gets devices talking; "Plug-and-Trust" adds the security and identity layer that healthcare demands.</w:t>
      </w:r>
    </w:p>
    <w:p>
      <w:pPr>
        <w:spacing w:after="150"/>
      </w:pPr>
      <w:r>
        <w:rPr>
          <w:rFonts w:ascii="Calibri" w:cs="Calibri" w:eastAsia="Calibri" w:hAnsi="Calibri"/>
          <w:sz w:val="22"/>
          <w:szCs w:val="22"/>
        </w:rPr>
        <w:t xml:space="preserve">A worked example from the SDC community makes it concrete: showing a patient's vital signs as an overlay inside an endoscopic image. The pulse oximeter provides the vital signs; the endoscopic camera system displays them; the hospital provides the trusted medical IT network that lets the two cooperate safely. Each plays a defined role, and trust is established by design rather than by manual configuration.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In one line</w:t>
            </w:r>
          </w:p>
          <w:p>
            <w:r>
              <w:rPr>
                <w:rFonts w:ascii="Calibri" w:cs="Calibri" w:eastAsia="Calibri" w:hAnsi="Calibri"/>
                <w:i/>
                <w:iCs/>
                <w:sz w:val="21"/>
                <w:szCs w:val="21"/>
              </w:rPr>
              <w:t xml:space="preserve">Plug-and-play asks "can these devices talk?" Plug-and-Trust asks "can they talk and should they trust each other?" SDPi is designed to answer yes to both.</w:t>
            </w:r>
          </w:p>
        </w:tc>
      </w:tr>
    </w:tbl>
    <w:p>
      <w:pPr>
        <w:spacing w:after="150"/>
      </w:pPr>
    </w:p>
    <w:p>
      <w:pPr>
        <w:pStyle w:val="Heading2"/>
        <w:spacing w:after="150" w:before="300"/>
      </w:pPr>
      <w:r>
        <w:rPr>
          <w:rFonts w:ascii="Calibri" w:cs="Calibri" w:eastAsia="Calibri" w:hAnsi="Calibri"/>
          <w:b/>
          <w:bCs/>
          <w:color w:val="1F4E79"/>
          <w:sz w:val="26"/>
          <w:szCs w:val="26"/>
        </w:rPr>
        <w:t xml:space="preserve">Why vendors, providers and ecosystem partners should care now</w:t>
      </w:r>
    </w:p>
    <w:p>
      <w:pPr>
        <w:spacing w:after="150"/>
      </w:pPr>
      <w:r>
        <w:rPr>
          <w:rFonts w:ascii="Calibri" w:cs="Calibri" w:eastAsia="Calibri" w:hAnsi="Calibri"/>
          <w:sz w:val="22"/>
          <w:szCs w:val="22"/>
        </w:rPr>
        <w:t xml:space="preserve">The timing matters. Adoption is accelerating: major manufacturers such as Philips, GE HealthCare and Dräger are actively promoting the ISO/IEEE 11073 family to replace proprietary protocols, and SDPi is the profile bringing this to a testable, regulatory-friendly footing — including its arrival in the US ecosystem through the HL7 Devices Accelerator. Analysts put the medical-device-interoperability market on a path of more than 20% annual growth toward multi-billion-dollar scale by 2030.</w:t>
      </w:r>
    </w:p>
    <w:p>
      <w:pPr>
        <w:spacing w:after="150"/>
      </w:pPr>
      <w:r>
        <w:rPr>
          <w:rFonts w:ascii="Calibri" w:cs="Calibri" w:eastAsia="Calibri" w:hAnsi="Calibri"/>
          <w:sz w:val="22"/>
          <w:szCs w:val="22"/>
        </w:rPr>
        <w:t xml:space="preserve">There is also a simple economic argument underneath. Proprietary integration scales badly: every new vendor pairing is another custom interface to build, test, and maintain — an N×M problem. A shared profile turns that into N+M: each vendor implements and tests against the profile once, and interoperability with every other conformant participant follows. That is where the integration cost savings actually come from.</w:t>
      </w:r>
    </w:p>
    <w:p>
      <w:pPr>
        <w:pStyle w:val="ListParagraph"/>
        <w:numPr>
          <w:ilvl w:val="0"/>
          <w:numId w:val="1"/>
        </w:numPr>
        <w:spacing w:after="100"/>
      </w:pPr>
      <w:r>
        <w:rPr>
          <w:rFonts w:ascii="Calibri" w:cs="Calibri" w:eastAsia="Calibri" w:hAnsi="Calibri"/>
          <w:sz w:val="22"/>
          <w:szCs w:val="22"/>
        </w:rPr>
        <w:t xml:space="preserve">Vendors can integrate faster with a standards-based approach — no custom interface for every customer pairing — and avoid being seen as lagging as buyers begin to expect SDC compliance.</w:t>
      </w:r>
    </w:p>
    <w:p>
      <w:pPr>
        <w:pStyle w:val="ListParagraph"/>
        <w:numPr>
          <w:ilvl w:val="0"/>
          <w:numId w:val="1"/>
        </w:numPr>
        <w:spacing w:after="100"/>
      </w:pPr>
      <w:r>
        <w:rPr>
          <w:rFonts w:ascii="Calibri" w:cs="Calibri" w:eastAsia="Calibri" w:hAnsi="Calibri"/>
          <w:sz w:val="22"/>
          <w:szCs w:val="22"/>
        </w:rPr>
        <w:t xml:space="preserve">Providers (hospitals) gain continuous, real-time visibility across care settings and reduced integration cost and lock-in.</w:t>
      </w:r>
    </w:p>
    <w:p>
      <w:pPr>
        <w:pStyle w:val="ListParagraph"/>
        <w:numPr>
          <w:ilvl w:val="0"/>
          <w:numId w:val="1"/>
        </w:numPr>
        <w:spacing w:after="100"/>
      </w:pPr>
      <w:r>
        <w:rPr>
          <w:rFonts w:ascii="Calibri" w:cs="Calibri" w:eastAsia="Calibri" w:hAnsi="Calibri"/>
          <w:sz w:val="22"/>
          <w:szCs w:val="22"/>
        </w:rPr>
        <w:t xml:space="preserve">Ecosystem partners — middleware, analytics, app developers — get a vendor-neutral, open foundation to build on.</w:t>
      </w:r>
    </w:p>
    <w:p>
      <w:pPr>
        <w:pageBreakBefore/>
      </w:pPr>
    </w:p>
    <w:p>
      <w:pPr>
        <w:pStyle w:val="Heading1"/>
        <w:spacing w:after="200" w:before="400"/>
      </w:pPr>
      <w:r>
        <w:rPr>
          <w:rFonts w:ascii="Calibri" w:cs="Calibri" w:eastAsia="Calibri" w:hAnsi="Calibri"/>
          <w:b/>
          <w:bCs/>
          <w:color w:val="1F4E79"/>
          <w:sz w:val="32"/>
          <w:szCs w:val="32"/>
        </w:rPr>
        <w:t xml:space="preserve">Module 2a · SDPi Connectivity Fundamentals</w:t>
      </w:r>
    </w:p>
    <w:p>
      <w:pPr>
        <w:spacing w:after="200"/>
      </w:pPr>
      <w:r>
        <w:rPr>
          <w:rFonts w:ascii="Calibri" w:cs="Calibri" w:eastAsia="Calibri" w:hAnsi="Calibri"/>
          <w:i/>
          <w:iCs/>
          <w:color w:val="595959"/>
          <w:sz w:val="20"/>
          <w:szCs w:val="20"/>
        </w:rPr>
        <w:t xml:space="preserve">Duration: ~10 min   ·   Audience: Mixed audience, especially newcomers and developers</w:t>
      </w:r>
    </w:p>
    <w:p>
      <w:pPr>
        <w:spacing w:after="150"/>
      </w:pPr>
      <w:r>
        <w:rPr>
          <w:rFonts w:ascii="Calibri" w:cs="Calibri" w:eastAsia="Calibri" w:hAnsi="Calibri"/>
          <w:i/>
          <w:iCs/>
          <w:sz w:val="22"/>
          <w:szCs w:val="22"/>
        </w:rPr>
        <w:t xml:space="preserve">Objective: explain how SDPi-based connectivity actually works — discovery, the data model, and device-to-device interoperability — for newcomers, with the clinical "so what" for each idea.</w:t>
      </w:r>
    </w:p>
    <w:p>
      <w:pPr>
        <w:pStyle w:val="Heading2"/>
        <w:spacing w:after="150" w:before="300"/>
      </w:pPr>
      <w:r>
        <w:rPr>
          <w:rFonts w:ascii="Calibri" w:cs="Calibri" w:eastAsia="Calibri" w:hAnsi="Calibri"/>
          <w:b/>
          <w:bCs/>
          <w:color w:val="1F4E79"/>
          <w:sz w:val="26"/>
          <w:szCs w:val="26"/>
        </w:rPr>
        <w:t xml:space="preserve">How SDPi devices discover each other and exchange data</w:t>
      </w:r>
    </w:p>
    <w:p>
      <w:pPr>
        <w:spacing w:after="150"/>
      </w:pPr>
      <w:r>
        <w:rPr>
          <w:rFonts w:ascii="Calibri" w:cs="Calibri" w:eastAsia="Calibri" w:hAnsi="Calibri"/>
          <w:sz w:val="22"/>
          <w:szCs w:val="22"/>
        </w:rPr>
        <w:t xml:space="preserve">On an SDPi clinical network there is no central server that has to be configured to know about every device. Instead, devices announce themselves and find each other automatically. This is what makes "plug-and-play" possible.</w:t>
      </w:r>
    </w:p>
    <w:p>
      <w:pPr>
        <w:pStyle w:val="ListParagraph"/>
        <w:numPr>
          <w:ilvl w:val="0"/>
          <w:numId w:val="1"/>
        </w:numPr>
        <w:spacing w:after="100"/>
      </w:pPr>
      <w:r>
        <w:rPr>
          <w:rFonts w:ascii="Calibri" w:cs="Calibri" w:eastAsia="Calibri" w:hAnsi="Calibri"/>
          <w:sz w:val="22"/>
          <w:szCs w:val="22"/>
        </w:rPr>
        <w:t xml:space="preserve">Discover — a device joins the network and uses WS-Discovery to announce itself and find others, via lightweight multicast "Hello / Probe" messages.</w:t>
      </w:r>
    </w:p>
    <w:p>
      <w:pPr>
        <w:pStyle w:val="ListParagraph"/>
        <w:numPr>
          <w:ilvl w:val="0"/>
          <w:numId w:val="1"/>
        </w:numPr>
        <w:spacing w:after="100"/>
      </w:pPr>
      <w:r>
        <w:rPr>
          <w:rFonts w:ascii="Calibri" w:cs="Calibri" w:eastAsia="Calibri" w:hAnsi="Calibri"/>
          <w:sz w:val="22"/>
          <w:szCs w:val="22"/>
        </w:rPr>
        <w:t xml:space="preserve">Describe — it exposes its capabilities as services over DPWS / SOAP, so a consumer can ask "what can you do, and what data do you have?"</w:t>
      </w:r>
    </w:p>
    <w:p>
      <w:pPr>
        <w:pStyle w:val="ListParagraph"/>
        <w:numPr>
          <w:ilvl w:val="0"/>
          <w:numId w:val="1"/>
        </w:numPr>
        <w:spacing w:after="100"/>
      </w:pPr>
      <w:r>
        <w:rPr>
          <w:rFonts w:ascii="Calibri" w:cs="Calibri" w:eastAsia="Calibri" w:hAnsi="Calibri"/>
          <w:sz w:val="22"/>
          <w:szCs w:val="22"/>
        </w:rPr>
        <w:t xml:space="preserve">Secure — communication runs over TLS with mutual X.509 authentication — each side proves its identity before any data flows.</w:t>
      </w:r>
    </w:p>
    <w:p>
      <w:pPr>
        <w:pStyle w:val="ListParagraph"/>
        <w:numPr>
          <w:ilvl w:val="0"/>
          <w:numId w:val="1"/>
        </w:numPr>
        <w:spacing w:after="100"/>
      </w:pPr>
      <w:r>
        <w:rPr>
          <w:rFonts w:ascii="Calibri" w:cs="Calibri" w:eastAsia="Calibri" w:hAnsi="Calibri"/>
          <w:sz w:val="22"/>
          <w:szCs w:val="22"/>
        </w:rPr>
        <w:t xml:space="preserve">Exchange — consumers subscribe to live data and receive updates — numerics, waveforms, alarms — as they change.</w:t>
      </w:r>
    </w:p>
    <w:p>
      <w:pPr>
        <w:spacing w:after="150"/>
      </w:pPr>
      <w:r>
        <w:rPr>
          <w:rFonts w:ascii="Calibri" w:cs="Calibri" w:eastAsia="Calibri" w:hAnsi="Calibri"/>
          <w:sz w:val="22"/>
          <w:szCs w:val="22"/>
        </w:rPr>
        <w:t xml:space="preserve">To make it concrete, picture a patient monitor being wheeled into a room and powered up. It announces itself on the network with a "Hello"; a consumer — say, a central station or a gateway — probes it, reads its description, and both sides authenticate each other's certificates. Seconds later the consumer has subscribed, and heart rate, SpO₂ and alarm states are streaming — with no one having configured an interface. That whole sequence is the four steps above.</w:t>
      </w:r>
    </w:p>
    <w:p>
      <w:pPr>
        <w:spacing w:after="150"/>
      </w:pPr>
      <w:r>
        <w:rPr>
          <w:rFonts w:ascii="Calibri" w:cs="Calibri" w:eastAsia="Calibri" w:hAnsi="Calibri"/>
          <w:sz w:val="22"/>
          <w:szCs w:val="22"/>
        </w:rPr>
        <w:t xml:space="preserve">The key shift from older device feeds is the service-oriented model: a device is not a fixed cable carrying one data stream, it is a provider of services that any authorised consumer can discover and use at runtime.</w:t>
      </w:r>
    </w:p>
    <w:p>
      <w:pPr>
        <w:spacing w:after="150"/>
      </w:pPr>
    </w:p>
    <w:p>
      <w:pPr>
        <w:pStyle w:val="Heading2"/>
        <w:spacing w:after="150" w:before="300"/>
      </w:pPr>
      <w:r>
        <w:rPr>
          <w:rFonts w:ascii="Calibri" w:cs="Calibri" w:eastAsia="Calibri" w:hAnsi="Calibri"/>
          <w:b/>
          <w:bCs/>
          <w:color w:val="1F4E79"/>
          <w:sz w:val="26"/>
          <w:szCs w:val="26"/>
        </w:rPr>
        <w:t xml:space="preserve">The data model: what a device exposes, and how it's structured</w:t>
      </w:r>
    </w:p>
    <w:p>
      <w:pPr>
        <w:spacing w:after="150"/>
      </w:pPr>
      <w:r>
        <w:rPr>
          <w:rFonts w:ascii="Calibri" w:cs="Calibri" w:eastAsia="Calibri" w:hAnsi="Calibri"/>
          <w:sz w:val="22"/>
          <w:szCs w:val="22"/>
        </w:rPr>
        <w:t xml:space="preserve">For two devices to truly understand each other, they need a shared way to describe information. In SDPi/SDC that description is the MDIB — the Medical Device Information Base. The MDIB is the heart of the system: every measurement, alarm and operation a device offers is modelled there as a structured, hierarchical description.</w:t>
      </w:r>
    </w:p>
    <w:p>
      <w:pPr>
        <w:pStyle w:val="ListParagraph"/>
        <w:numPr>
          <w:ilvl w:val="0"/>
          <w:numId w:val="1"/>
        </w:numPr>
        <w:spacing w:after="100"/>
      </w:pPr>
      <w:r>
        <w:rPr>
          <w:rFonts w:ascii="Calibri" w:cs="Calibri" w:eastAsia="Calibri" w:hAnsi="Calibri"/>
          <w:sz w:val="22"/>
          <w:szCs w:val="22"/>
        </w:rPr>
        <w:t xml:space="preserve">Descriptors — the static definition: what exists ("this device has a heart-rate metric, measured in bpm, with these alarm limits").</w:t>
      </w:r>
    </w:p>
    <w:p>
      <w:pPr>
        <w:pStyle w:val="ListParagraph"/>
        <w:numPr>
          <w:ilvl w:val="0"/>
          <w:numId w:val="1"/>
        </w:numPr>
        <w:spacing w:after="100"/>
      </w:pPr>
      <w:r>
        <w:rPr>
          <w:rFonts w:ascii="Calibri" w:cs="Calibri" w:eastAsia="Calibri" w:hAnsi="Calibri"/>
          <w:sz w:val="22"/>
          <w:szCs w:val="22"/>
        </w:rPr>
        <w:t xml:space="preserve">States — the dynamic values: what is true right now ("heart rate is currently 72 bpm; this alarm is currently present").</w:t>
      </w:r>
    </w:p>
    <w:p>
      <w:pPr>
        <w:spacing w:after="150"/>
      </w:pPr>
      <w:r>
        <w:rPr>
          <w:rFonts w:ascii="Calibri" w:cs="Calibri" w:eastAsia="Calibri" w:hAnsi="Calibri"/>
          <w:sz w:val="22"/>
          <w:szCs w:val="22"/>
        </w:rPr>
        <w:t xml:space="preserve">If you come from software, the split will feel familiar: descriptors are like the class definition or blueprint, states are like the live instance values. Consumers can rely on the blueprint staying stable while the readings change beneath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Level</w:t>
            </w:r>
          </w:p>
        </w:tc>
        <w:tc>
          <w:tcPr>
            <w:tcW w:type="dxa" w:w="67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Meaning</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sz w:val="20"/>
                <w:szCs w:val="20"/>
              </w:rPr>
              <w:t xml:space="preserve">MDS — Medical Device System</w:t>
            </w:r>
          </w:p>
        </w:tc>
        <w:tc>
          <w:tcPr>
            <w:tcW w:type="dxa" w:w="6750"/>
            <w:shd w:fill="FFFFFF" w:val="clear"/>
            <w:tcMar>
              <w:top w:type="dxa" w:w="100"/>
              <w:left w:type="dxa" w:w="120"/>
              <w:bottom w:type="dxa" w:w="100"/>
              <w:right w:type="dxa" w:w="120"/>
            </w:tcMar>
            <w:vAlign w:val="center"/>
          </w:tcPr>
          <w:p>
            <w:r>
              <w:rPr>
                <w:rFonts w:ascii="Calibri" w:cs="Calibri" w:eastAsia="Calibri" w:hAnsi="Calibri"/>
                <w:sz w:val="20"/>
                <w:szCs w:val="20"/>
              </w:rPr>
              <w:t xml:space="preserve">The device as a whole (e.g. a patient monitor).</w:t>
            </w:r>
          </w:p>
        </w:tc>
      </w:tr>
      <w:tr>
        <w:tc>
          <w:tcPr>
            <w:tcW w:type="dxa" w:w="2600"/>
            <w:shd w:fill="EAF1F8" w:val="clear"/>
            <w:tcMar>
              <w:top w:type="dxa" w:w="100"/>
              <w:left w:type="dxa" w:w="120"/>
              <w:bottom w:type="dxa" w:w="100"/>
              <w:right w:type="dxa" w:w="120"/>
            </w:tcMar>
            <w:vAlign w:val="center"/>
          </w:tcPr>
          <w:p>
            <w:r>
              <w:rPr>
                <w:rFonts w:ascii="Calibri" w:cs="Calibri" w:eastAsia="Calibri" w:hAnsi="Calibri"/>
                <w:sz w:val="20"/>
                <w:szCs w:val="20"/>
              </w:rPr>
              <w:t xml:space="preserve">VMD — Virtual Medical Device</w:t>
            </w:r>
          </w:p>
        </w:tc>
        <w:tc>
          <w:tcPr>
            <w:tcW w:type="dxa" w:w="6750"/>
            <w:shd w:fill="EAF1F8" w:val="clear"/>
            <w:tcMar>
              <w:top w:type="dxa" w:w="100"/>
              <w:left w:type="dxa" w:w="120"/>
              <w:bottom w:type="dxa" w:w="100"/>
              <w:right w:type="dxa" w:w="120"/>
            </w:tcMar>
            <w:vAlign w:val="center"/>
          </w:tcPr>
          <w:p>
            <w:r>
              <w:rPr>
                <w:rFonts w:ascii="Calibri" w:cs="Calibri" w:eastAsia="Calibri" w:hAnsi="Calibri"/>
                <w:sz w:val="20"/>
                <w:szCs w:val="20"/>
              </w:rPr>
              <w:t xml:space="preserve">A functional sub-unit within it.</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sz w:val="20"/>
                <w:szCs w:val="20"/>
              </w:rPr>
              <w:t xml:space="preserve">Channel</w:t>
            </w:r>
          </w:p>
        </w:tc>
        <w:tc>
          <w:tcPr>
            <w:tcW w:type="dxa" w:w="6750"/>
            <w:shd w:fill="FFFFFF" w:val="clear"/>
            <w:tcMar>
              <w:top w:type="dxa" w:w="100"/>
              <w:left w:type="dxa" w:w="120"/>
              <w:bottom w:type="dxa" w:w="100"/>
              <w:right w:type="dxa" w:w="120"/>
            </w:tcMar>
            <w:vAlign w:val="center"/>
          </w:tcPr>
          <w:p>
            <w:r>
              <w:rPr>
                <w:rFonts w:ascii="Calibri" w:cs="Calibri" w:eastAsia="Calibri" w:hAnsi="Calibri"/>
                <w:sz w:val="20"/>
                <w:szCs w:val="20"/>
              </w:rPr>
              <w:t xml:space="preserve">A grouping of related measurements.</w:t>
            </w:r>
          </w:p>
        </w:tc>
      </w:tr>
      <w:tr>
        <w:tc>
          <w:tcPr>
            <w:tcW w:type="dxa" w:w="2600"/>
            <w:shd w:fill="EAF1F8" w:val="clear"/>
            <w:tcMar>
              <w:top w:type="dxa" w:w="100"/>
              <w:left w:type="dxa" w:w="120"/>
              <w:bottom w:type="dxa" w:w="100"/>
              <w:right w:type="dxa" w:w="120"/>
            </w:tcMar>
            <w:vAlign w:val="center"/>
          </w:tcPr>
          <w:p>
            <w:r>
              <w:rPr>
                <w:rFonts w:ascii="Calibri" w:cs="Calibri" w:eastAsia="Calibri" w:hAnsi="Calibri"/>
                <w:sz w:val="20"/>
                <w:szCs w:val="20"/>
              </w:rPr>
              <w:t xml:space="preserve">Metric</w:t>
            </w:r>
          </w:p>
        </w:tc>
        <w:tc>
          <w:tcPr>
            <w:tcW w:type="dxa" w:w="6750"/>
            <w:shd w:fill="EAF1F8" w:val="clear"/>
            <w:tcMar>
              <w:top w:type="dxa" w:w="100"/>
              <w:left w:type="dxa" w:w="120"/>
              <w:bottom w:type="dxa" w:w="100"/>
              <w:right w:type="dxa" w:w="120"/>
            </w:tcMar>
            <w:vAlign w:val="center"/>
          </w:tcPr>
          <w:p>
            <w:r>
              <w:rPr>
                <w:rFonts w:ascii="Calibri" w:cs="Calibri" w:eastAsia="Calibri" w:hAnsi="Calibri"/>
                <w:sz w:val="20"/>
                <w:szCs w:val="20"/>
              </w:rPr>
              <w:t xml:space="preserve">An individual value — a numeric (heart rate), a waveform, or a text value.</w:t>
            </w:r>
          </w:p>
        </w:tc>
      </w:tr>
      <w:tr>
        <w:tc>
          <w:tcPr>
            <w:tcW w:type="dxa" w:w="2600"/>
            <w:shd w:fill="FFFFFF" w:val="clear"/>
            <w:tcMar>
              <w:top w:type="dxa" w:w="100"/>
              <w:left w:type="dxa" w:w="120"/>
              <w:bottom w:type="dxa" w:w="100"/>
              <w:right w:type="dxa" w:w="120"/>
            </w:tcMar>
            <w:vAlign w:val="center"/>
          </w:tcPr>
          <w:p>
            <w:r>
              <w:rPr>
                <w:rFonts w:ascii="Calibri" w:cs="Calibri" w:eastAsia="Calibri" w:hAnsi="Calibri"/>
                <w:sz w:val="20"/>
                <w:szCs w:val="20"/>
              </w:rPr>
              <w:t xml:space="preserve">Alert System</w:t>
            </w:r>
          </w:p>
        </w:tc>
        <w:tc>
          <w:tcPr>
            <w:tcW w:type="dxa" w:w="6750"/>
            <w:shd w:fill="FFFFFF" w:val="clear"/>
            <w:tcMar>
              <w:top w:type="dxa" w:w="100"/>
              <w:left w:type="dxa" w:w="120"/>
              <w:bottom w:type="dxa" w:w="100"/>
              <w:right w:type="dxa" w:w="120"/>
            </w:tcMar>
            <w:vAlign w:val="center"/>
          </w:tcPr>
          <w:p>
            <w:r>
              <w:rPr>
                <w:rFonts w:ascii="Calibri" w:cs="Calibri" w:eastAsia="Calibri" w:hAnsi="Calibri"/>
                <w:sz w:val="20"/>
                <w:szCs w:val="20"/>
              </w:rPr>
              <w:t xml:space="preserve">The alarm sub-system: conditions and the signals that announce them.</w:t>
            </w:r>
          </w:p>
        </w:tc>
      </w:tr>
      <w:tr>
        <w:tc>
          <w:tcPr>
            <w:tcW w:type="dxa" w:w="2600"/>
            <w:shd w:fill="EAF1F8" w:val="clear"/>
            <w:tcMar>
              <w:top w:type="dxa" w:w="100"/>
              <w:left w:type="dxa" w:w="120"/>
              <w:bottom w:type="dxa" w:w="100"/>
              <w:right w:type="dxa" w:w="120"/>
            </w:tcMar>
            <w:vAlign w:val="center"/>
          </w:tcPr>
          <w:p>
            <w:r>
              <w:rPr>
                <w:rFonts w:ascii="Calibri" w:cs="Calibri" w:eastAsia="Calibri" w:hAnsi="Calibri"/>
                <w:sz w:val="20"/>
                <w:szCs w:val="20"/>
              </w:rPr>
              <w:t xml:space="preserve">SCO — Service Control Object</w:t>
            </w:r>
          </w:p>
        </w:tc>
        <w:tc>
          <w:tcPr>
            <w:tcW w:type="dxa" w:w="6750"/>
            <w:shd w:fill="EAF1F8" w:val="clear"/>
            <w:tcMar>
              <w:top w:type="dxa" w:w="100"/>
              <w:left w:type="dxa" w:w="120"/>
              <w:bottom w:type="dxa" w:w="100"/>
              <w:right w:type="dxa" w:w="120"/>
            </w:tcMar>
            <w:vAlign w:val="center"/>
          </w:tcPr>
          <w:p>
            <w:r>
              <w:rPr>
                <w:rFonts w:ascii="Calibri" w:cs="Calibri" w:eastAsia="Calibri" w:hAnsi="Calibri"/>
                <w:sz w:val="20"/>
                <w:szCs w:val="20"/>
              </w:rPr>
              <w:t xml:space="preserve">The operations a consumer can invoke on the device.</w:t>
            </w:r>
          </w:p>
        </w:tc>
      </w:tr>
    </w:tbl>
    <w:p>
      <w:pPr>
        <w:spacing w:after="150"/>
      </w:pPr>
      <w:r>
        <w:rPr>
          <w:rFonts w:ascii="Calibri" w:cs="Calibri" w:eastAsia="Calibri" w:hAnsi="Calibri"/>
          <w:sz w:val="22"/>
          <w:szCs w:val="22"/>
        </w:rPr>
        <w:t xml:space="preserve">Read top-down with an example: a patient monitor (MDS) contains an SpO₂ module (VMD), which groups its measurements in a channel, which contains the SpO₂ percentage as a numeric metric and the plethysmogram as a waveform metric. Every value a consumer ever receives has an address somewhere in this tree.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Key idea</w:t>
            </w:r>
          </w:p>
          <w:p>
            <w:r>
              <w:rPr>
                <w:rFonts w:ascii="Calibri" w:cs="Calibri" w:eastAsia="Calibri" w:hAnsi="Calibri"/>
                <w:i/>
                <w:iCs/>
                <w:sz w:val="21"/>
                <w:szCs w:val="21"/>
              </w:rPr>
              <w:t xml:space="preserve">The MDIB is the device's contract. If you remember one engineering principle from this module, it's that good SDPi work starts by designing the MDIB — it is the API every other device relies on.</w:t>
            </w:r>
          </w:p>
        </w:tc>
      </w:tr>
    </w:tbl>
    <w:p>
      <w:pPr>
        <w:spacing w:after="150"/>
      </w:pPr>
    </w:p>
    <w:p>
      <w:pPr>
        <w:pStyle w:val="Heading2"/>
        <w:spacing w:after="150" w:before="300"/>
      </w:pPr>
      <w:r>
        <w:rPr>
          <w:rFonts w:ascii="Calibri" w:cs="Calibri" w:eastAsia="Calibri" w:hAnsi="Calibri"/>
          <w:b/>
          <w:bCs/>
          <w:color w:val="1F4E79"/>
          <w:sz w:val="26"/>
          <w:szCs w:val="26"/>
        </w:rPr>
        <w:t xml:space="preserve">Device-to-device Plug-and-Trust interoperability — the big picture</w:t>
      </w:r>
    </w:p>
    <w:p>
      <w:pPr>
        <w:spacing w:after="150"/>
      </w:pPr>
      <w:r>
        <w:rPr>
          <w:rFonts w:ascii="Calibri" w:cs="Calibri" w:eastAsia="Calibri" w:hAnsi="Calibri"/>
          <w:sz w:val="22"/>
          <w:szCs w:val="22"/>
        </w:rPr>
        <w:t xml:space="preserve">Put discovery and the data model together and you get device-to-device (D2D) interoperability at the point of care: monitors, ventilators, pumps and sensors cooperating directly and securely on the clinical network, each trusting the others' identity and role.</w:t>
      </w:r>
    </w:p>
    <w:p>
      <w:pPr>
        <w:spacing w:after="150"/>
      </w:pPr>
      <w:r>
        <w:rPr>
          <w:rFonts w:ascii="Calibri" w:cs="Calibri" w:eastAsia="Calibri" w:hAnsi="Calibri"/>
          <w:sz w:val="22"/>
          <w:szCs w:val="22"/>
        </w:rPr>
        <w:t xml:space="preserve">It has been proven to work in practice, not just on paper: independent implementations — for example a Python-based consumer and a C++-based embedded provider — can discover one another and exchange data because they share the same MDIB schema, discovery mechanism and service contracts.</w:t>
      </w:r>
    </w:p>
    <w:p>
      <w:pPr>
        <w:spacing w:after="150"/>
      </w:pPr>
    </w:p>
    <w:p>
      <w:pPr>
        <w:pStyle w:val="Heading2"/>
        <w:spacing w:after="150" w:before="300"/>
      </w:pPr>
      <w:r>
        <w:rPr>
          <w:rFonts w:ascii="Calibri" w:cs="Calibri" w:eastAsia="Calibri" w:hAnsi="Calibri"/>
          <w:b/>
          <w:bCs/>
          <w:color w:val="1F4E79"/>
          <w:sz w:val="26"/>
          <w:szCs w:val="26"/>
        </w:rPr>
        <w:t xml:space="preserve">Why getting the connectivity model right from the start avoids expensive rework</w:t>
      </w:r>
    </w:p>
    <w:p>
      <w:pPr>
        <w:spacing w:after="150"/>
      </w:pPr>
      <w:r>
        <w:rPr>
          <w:rFonts w:ascii="Calibri" w:cs="Calibri" w:eastAsia="Calibri" w:hAnsi="Calibri"/>
          <w:sz w:val="22"/>
          <w:szCs w:val="22"/>
        </w:rPr>
        <w:t xml:space="preserve">Connectivity decisions are foundational: the MDIB design, the discovery configuration and the performance characteristics of real-time data all ripple through everything built on top. Field experience is blunt about this — the most painful problems (waveform latency, silent discovery failures, mismatched handles) trace back to early modelling and configuration choices, and they cost an order of magnitude more to fix after the fact than to get right on day one.</w:t>
      </w:r>
    </w:p>
    <w:p>
      <w:pPr>
        <w:spacing w:after="150"/>
      </w:pPr>
      <w:r>
        <w:rPr>
          <w:rFonts w:ascii="Calibri" w:cs="Calibri" w:eastAsia="Calibri" w:hAnsi="Calibri"/>
          <w:sz w:val="22"/>
          <w:szCs w:val="22"/>
        </w:rPr>
        <w:t xml:space="preserve">The asymmetry is worth spelling out: an MDIB structure is cheap to change on a whiteboard, awkward to change once a consumer depends on it, and very expensive to change once devices are fielded — because every consumer that learned your contract has to relearn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Practical guidance</w:t>
            </w:r>
          </w:p>
          <w:p>
            <w:r>
              <w:rPr>
                <w:rFonts w:ascii="Calibri" w:cs="Calibri" w:eastAsia="Calibri" w:hAnsi="Calibri"/>
                <w:i/>
                <w:iCs/>
                <w:sz w:val="21"/>
                <w:szCs w:val="21"/>
              </w:rPr>
              <w:t xml:space="preserve">Teams that succeed tend to do three things early: design the MDIB first (it's your contract), verify discovery before building features, and measure real-time performance as soon as a provider and consumer exist — not at integration time.</w:t>
            </w:r>
          </w:p>
        </w:tc>
      </w:tr>
    </w:tbl>
    <w:p>
      <w:pPr>
        <w:pageBreakBefore/>
      </w:pPr>
    </w:p>
    <w:p>
      <w:pPr>
        <w:pStyle w:val="Heading1"/>
        <w:spacing w:after="200" w:before="400"/>
      </w:pPr>
      <w:r>
        <w:rPr>
          <w:rFonts w:ascii="Calibri" w:cs="Calibri" w:eastAsia="Calibri" w:hAnsi="Calibri"/>
          <w:b/>
          <w:bCs/>
          <w:color w:val="1F4E79"/>
          <w:sz w:val="32"/>
          <w:szCs w:val="32"/>
        </w:rPr>
        <w:t xml:space="preserve">Module 2b · The Big 4 Functions &amp; System Functions</w:t>
      </w:r>
    </w:p>
    <w:p>
      <w:pPr>
        <w:spacing w:after="200"/>
      </w:pPr>
      <w:r>
        <w:rPr>
          <w:rFonts w:ascii="Calibri" w:cs="Calibri" w:eastAsia="Calibri" w:hAnsi="Calibri"/>
          <w:i/>
          <w:iCs/>
          <w:color w:val="595959"/>
          <w:sz w:val="20"/>
          <w:szCs w:val="20"/>
        </w:rPr>
        <w:t xml:space="preserve">Duration: ~8 min   ·   Audience: Mixed audience, especially newcomers to SDPi</w:t>
      </w:r>
    </w:p>
    <w:p>
      <w:pPr>
        <w:spacing w:after="150"/>
      </w:pPr>
      <w:r>
        <w:rPr>
          <w:rFonts w:ascii="Calibri" w:cs="Calibri" w:eastAsia="Calibri" w:hAnsi="Calibri"/>
          <w:i/>
          <w:iCs/>
          <w:sz w:val="22"/>
          <w:szCs w:val="22"/>
        </w:rPr>
        <w:t xml:space="preserve">Objective: explain the capabilities SDPi connectivity enables — the four core functions — and how several devices combine into clinician-meaningful system functions.</w:t>
      </w:r>
    </w:p>
    <w:p>
      <w:pPr>
        <w:pStyle w:val="Heading2"/>
        <w:spacing w:after="150" w:before="300"/>
      </w:pPr>
      <w:r>
        <w:rPr>
          <w:rFonts w:ascii="Calibri" w:cs="Calibri" w:eastAsia="Calibri" w:hAnsi="Calibri"/>
          <w:b/>
          <w:bCs/>
          <w:color w:val="1F4E79"/>
          <w:sz w:val="26"/>
          <w:szCs w:val="26"/>
        </w:rPr>
        <w:t xml:space="preserve">The Big 4 functions: what they are and what each enables</w:t>
      </w:r>
    </w:p>
    <w:p>
      <w:pPr>
        <w:spacing w:after="150"/>
      </w:pPr>
      <w:r>
        <w:rPr>
          <w:rFonts w:ascii="Calibri" w:cs="Calibri" w:eastAsia="Calibri" w:hAnsi="Calibri"/>
          <w:sz w:val="22"/>
          <w:szCs w:val="22"/>
        </w:rPr>
        <w:t xml:space="preserve">SDPi's capabilities are organised into a small number of core profiles. These are the "Big 4" — the functions that, together, cover the essentials of point-of-care interoperability.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650"/>
        <w:gridCol w:w="5200"/>
      </w:tblGrid>
      <w:tr>
        <w:trPr>
          <w:tblHeader/>
        </w:trPr>
        <w:tc>
          <w:tcPr>
            <w:tcW w:type="dxa" w:w="15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Profile</w:t>
            </w:r>
          </w:p>
        </w:tc>
        <w:tc>
          <w:tcPr>
            <w:tcW w:type="dxa" w:w="26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Function</w:t>
            </w:r>
          </w:p>
        </w:tc>
        <w:tc>
          <w:tcPr>
            <w:tcW w:type="dxa" w:w="52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it enables</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sz w:val="20"/>
                <w:szCs w:val="20"/>
              </w:rPr>
              <w:t xml:space="preserve">SDPi-P</w:t>
            </w:r>
          </w:p>
        </w:tc>
        <w:tc>
          <w:tcPr>
            <w:tcW w:type="dxa" w:w="2650"/>
            <w:shd w:fill="FFFFFF" w:val="clear"/>
            <w:tcMar>
              <w:top w:type="dxa" w:w="100"/>
              <w:left w:type="dxa" w:w="120"/>
              <w:bottom w:type="dxa" w:w="100"/>
              <w:right w:type="dxa" w:w="120"/>
            </w:tcMar>
            <w:vAlign w:val="center"/>
          </w:tcPr>
          <w:p>
            <w:r>
              <w:rPr>
                <w:rFonts w:ascii="Calibri" w:cs="Calibri" w:eastAsia="Calibri" w:hAnsi="Calibri"/>
                <w:sz w:val="20"/>
                <w:szCs w:val="20"/>
              </w:rPr>
              <w:t xml:space="preserve">Plug-and-Trust onboarding</w:t>
            </w:r>
          </w:p>
        </w:tc>
        <w:tc>
          <w:tcPr>
            <w:tcW w:type="dxa" w:w="5200"/>
            <w:shd w:fill="FFFFFF" w:val="clear"/>
            <w:tcMar>
              <w:top w:type="dxa" w:w="100"/>
              <w:left w:type="dxa" w:w="120"/>
              <w:bottom w:type="dxa" w:w="100"/>
              <w:right w:type="dxa" w:w="120"/>
            </w:tcMar>
            <w:vAlign w:val="center"/>
          </w:tcPr>
          <w:p>
            <w:r>
              <w:rPr>
                <w:rFonts w:ascii="Calibri" w:cs="Calibri" w:eastAsia="Calibri" w:hAnsi="Calibri"/>
                <w:sz w:val="20"/>
                <w:szCs w:val="20"/>
              </w:rPr>
              <w:t xml:space="preserve">Secure device onboarding and trust establishment — identity, certificates and authorisation built in. The foundation everything else stands on.</w:t>
            </w:r>
          </w:p>
        </w:tc>
      </w:tr>
      <w:tr>
        <w:tc>
          <w:tcPr>
            <w:tcW w:type="dxa" w:w="1500"/>
            <w:shd w:fill="EAF1F8" w:val="clear"/>
            <w:tcMar>
              <w:top w:type="dxa" w:w="100"/>
              <w:left w:type="dxa" w:w="120"/>
              <w:bottom w:type="dxa" w:w="100"/>
              <w:right w:type="dxa" w:w="120"/>
            </w:tcMar>
            <w:vAlign w:val="center"/>
          </w:tcPr>
          <w:p>
            <w:r>
              <w:rPr>
                <w:rFonts w:ascii="Calibri" w:cs="Calibri" w:eastAsia="Calibri" w:hAnsi="Calibri"/>
                <w:sz w:val="20"/>
                <w:szCs w:val="20"/>
              </w:rPr>
              <w:t xml:space="preserve">SDPi-R</w:t>
            </w:r>
          </w:p>
        </w:tc>
        <w:tc>
          <w:tcPr>
            <w:tcW w:type="dxa" w:w="2650"/>
            <w:shd w:fill="EAF1F8" w:val="clear"/>
            <w:tcMar>
              <w:top w:type="dxa" w:w="100"/>
              <w:left w:type="dxa" w:w="120"/>
              <w:bottom w:type="dxa" w:w="100"/>
              <w:right w:type="dxa" w:w="120"/>
            </w:tcMar>
            <w:vAlign w:val="center"/>
          </w:tcPr>
          <w:p>
            <w:r>
              <w:rPr>
                <w:rFonts w:ascii="Calibri" w:cs="Calibri" w:eastAsia="Calibri" w:hAnsi="Calibri"/>
                <w:sz w:val="20"/>
                <w:szCs w:val="20"/>
              </w:rPr>
              <w:t xml:space="preserve">Real-time Reporting</w:t>
            </w:r>
          </w:p>
        </w:tc>
        <w:tc>
          <w:tcPr>
            <w:tcW w:type="dxa" w:w="5200"/>
            <w:shd w:fill="EAF1F8" w:val="clear"/>
            <w:tcMar>
              <w:top w:type="dxa" w:w="100"/>
              <w:left w:type="dxa" w:w="120"/>
              <w:bottom w:type="dxa" w:w="100"/>
              <w:right w:type="dxa" w:w="120"/>
            </w:tcMar>
            <w:vAlign w:val="center"/>
          </w:tcPr>
          <w:p>
            <w:r>
              <w:rPr>
                <w:rFonts w:ascii="Calibri" w:cs="Calibri" w:eastAsia="Calibri" w:hAnsi="Calibri"/>
                <w:sz w:val="20"/>
                <w:szCs w:val="20"/>
              </w:rPr>
              <w:t xml:space="preserve">Live transmission of metrics and waveforms across connected devices, so a consumer always has a current, continuous picture.</w:t>
            </w:r>
          </w:p>
        </w:tc>
      </w:tr>
      <w:tr>
        <w:tc>
          <w:tcPr>
            <w:tcW w:type="dxa" w:w="1500"/>
            <w:shd w:fill="FFFFFF" w:val="clear"/>
            <w:tcMar>
              <w:top w:type="dxa" w:w="100"/>
              <w:left w:type="dxa" w:w="120"/>
              <w:bottom w:type="dxa" w:w="100"/>
              <w:right w:type="dxa" w:w="120"/>
            </w:tcMar>
            <w:vAlign w:val="center"/>
          </w:tcPr>
          <w:p>
            <w:r>
              <w:rPr>
                <w:rFonts w:ascii="Calibri" w:cs="Calibri" w:eastAsia="Calibri" w:hAnsi="Calibri"/>
                <w:sz w:val="20"/>
                <w:szCs w:val="20"/>
              </w:rPr>
              <w:t xml:space="preserve">SDPi-A</w:t>
            </w:r>
          </w:p>
        </w:tc>
        <w:tc>
          <w:tcPr>
            <w:tcW w:type="dxa" w:w="2650"/>
            <w:shd w:fill="FFFFFF" w:val="clear"/>
            <w:tcMar>
              <w:top w:type="dxa" w:w="100"/>
              <w:left w:type="dxa" w:w="120"/>
              <w:bottom w:type="dxa" w:w="100"/>
              <w:right w:type="dxa" w:w="120"/>
            </w:tcMar>
            <w:vAlign w:val="center"/>
          </w:tcPr>
          <w:p>
            <w:r>
              <w:rPr>
                <w:rFonts w:ascii="Calibri" w:cs="Calibri" w:eastAsia="Calibri" w:hAnsi="Calibri"/>
                <w:sz w:val="20"/>
                <w:szCs w:val="20"/>
              </w:rPr>
              <w:t xml:space="preserve">Alerting &amp; Notifications</w:t>
            </w:r>
          </w:p>
        </w:tc>
        <w:tc>
          <w:tcPr>
            <w:tcW w:type="dxa" w:w="5200"/>
            <w:shd w:fill="FFFFFF" w:val="clear"/>
            <w:tcMar>
              <w:top w:type="dxa" w:w="100"/>
              <w:left w:type="dxa" w:w="120"/>
              <w:bottom w:type="dxa" w:w="100"/>
              <w:right w:type="dxa" w:w="120"/>
            </w:tcMar>
            <w:vAlign w:val="center"/>
          </w:tcPr>
          <w:p>
            <w:r>
              <w:rPr>
                <w:rFonts w:ascii="Calibri" w:cs="Calibri" w:eastAsia="Calibri" w:hAnsi="Calibri"/>
                <w:sz w:val="20"/>
                <w:szCs w:val="20"/>
              </w:rPr>
              <w:t xml:space="preserve">Timely, limit-based alerts shared across devices to support faster clinical response.</w:t>
            </w:r>
          </w:p>
        </w:tc>
      </w:tr>
      <w:tr>
        <w:tc>
          <w:tcPr>
            <w:tcW w:type="dxa" w:w="1500"/>
            <w:shd w:fill="EAF1F8" w:val="clear"/>
            <w:tcMar>
              <w:top w:type="dxa" w:w="100"/>
              <w:left w:type="dxa" w:w="120"/>
              <w:bottom w:type="dxa" w:w="100"/>
              <w:right w:type="dxa" w:w="120"/>
            </w:tcMar>
            <w:vAlign w:val="center"/>
          </w:tcPr>
          <w:p>
            <w:r>
              <w:rPr>
                <w:rFonts w:ascii="Calibri" w:cs="Calibri" w:eastAsia="Calibri" w:hAnsi="Calibri"/>
                <w:sz w:val="20"/>
                <w:szCs w:val="20"/>
              </w:rPr>
              <w:t xml:space="preserve">SDPi-xC</w:t>
            </w:r>
          </w:p>
        </w:tc>
        <w:tc>
          <w:tcPr>
            <w:tcW w:type="dxa" w:w="2650"/>
            <w:shd w:fill="EAF1F8" w:val="clear"/>
            <w:tcMar>
              <w:top w:type="dxa" w:w="100"/>
              <w:left w:type="dxa" w:w="120"/>
              <w:bottom w:type="dxa" w:w="100"/>
              <w:right w:type="dxa" w:w="120"/>
            </w:tcMar>
            <w:vAlign w:val="center"/>
          </w:tcPr>
          <w:p>
            <w:r>
              <w:rPr>
                <w:rFonts w:ascii="Calibri" w:cs="Calibri" w:eastAsia="Calibri" w:hAnsi="Calibri"/>
                <w:sz w:val="20"/>
                <w:szCs w:val="20"/>
              </w:rPr>
              <w:t xml:space="preserve">External Control (future)</w:t>
            </w:r>
          </w:p>
        </w:tc>
        <w:tc>
          <w:tcPr>
            <w:tcW w:type="dxa" w:w="5200"/>
            <w:shd w:fill="EAF1F8" w:val="clear"/>
            <w:tcMar>
              <w:top w:type="dxa" w:w="100"/>
              <w:left w:type="dxa" w:w="120"/>
              <w:bottom w:type="dxa" w:w="100"/>
              <w:right w:type="dxa" w:w="120"/>
            </w:tcMar>
            <w:vAlign w:val="center"/>
          </w:tcPr>
          <w:p>
            <w:r>
              <w:rPr>
                <w:rFonts w:ascii="Calibri" w:cs="Calibri" w:eastAsia="Calibri" w:hAnsi="Calibri"/>
                <w:sz w:val="20"/>
                <w:szCs w:val="20"/>
              </w:rPr>
              <w:t xml:space="preserve">Secure external control of device functions — the basis of coordinated, closed-loop scenarios as the ecosystem matures.</w:t>
            </w:r>
          </w:p>
        </w:tc>
      </w:tr>
    </w:tbl>
    <w:p>
      <w:pPr>
        <w:spacing w:after="150"/>
      </w:pPr>
      <w:r>
        <w:rPr>
          <w:rFonts w:ascii="Calibri" w:cs="Calibri" w:eastAsia="Calibri" w:hAnsi="Calibri"/>
          <w:sz w:val="22"/>
          <w:szCs w:val="22"/>
        </w:rPr>
        <w:t xml:space="preserve">The four are not four independent silos — they build on each other. SDPi-P is the prerequisite: nothing else happens until a device has joined the network and established trust. Reporting and alerting ride on that trusted connection, and external control sits deliberately last, because commanding another vendor's device carries the highest clinical risk and demands the most safety and regulatory maturity. That ordering is also, roughly, the order in which most products adopt them.</w:t>
      </w:r>
    </w:p>
    <w:p>
      <w:pPr>
        <w:spacing w:after="150"/>
      </w:pPr>
      <w:r>
        <w:rPr>
          <w:rFonts w:ascii="Calibri" w:cs="Calibri" w:eastAsia="Calibri" w:hAnsi="Calibri"/>
          <w:sz w:val="22"/>
          <w:szCs w:val="22"/>
        </w:rPr>
        <w:t xml:space="preserve">A simple way to remember them: onboard securely (P), report continuously (R), alert reliably (A), and eventually control safely (xC).</w:t>
      </w:r>
    </w:p>
    <w:p>
      <w:pPr>
        <w:spacing w:after="150"/>
      </w:pPr>
    </w:p>
    <w:p>
      <w:pPr>
        <w:pStyle w:val="Heading2"/>
        <w:spacing w:after="150" w:before="300"/>
      </w:pPr>
      <w:r>
        <w:rPr>
          <w:rFonts w:ascii="Calibri" w:cs="Calibri" w:eastAsia="Calibri" w:hAnsi="Calibri"/>
          <w:b/>
          <w:bCs/>
          <w:color w:val="1F4E79"/>
          <w:sz w:val="26"/>
          <w:szCs w:val="26"/>
        </w:rPr>
        <w:t xml:space="preserve">System functions: CSF and SFC from a clinical workflow view</w:t>
      </w:r>
    </w:p>
    <w:p>
      <w:pPr>
        <w:spacing w:after="150"/>
      </w:pPr>
      <w:r>
        <w:rPr>
          <w:rFonts w:ascii="Calibri" w:cs="Calibri" w:eastAsia="Calibri" w:hAnsi="Calibri"/>
          <w:sz w:val="22"/>
          <w:szCs w:val="22"/>
        </w:rPr>
        <w:t xml:space="preserve">Real clinical value often comes not from one device, but from several devices cooperating to deliver a single clinical capability — a system function. Showing vital signs as an overlay on an endoscopic image is a system function: the oximeter contributes the data, the camera system contributes the display, and together they do something neither could alone.</w:t>
      </w:r>
    </w:p>
    <w:p>
      <w:pPr>
        <w:spacing w:after="150"/>
      </w:pPr>
      <w:r>
        <w:rPr>
          <w:rFonts w:ascii="Calibri" w:cs="Calibri" w:eastAsia="Calibri" w:hAnsi="Calibri"/>
          <w:sz w:val="22"/>
          <w:szCs w:val="22"/>
        </w:rPr>
        <w:t xml:space="preserve">Another everyday example: delivering a patient's alarm to the right clinician's handheld, wherever they are. The bedside device detects the condition, the alerting infrastructure routes it, and the mobile device presents it — three participants, one clinical capability. No single vendor's box "is" the function; the function emerges from their cooperation, which is exactly why it needs to be specified and coordinated deliberately.</w:t>
      </w:r>
    </w:p>
    <w:p>
      <w:pPr>
        <w:pStyle w:val="ListParagraph"/>
        <w:numPr>
          <w:ilvl w:val="0"/>
          <w:numId w:val="1"/>
        </w:numPr>
        <w:spacing w:after="100"/>
      </w:pPr>
      <w:r>
        <w:rPr>
          <w:rFonts w:ascii="Calibri" w:cs="Calibri" w:eastAsia="Calibri" w:hAnsi="Calibri"/>
          <w:sz w:val="22"/>
          <w:szCs w:val="22"/>
        </w:rPr>
        <w:t xml:space="preserve">CSF — Clinician-Specified Function: the clinical capability the care team actually wants ("show me these vitals, here, in this context"). It is framed in clinical terms, not protocol terms.</w:t>
      </w:r>
    </w:p>
    <w:p>
      <w:pPr>
        <w:pStyle w:val="ListParagraph"/>
        <w:numPr>
          <w:ilvl w:val="0"/>
          <w:numId w:val="1"/>
        </w:numPr>
        <w:spacing w:after="100"/>
      </w:pPr>
      <w:r>
        <w:rPr>
          <w:rFonts w:ascii="Calibri" w:cs="Calibri" w:eastAsia="Calibri" w:hAnsi="Calibri"/>
          <w:sz w:val="22"/>
          <w:szCs w:val="22"/>
        </w:rPr>
        <w:t xml:space="preserve">SFC — System Function Coordinator: the role that orchestrates the contributing devices so the specified function is delivered safely and consistently.</w:t>
      </w:r>
    </w:p>
    <w:p>
      <w:pPr>
        <w:spacing w:after="150"/>
      </w:pPr>
      <w:r>
        <w:rPr>
          <w:rFonts w:ascii="Calibri" w:cs="Calibri" w:eastAsia="Calibri" w:hAnsi="Calibri"/>
          <w:sz w:val="22"/>
          <w:szCs w:val="22"/>
        </w:rPr>
        <w:t xml:space="preserve">At this introductory level the takeaway is simple: SDPi is built not just to move data, but to let multiple devices combine into clinician-meaningful functions, with clear allocation of responsibility for each contribution.</w:t>
      </w:r>
    </w:p>
    <w:p>
      <w:pPr>
        <w:spacing w:after="150"/>
      </w:pPr>
    </w:p>
    <w:p>
      <w:pPr>
        <w:pStyle w:val="Heading2"/>
        <w:spacing w:after="150" w:before="300"/>
      </w:pPr>
      <w:r>
        <w:rPr>
          <w:rFonts w:ascii="Calibri" w:cs="Calibri" w:eastAsia="Calibri" w:hAnsi="Calibri"/>
          <w:b/>
          <w:bCs/>
          <w:color w:val="1F4E79"/>
          <w:sz w:val="26"/>
          <w:szCs w:val="26"/>
        </w:rPr>
        <w:t xml:space="preserve">Clinical context and coordination — and why it matters</w:t>
      </w:r>
    </w:p>
    <w:p>
      <w:pPr>
        <w:spacing w:after="150"/>
      </w:pPr>
      <w:r>
        <w:rPr>
          <w:rFonts w:ascii="Calibri" w:cs="Calibri" w:eastAsia="Calibri" w:hAnsi="Calibri"/>
          <w:sz w:val="22"/>
          <w:szCs w:val="22"/>
        </w:rPr>
        <w:t xml:space="preserve">Device data is only safe to act on if everyone agrees which patient, which location, and which clinical situation it belongs to. That shared understanding is clinical context. Coordinating context across devices — so an alarm, a waveform and a setting all refer to the same patient and episode — is what separates genuine interoperability from a pile of disconnected feeds. SDPi treats context and coordination as first-class concerns precisely because getting them wrong is a patient-safety problem, not just a data problem.</w:t>
      </w:r>
    </w:p>
    <w:p>
      <w:pPr>
        <w:spacing w:after="150"/>
      </w:pPr>
      <w:r>
        <w:rPr>
          <w:rFonts w:ascii="Calibri" w:cs="Calibri" w:eastAsia="Calibri" w:hAnsi="Calibri"/>
          <w:sz w:val="22"/>
          <w:szCs w:val="22"/>
        </w:rPr>
        <w:t xml:space="preserve">One failure mode makes the stakes vivid: a monitor is moved from bed 3 to bed 7 without its patient context being updated, and its alarms are now silently attributed to the wrong patient. Everything on the wire is technically correct — the data flows, the alarm fires — and yet the system is clinically wrong. This is why context management is profiled behaviour in SDPi, not an integration afterthought.</w:t>
      </w:r>
    </w:p>
    <w:p>
      <w:pPr>
        <w:pageBreakBefore/>
      </w:pPr>
    </w:p>
    <w:p>
      <w:pPr>
        <w:pStyle w:val="Heading1"/>
        <w:spacing w:after="200" w:before="400"/>
      </w:pPr>
      <w:r>
        <w:rPr>
          <w:rFonts w:ascii="Calibri" w:cs="Calibri" w:eastAsia="Calibri" w:hAnsi="Calibri"/>
          <w:b/>
          <w:bCs/>
          <w:color w:val="1F4E79"/>
          <w:sz w:val="32"/>
          <w:szCs w:val="32"/>
        </w:rPr>
        <w:t xml:space="preserve">Module 3 · SDPi in the Clinical Interoperability Landscape</w:t>
      </w:r>
    </w:p>
    <w:p>
      <w:pPr>
        <w:spacing w:after="200"/>
      </w:pPr>
      <w:r>
        <w:rPr>
          <w:rFonts w:ascii="Calibri" w:cs="Calibri" w:eastAsia="Calibri" w:hAnsi="Calibri"/>
          <w:i/>
          <w:iCs/>
          <w:color w:val="595959"/>
          <w:sz w:val="20"/>
          <w:szCs w:val="20"/>
        </w:rPr>
        <w:t xml:space="preserve">Duration: ~10 min   ·   Audience: Product, architecture and strategy stakeholders</w:t>
      </w:r>
    </w:p>
    <w:p>
      <w:pPr>
        <w:spacing w:after="150"/>
      </w:pPr>
      <w:r>
        <w:rPr>
          <w:rFonts w:ascii="Calibri" w:cs="Calibri" w:eastAsia="Calibri" w:hAnsi="Calibri"/>
          <w:i/>
          <w:iCs/>
          <w:sz w:val="22"/>
          <w:szCs w:val="22"/>
        </w:rPr>
        <w:t xml:space="preserve">Objective: show how SDPi fits in the full hospital interoperability picture — and, just as importantly, where it does not try to fit.</w:t>
      </w:r>
    </w:p>
    <w:p>
      <w:pPr>
        <w:pStyle w:val="Heading2"/>
        <w:spacing w:after="150" w:before="300"/>
      </w:pPr>
      <w:r>
        <w:rPr>
          <w:rFonts w:ascii="Calibri" w:cs="Calibri" w:eastAsia="Calibri" w:hAnsi="Calibri"/>
          <w:b/>
          <w:bCs/>
          <w:color w:val="1F4E79"/>
          <w:sz w:val="26"/>
          <w:szCs w:val="26"/>
        </w:rPr>
        <w:t xml:space="preserve">Two networks, one ecosystem</w:t>
      </w:r>
    </w:p>
    <w:p>
      <w:pPr>
        <w:spacing w:after="150"/>
      </w:pPr>
      <w:r>
        <w:rPr>
          <w:rFonts w:ascii="Calibri" w:cs="Calibri" w:eastAsia="Calibri" w:hAnsi="Calibri"/>
          <w:sz w:val="22"/>
          <w:szCs w:val="22"/>
        </w:rPr>
        <w:t xml:space="preserve">The cleanest mental model is to picture two cooperating networks:</w:t>
      </w:r>
    </w:p>
    <w:p>
      <w:pPr>
        <w:pStyle w:val="ListParagraph"/>
        <w:numPr>
          <w:ilvl w:val="0"/>
          <w:numId w:val="1"/>
        </w:numPr>
        <w:spacing w:after="100"/>
      </w:pPr>
      <w:r>
        <w:rPr>
          <w:rFonts w:ascii="Calibri" w:cs="Calibri" w:eastAsia="Calibri" w:hAnsi="Calibri"/>
          <w:sz w:val="22"/>
          <w:szCs w:val="22"/>
        </w:rPr>
        <w:t xml:space="preserve">The point-of-care network — where SDPi/SDC lives. Devices at the bedside coordinate directly, in real time, securely, and vendor-agnostically.</w:t>
      </w:r>
    </w:p>
    <w:p>
      <w:pPr>
        <w:pStyle w:val="ListParagraph"/>
        <w:numPr>
          <w:ilvl w:val="0"/>
          <w:numId w:val="1"/>
        </w:numPr>
        <w:spacing w:after="100"/>
      </w:pPr>
      <w:r>
        <w:rPr>
          <w:rFonts w:ascii="Calibri" w:cs="Calibri" w:eastAsia="Calibri" w:hAnsi="Calibri"/>
          <w:sz w:val="22"/>
          <w:szCs w:val="22"/>
        </w:rPr>
        <w:t xml:space="preserve">The hospital IT network — where HL7 V2, FHIR and DICOM live. EMR/EHR, PACS, lab, billing and analytics exchange and store healthcare information.</w:t>
      </w:r>
    </w:p>
    <w:p>
      <w:pPr>
        <w:spacing w:after="150"/>
      </w:pPr>
      <w:r>
        <w:rPr>
          <w:rFonts w:ascii="Calibri" w:cs="Calibri" w:eastAsia="Calibri" w:hAnsi="Calibri"/>
          <w:sz w:val="22"/>
          <w:szCs w:val="22"/>
        </w:rPr>
        <w:t xml:space="preserve">A vendor-agnostic gateway joins the two. SDPi gives you a rich, live, bi-directional picture at the bedside; the gateway translates the parts the enterprise needs into HL7/FHIR/DICOM and feeds them upstream. Together they are the foundation for an open, vendor-neutral ecosystem — which is exactly how the SDC community positions SDC and HL7/FHIR: as complementary standards, not rivals.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Key idea</w:t>
            </w:r>
          </w:p>
          <w:p>
            <w:r>
              <w:rPr>
                <w:rFonts w:ascii="Calibri" w:cs="Calibri" w:eastAsia="Calibri" w:hAnsi="Calibri"/>
                <w:i/>
                <w:iCs/>
                <w:sz w:val="21"/>
                <w:szCs w:val="21"/>
              </w:rPr>
              <w:t xml:space="preserve">SDPi connects devices to each other at the point of care. HL7 V2, FHIR and DICOM connect that world to the enterprise. The gateway is the bridge. No single standard does all of it.</w:t>
            </w:r>
          </w:p>
        </w:tc>
      </w:tr>
    </w:tbl>
    <w:p>
      <w:pPr>
        <w:spacing w:after="150"/>
      </w:pPr>
    </w:p>
    <w:p>
      <w:pPr>
        <w:pStyle w:val="Heading2"/>
        <w:spacing w:after="150" w:before="300"/>
      </w:pPr>
      <w:r>
        <w:rPr>
          <w:rFonts w:ascii="Calibri" w:cs="Calibri" w:eastAsia="Calibri" w:hAnsi="Calibri"/>
          <w:b/>
          <w:bCs/>
          <w:color w:val="1F4E79"/>
          <w:sz w:val="26"/>
          <w:szCs w:val="26"/>
        </w:rPr>
        <w:t xml:space="preserve">Integrating SDPi-enabled devices with hospital IT systems</w:t>
      </w:r>
    </w:p>
    <w:p>
      <w:pPr>
        <w:spacing w:after="150"/>
      </w:pPr>
      <w:r>
        <w:rPr>
          <w:rFonts w:ascii="Calibri" w:cs="Calibri" w:eastAsia="Calibri" w:hAnsi="Calibri"/>
          <w:sz w:val="22"/>
          <w:szCs w:val="22"/>
        </w:rPr>
        <w:t xml:space="preserve">From an architecture standpoint, SDPi devices are not meant to talk to the EMR directly. They expose a clean, standardised picture of themselves on the point-of-care network, and a gateway is responsible for the "outbound" flow of device and diagnostic data toward hospital IT, and the "inbound" flow of patient and contextual data back to bedside devices. This keeps the bedside real-time and deterministic, while the enterprise gets the consolidated, semantically-tagged data it needs.</w:t>
      </w:r>
    </w:p>
    <w:p>
      <w:pPr>
        <w:spacing w:after="150"/>
      </w:pPr>
    </w:p>
    <w:p>
      <w:pPr>
        <w:pStyle w:val="Heading2"/>
        <w:spacing w:after="150" w:before="300"/>
      </w:pPr>
      <w:r>
        <w:rPr>
          <w:rFonts w:ascii="Calibri" w:cs="Calibri" w:eastAsia="Calibri" w:hAnsi="Calibri"/>
          <w:b/>
          <w:bCs/>
          <w:color w:val="1F4E79"/>
          <w:sz w:val="26"/>
          <w:szCs w:val="26"/>
        </w:rPr>
        <w:t xml:space="preserve">Interaction with EMR/EHR, middleware and gateways</w:t>
      </w:r>
    </w:p>
    <w:p>
      <w:pPr>
        <w:spacing w:after="150"/>
      </w:pPr>
      <w:r>
        <w:rPr>
          <w:rFonts w:ascii="Calibri" w:cs="Calibri" w:eastAsia="Calibri" w:hAnsi="Calibri"/>
          <w:sz w:val="22"/>
          <w:szCs w:val="22"/>
        </w:rPr>
        <w:t xml:space="preserve">In practice the integration pattern looks like this: Bedside (SDPi devices: monitors, ventilators, pumps, wearables coordinating on the point-of-care network) → Bridge (gateway / middleware: translates between SDPi/SDC and HL7 FHIR or V2; applies mapping, buffering and routing) → Enterprise (EMR/EHR &amp; systems: stores observations, drives charting, analytics, remote monitoring and billing).</w:t>
      </w:r>
    </w:p>
    <w:p>
      <w:pPr>
        <w:spacing w:after="150"/>
      </w:pPr>
      <w:r>
        <w:rPr>
          <w:rFonts w:ascii="Calibri" w:cs="Calibri" w:eastAsia="Calibri" w:hAnsi="Calibri"/>
          <w:sz w:val="22"/>
          <w:szCs w:val="22"/>
        </w:rPr>
        <w:t xml:space="preserve">It helps to follow one value through the chain. A heart-rate reading is born on the monitor as an SDC metric in the MDIB; a subscribed gateway receives the update within moments; the gateway maps the 11073 semantics onto the enterprise representation — an HL7 V2 observation or a FHIR Observation resource — attaches the right patient identity, and forwards it; the EMR files it into the patient's chart, where it also becomes available to analytics and early-warning logic. Same clinical fact, three representations, each fit for its layer.</w:t>
      </w:r>
    </w:p>
    <w:p>
      <w:pPr>
        <w:spacing w:after="150"/>
      </w:pPr>
      <w:r>
        <w:rPr>
          <w:rFonts w:ascii="Calibri" w:cs="Calibri" w:eastAsia="Calibri" w:hAnsi="Calibri"/>
          <w:sz w:val="22"/>
          <w:szCs w:val="22"/>
        </w:rPr>
        <w:t xml:space="preserve">This is also where security boundaries are drawn deliberately. The gateway is a trust mediator: the strong, certificate-based trust model of the SDPi side has to be reconciled with whatever the connected enterprise systems expect — so the gateway's own security effectively becomes the security of the whole chain.</w:t>
      </w:r>
    </w:p>
    <w:p>
      <w:pPr>
        <w:spacing w:after="150"/>
      </w:pPr>
    </w:p>
    <w:p>
      <w:pPr>
        <w:pStyle w:val="Heading2"/>
        <w:spacing w:after="150" w:before="300"/>
      </w:pPr>
      <w:r>
        <w:rPr>
          <w:rFonts w:ascii="Calibri" w:cs="Calibri" w:eastAsia="Calibri" w:hAnsi="Calibri"/>
          <w:b/>
          <w:bCs/>
          <w:color w:val="1F4E79"/>
          <w:sz w:val="26"/>
          <w:szCs w:val="26"/>
        </w:rPr>
        <w:t xml:space="preserve">Where SDPi sits alongside HL7 V2, FHIR, DICOM and IHE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3550"/>
        <w:gridCol w:w="3900"/>
      </w:tblGrid>
      <w:tr>
        <w:trPr>
          <w:tblHeader/>
        </w:trPr>
        <w:tc>
          <w:tcPr>
            <w:tcW w:type="dxa" w:w="19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Standard</w:t>
            </w:r>
          </w:p>
        </w:tc>
        <w:tc>
          <w:tcPr>
            <w:tcW w:type="dxa" w:w="35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Primary job</w:t>
            </w:r>
          </w:p>
        </w:tc>
        <w:tc>
          <w:tcPr>
            <w:tcW w:type="dxa" w:w="39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Relationship to SDPi</w:t>
            </w:r>
          </w:p>
        </w:tc>
      </w:tr>
      <w:tr>
        <w:tc>
          <w:tcPr>
            <w:tcW w:type="dxa" w:w="1900"/>
            <w:shd w:fill="FFFFFF" w:val="clear"/>
            <w:tcMar>
              <w:top w:type="dxa" w:w="100"/>
              <w:left w:type="dxa" w:w="120"/>
              <w:bottom w:type="dxa" w:w="100"/>
              <w:right w:type="dxa" w:w="120"/>
            </w:tcMar>
            <w:vAlign w:val="center"/>
          </w:tcPr>
          <w:p>
            <w:r>
              <w:rPr>
                <w:rFonts w:ascii="Calibri" w:cs="Calibri" w:eastAsia="Calibri" w:hAnsi="Calibri"/>
                <w:sz w:val="20"/>
                <w:szCs w:val="20"/>
              </w:rPr>
              <w:t xml:space="preserve">SDPi (on SDC)</w:t>
            </w:r>
          </w:p>
        </w:tc>
        <w:tc>
          <w:tcPr>
            <w:tcW w:type="dxa" w:w="3550"/>
            <w:shd w:fill="FFFFFF" w:val="clear"/>
            <w:tcMar>
              <w:top w:type="dxa" w:w="100"/>
              <w:left w:type="dxa" w:w="120"/>
              <w:bottom w:type="dxa" w:w="100"/>
              <w:right w:type="dxa" w:w="120"/>
            </w:tcMar>
            <w:vAlign w:val="center"/>
          </w:tcPr>
          <w:p>
            <w:r>
              <w:rPr>
                <w:rFonts w:ascii="Calibri" w:cs="Calibri" w:eastAsia="Calibri" w:hAnsi="Calibri"/>
                <w:sz w:val="20"/>
                <w:szCs w:val="20"/>
              </w:rPr>
              <w:t xml:space="preserve">Real-time, secure device-to-device interoperability at the point of care</w:t>
            </w:r>
          </w:p>
        </w:tc>
        <w:tc>
          <w:tcPr>
            <w:tcW w:type="dxa" w:w="3900"/>
            <w:shd w:fill="FFFFFF" w:val="clear"/>
            <w:tcMar>
              <w:top w:type="dxa" w:w="100"/>
              <w:left w:type="dxa" w:w="120"/>
              <w:bottom w:type="dxa" w:w="100"/>
              <w:right w:type="dxa" w:w="120"/>
            </w:tcMar>
            <w:vAlign w:val="center"/>
          </w:tcPr>
          <w:p>
            <w:r>
              <w:rPr>
                <w:rFonts w:ascii="Calibri" w:cs="Calibri" w:eastAsia="Calibri" w:hAnsi="Calibri"/>
                <w:sz w:val="20"/>
                <w:szCs w:val="20"/>
              </w:rPr>
              <w:t xml:space="preserve">The bedside layer — the focus of this series</w:t>
            </w:r>
          </w:p>
        </w:tc>
      </w:tr>
      <w:tr>
        <w:tc>
          <w:tcPr>
            <w:tcW w:type="dxa" w:w="1900"/>
            <w:shd w:fill="EAF1F8" w:val="clear"/>
            <w:tcMar>
              <w:top w:type="dxa" w:w="100"/>
              <w:left w:type="dxa" w:w="120"/>
              <w:bottom w:type="dxa" w:w="100"/>
              <w:right w:type="dxa" w:w="120"/>
            </w:tcMar>
            <w:vAlign w:val="center"/>
          </w:tcPr>
          <w:p>
            <w:r>
              <w:rPr>
                <w:rFonts w:ascii="Calibri" w:cs="Calibri" w:eastAsia="Calibri" w:hAnsi="Calibri"/>
                <w:sz w:val="20"/>
                <w:szCs w:val="20"/>
              </w:rPr>
              <w:t xml:space="preserve">HL7 V2 (incl. PCD)</w:t>
            </w:r>
          </w:p>
        </w:tc>
        <w:tc>
          <w:tcPr>
            <w:tcW w:type="dxa" w:w="3550"/>
            <w:shd w:fill="EAF1F8" w:val="clear"/>
            <w:tcMar>
              <w:top w:type="dxa" w:w="100"/>
              <w:left w:type="dxa" w:w="120"/>
              <w:bottom w:type="dxa" w:w="100"/>
              <w:right w:type="dxa" w:w="120"/>
            </w:tcMar>
            <w:vAlign w:val="center"/>
          </w:tcPr>
          <w:p>
            <w:r>
              <w:rPr>
                <w:rFonts w:ascii="Calibri" w:cs="Calibri" w:eastAsia="Calibri" w:hAnsi="Calibri"/>
                <w:sz w:val="20"/>
                <w:szCs w:val="20"/>
              </w:rPr>
              <w:t xml:space="preserve">Established messaging into hospital systems</w:t>
            </w:r>
          </w:p>
        </w:tc>
        <w:tc>
          <w:tcPr>
            <w:tcW w:type="dxa" w:w="3900"/>
            <w:shd w:fill="EAF1F8" w:val="clear"/>
            <w:tcMar>
              <w:top w:type="dxa" w:w="100"/>
              <w:left w:type="dxa" w:w="120"/>
              <w:bottom w:type="dxa" w:w="100"/>
              <w:right w:type="dxa" w:w="120"/>
            </w:tcMar>
            <w:vAlign w:val="center"/>
          </w:tcPr>
          <w:p>
            <w:r>
              <w:rPr>
                <w:rFonts w:ascii="Calibri" w:cs="Calibri" w:eastAsia="Calibri" w:hAnsi="Calibri"/>
                <w:sz w:val="20"/>
                <w:szCs w:val="20"/>
              </w:rPr>
              <w:t xml:space="preserve">Common gateway target for device data feeds</w:t>
            </w:r>
          </w:p>
        </w:tc>
      </w:tr>
      <w:tr>
        <w:tc>
          <w:tcPr>
            <w:tcW w:type="dxa" w:w="1900"/>
            <w:shd w:fill="FFFFFF" w:val="clear"/>
            <w:tcMar>
              <w:top w:type="dxa" w:w="100"/>
              <w:left w:type="dxa" w:w="120"/>
              <w:bottom w:type="dxa" w:w="100"/>
              <w:right w:type="dxa" w:w="120"/>
            </w:tcMar>
            <w:vAlign w:val="center"/>
          </w:tcPr>
          <w:p>
            <w:r>
              <w:rPr>
                <w:rFonts w:ascii="Calibri" w:cs="Calibri" w:eastAsia="Calibri" w:hAnsi="Calibri"/>
                <w:sz w:val="20"/>
                <w:szCs w:val="20"/>
              </w:rPr>
              <w:t xml:space="preserve">HL7 FHIR</w:t>
            </w:r>
          </w:p>
        </w:tc>
        <w:tc>
          <w:tcPr>
            <w:tcW w:type="dxa" w:w="3550"/>
            <w:shd w:fill="FFFFFF" w:val="clear"/>
            <w:tcMar>
              <w:top w:type="dxa" w:w="100"/>
              <w:left w:type="dxa" w:w="120"/>
              <w:bottom w:type="dxa" w:w="100"/>
              <w:right w:type="dxa" w:w="120"/>
            </w:tcMar>
            <w:vAlign w:val="center"/>
          </w:tcPr>
          <w:p>
            <w:r>
              <w:rPr>
                <w:rFonts w:ascii="Calibri" w:cs="Calibri" w:eastAsia="Calibri" w:hAnsi="Calibri"/>
                <w:sz w:val="20"/>
                <w:szCs w:val="20"/>
              </w:rPr>
              <w:t xml:space="preserve">Modern web-API resources for apps, cloud &amp; analytics</w:t>
            </w:r>
          </w:p>
        </w:tc>
        <w:tc>
          <w:tcPr>
            <w:tcW w:type="dxa" w:w="3900"/>
            <w:shd w:fill="FFFFFF" w:val="clear"/>
            <w:tcMar>
              <w:top w:type="dxa" w:w="100"/>
              <w:left w:type="dxa" w:w="120"/>
              <w:bottom w:type="dxa" w:w="100"/>
              <w:right w:type="dxa" w:w="120"/>
            </w:tcMar>
            <w:vAlign w:val="center"/>
          </w:tcPr>
          <w:p>
            <w:r>
              <w:rPr>
                <w:rFonts w:ascii="Calibri" w:cs="Calibri" w:eastAsia="Calibri" w:hAnsi="Calibri"/>
                <w:sz w:val="20"/>
                <w:szCs w:val="20"/>
              </w:rPr>
              <w:t xml:space="preserve">Gateway target; how device data reaches the wider ecosystem</w:t>
            </w:r>
          </w:p>
        </w:tc>
      </w:tr>
      <w:tr>
        <w:tc>
          <w:tcPr>
            <w:tcW w:type="dxa" w:w="1900"/>
            <w:shd w:fill="EAF1F8" w:val="clear"/>
            <w:tcMar>
              <w:top w:type="dxa" w:w="100"/>
              <w:left w:type="dxa" w:w="120"/>
              <w:bottom w:type="dxa" w:w="100"/>
              <w:right w:type="dxa" w:w="120"/>
            </w:tcMar>
            <w:vAlign w:val="center"/>
          </w:tcPr>
          <w:p>
            <w:r>
              <w:rPr>
                <w:rFonts w:ascii="Calibri" w:cs="Calibri" w:eastAsia="Calibri" w:hAnsi="Calibri"/>
                <w:sz w:val="20"/>
                <w:szCs w:val="20"/>
              </w:rPr>
              <w:t xml:space="preserve">DICOM</w:t>
            </w:r>
          </w:p>
        </w:tc>
        <w:tc>
          <w:tcPr>
            <w:tcW w:type="dxa" w:w="3550"/>
            <w:shd w:fill="EAF1F8" w:val="clear"/>
            <w:tcMar>
              <w:top w:type="dxa" w:w="100"/>
              <w:left w:type="dxa" w:w="120"/>
              <w:bottom w:type="dxa" w:w="100"/>
              <w:right w:type="dxa" w:w="120"/>
            </w:tcMar>
            <w:vAlign w:val="center"/>
          </w:tcPr>
          <w:p>
            <w:r>
              <w:rPr>
                <w:rFonts w:ascii="Calibri" w:cs="Calibri" w:eastAsia="Calibri" w:hAnsi="Calibri"/>
                <w:sz w:val="20"/>
                <w:szCs w:val="20"/>
              </w:rPr>
              <w:t xml:space="preserve">Medical imaging and related data</w:t>
            </w:r>
          </w:p>
        </w:tc>
        <w:tc>
          <w:tcPr>
            <w:tcW w:type="dxa" w:w="3900"/>
            <w:shd w:fill="EAF1F8" w:val="clear"/>
            <w:tcMar>
              <w:top w:type="dxa" w:w="100"/>
              <w:left w:type="dxa" w:w="120"/>
              <w:bottom w:type="dxa" w:w="100"/>
              <w:right w:type="dxa" w:w="120"/>
            </w:tcMar>
            <w:vAlign w:val="center"/>
          </w:tcPr>
          <w:p>
            <w:r>
              <w:rPr>
                <w:rFonts w:ascii="Calibri" w:cs="Calibri" w:eastAsia="Calibri" w:hAnsi="Calibri"/>
                <w:sz w:val="20"/>
                <w:szCs w:val="20"/>
              </w:rPr>
              <w:t xml:space="preserve">Coexists in the enterprise; complementary domain</w:t>
            </w:r>
          </w:p>
        </w:tc>
      </w:tr>
      <w:tr>
        <w:tc>
          <w:tcPr>
            <w:tcW w:type="dxa" w:w="1900"/>
            <w:shd w:fill="FFFFFF" w:val="clear"/>
            <w:tcMar>
              <w:top w:type="dxa" w:w="100"/>
              <w:left w:type="dxa" w:w="120"/>
              <w:bottom w:type="dxa" w:w="100"/>
              <w:right w:type="dxa" w:w="120"/>
            </w:tcMar>
            <w:vAlign w:val="center"/>
          </w:tcPr>
          <w:p>
            <w:r>
              <w:rPr>
                <w:rFonts w:ascii="Calibri" w:cs="Calibri" w:eastAsia="Calibri" w:hAnsi="Calibri"/>
                <w:sz w:val="20"/>
                <w:szCs w:val="20"/>
              </w:rPr>
              <w:t xml:space="preserve">IHE</w:t>
            </w:r>
          </w:p>
        </w:tc>
        <w:tc>
          <w:tcPr>
            <w:tcW w:type="dxa" w:w="3550"/>
            <w:shd w:fill="FFFFFF" w:val="clear"/>
            <w:tcMar>
              <w:top w:type="dxa" w:w="100"/>
              <w:left w:type="dxa" w:w="120"/>
              <w:bottom w:type="dxa" w:w="100"/>
              <w:right w:type="dxa" w:w="120"/>
            </w:tcMar>
            <w:vAlign w:val="center"/>
          </w:tcPr>
          <w:p>
            <w:r>
              <w:rPr>
                <w:rFonts w:ascii="Calibri" w:cs="Calibri" w:eastAsia="Calibri" w:hAnsi="Calibri"/>
                <w:sz w:val="20"/>
                <w:szCs w:val="20"/>
              </w:rPr>
              <w:t xml:space="preserve">Profiles that make standards interoperable and testable</w:t>
            </w:r>
          </w:p>
        </w:tc>
        <w:tc>
          <w:tcPr>
            <w:tcW w:type="dxa" w:w="3900"/>
            <w:shd w:fill="FFFFFF" w:val="clear"/>
            <w:tcMar>
              <w:top w:type="dxa" w:w="100"/>
              <w:left w:type="dxa" w:w="120"/>
              <w:bottom w:type="dxa" w:w="100"/>
              <w:right w:type="dxa" w:w="120"/>
            </w:tcMar>
            <w:vAlign w:val="center"/>
          </w:tcPr>
          <w:p>
            <w:r>
              <w:rPr>
                <w:rFonts w:ascii="Calibri" w:cs="Calibri" w:eastAsia="Calibri" w:hAnsi="Calibri"/>
                <w:sz w:val="20"/>
                <w:szCs w:val="20"/>
              </w:rPr>
              <w:t xml:space="preserve">SDPi is an IHE profile family — IHE is its home</w:t>
            </w:r>
          </w:p>
        </w:tc>
      </w:tr>
    </w:tbl>
    <w:p>
      <w:pPr>
        <w:spacing w:after="150"/>
      </w:pPr>
      <w:r>
        <w:rPr>
          <w:rFonts w:ascii="Calibri" w:cs="Calibri" w:eastAsia="Calibri" w:hAnsi="Calibri"/>
          <w:sz w:val="22"/>
          <w:szCs w:val="22"/>
        </w:rPr>
        <w:t xml:space="preserve">Notice the last row: IHE is not a competitor to SDPi at all — SDPi is published as an IHE profile. IHE's whole purpose is to take base standards and define how to use them so different vendors interoperate, which is precisely the role SDPi plays for devices.</w:t>
      </w:r>
    </w:p>
    <w:p>
      <w:pPr>
        <w:spacing w:after="150"/>
      </w:pPr>
    </w:p>
    <w:p>
      <w:pPr>
        <w:pStyle w:val="Heading2"/>
        <w:spacing w:after="150" w:before="300"/>
      </w:pPr>
      <w:r>
        <w:rPr>
          <w:rFonts w:ascii="Calibri" w:cs="Calibri" w:eastAsia="Calibri" w:hAnsi="Calibri"/>
          <w:b/>
          <w:bCs/>
          <w:color w:val="1F4E79"/>
          <w:sz w:val="26"/>
          <w:szCs w:val="26"/>
        </w:rPr>
        <w:t xml:space="preserve">Cross-departmental workflows: OR, ICU, ER and the ward</w:t>
      </w:r>
    </w:p>
    <w:p>
      <w:pPr>
        <w:pStyle w:val="ListParagraph"/>
        <w:numPr>
          <w:ilvl w:val="0"/>
          <w:numId w:val="1"/>
        </w:numPr>
        <w:spacing w:after="100"/>
      </w:pPr>
      <w:r>
        <w:rPr>
          <w:rFonts w:ascii="Calibri" w:cs="Calibri" w:eastAsia="Calibri" w:hAnsi="Calibri"/>
          <w:sz w:val="22"/>
          <w:szCs w:val="22"/>
        </w:rPr>
        <w:t xml:space="preserve">Operating room (OR): tight, real-time coordination between surgical and monitoring devices — the most demanding latency and safety environment, and the home of advanced "system function" scenarios.</w:t>
      </w:r>
    </w:p>
    <w:p>
      <w:pPr>
        <w:pStyle w:val="ListParagraph"/>
        <w:numPr>
          <w:ilvl w:val="0"/>
          <w:numId w:val="1"/>
        </w:numPr>
        <w:spacing w:after="100"/>
      </w:pPr>
      <w:r>
        <w:rPr>
          <w:rFonts w:ascii="Calibri" w:cs="Calibri" w:eastAsia="Calibri" w:hAnsi="Calibri"/>
          <w:sz w:val="22"/>
          <w:szCs w:val="22"/>
        </w:rPr>
        <w:t xml:space="preserve">Intensive care (ICU): dense, continuous, multi-parameter monitoring per patient, where consolidation and reliable alarms matter most.</w:t>
      </w:r>
    </w:p>
    <w:p>
      <w:pPr>
        <w:pStyle w:val="ListParagraph"/>
        <w:numPr>
          <w:ilvl w:val="0"/>
          <w:numId w:val="1"/>
        </w:numPr>
        <w:spacing w:after="100"/>
      </w:pPr>
      <w:r>
        <w:rPr>
          <w:rFonts w:ascii="Calibri" w:cs="Calibri" w:eastAsia="Calibri" w:hAnsi="Calibri"/>
          <w:sz w:val="22"/>
          <w:szCs w:val="22"/>
        </w:rPr>
        <w:t xml:space="preserve">Emergency (ER): rapid onboarding of whatever device is to hand — Plug-and-Trust earns its keep when there is no time to configure.</w:t>
      </w:r>
    </w:p>
    <w:p>
      <w:pPr>
        <w:pStyle w:val="ListParagraph"/>
        <w:numPr>
          <w:ilvl w:val="0"/>
          <w:numId w:val="1"/>
        </w:numPr>
        <w:spacing w:after="100"/>
      </w:pPr>
      <w:r>
        <w:rPr>
          <w:rFonts w:ascii="Calibri" w:cs="Calibri" w:eastAsia="Calibri" w:hAnsi="Calibri"/>
          <w:sz w:val="22"/>
          <w:szCs w:val="22"/>
        </w:rPr>
        <w:t xml:space="preserve">General ward: the "quiet hospital" case — continuous monitoring and routing the right alarm to the right clinician, reducing both missed deterioration and alarm fatigue. Continuous device data is also what makes automated early-warning scores possible on the ward, instead of scores computed from observations that are hours old.</w:t>
      </w:r>
    </w:p>
    <w:p>
      <w:pPr>
        <w:spacing w:after="150"/>
      </w:pPr>
    </w:p>
    <w:p>
      <w:pPr>
        <w:pStyle w:val="Heading2"/>
        <w:spacing w:after="150" w:before="300"/>
      </w:pPr>
      <w:r>
        <w:rPr>
          <w:rFonts w:ascii="Calibri" w:cs="Calibri" w:eastAsia="Calibri" w:hAnsi="Calibri"/>
          <w:b/>
          <w:bCs/>
          <w:color w:val="1F4E79"/>
          <w:sz w:val="26"/>
          <w:szCs w:val="26"/>
        </w:rPr>
        <w:t xml:space="preserve">Near real-time data: alerting, analytics and remote monitoring</w:t>
      </w:r>
    </w:p>
    <w:p>
      <w:pPr>
        <w:spacing w:after="150"/>
      </w:pPr>
      <w:r>
        <w:rPr>
          <w:rFonts w:ascii="Calibri" w:cs="Calibri" w:eastAsia="Calibri" w:hAnsi="Calibri"/>
          <w:sz w:val="22"/>
          <w:szCs w:val="22"/>
        </w:rPr>
        <w:t xml:space="preserve">Because SDPi delivers a live, continuous stream rather than periodic snapshots, it unlocks a class of capabilities that batch feeds cannot:</w:t>
      </w:r>
    </w:p>
    <w:p>
      <w:pPr>
        <w:pStyle w:val="ListParagraph"/>
        <w:numPr>
          <w:ilvl w:val="0"/>
          <w:numId w:val="1"/>
        </w:numPr>
        <w:spacing w:after="100"/>
      </w:pPr>
      <w:r>
        <w:rPr>
          <w:rFonts w:ascii="Calibri" w:cs="Calibri" w:eastAsia="Calibri" w:hAnsi="Calibri"/>
          <w:sz w:val="22"/>
          <w:szCs w:val="22"/>
        </w:rPr>
        <w:t xml:space="preserve">Alerting that reaches the right place quickly, including away from the bedside.</w:t>
      </w:r>
    </w:p>
    <w:p>
      <w:pPr>
        <w:pStyle w:val="ListParagraph"/>
        <w:numPr>
          <w:ilvl w:val="0"/>
          <w:numId w:val="1"/>
        </w:numPr>
        <w:spacing w:after="100"/>
      </w:pPr>
      <w:r>
        <w:rPr>
          <w:rFonts w:ascii="Calibri" w:cs="Calibri" w:eastAsia="Calibri" w:hAnsi="Calibri"/>
          <w:sz w:val="22"/>
          <w:szCs w:val="22"/>
        </w:rPr>
        <w:t xml:space="preserve">Analytics on continuous, multi-device data — the raw material for early-warning and decision support.</w:t>
      </w:r>
    </w:p>
    <w:p>
      <w:pPr>
        <w:pStyle w:val="ListParagraph"/>
        <w:numPr>
          <w:ilvl w:val="0"/>
          <w:numId w:val="1"/>
        </w:numPr>
        <w:spacing w:after="100"/>
      </w:pPr>
      <w:r>
        <w:rPr>
          <w:rFonts w:ascii="Calibri" w:cs="Calibri" w:eastAsia="Calibri" w:hAnsi="Calibri"/>
          <w:sz w:val="22"/>
          <w:szCs w:val="22"/>
        </w:rPr>
        <w:t xml:space="preserve">Remote monitoring — viewing data and, in future, controlling devices from outside the patient's room.</w:t>
      </w:r>
    </w:p>
    <w:p>
      <w:pPr>
        <w:spacing w:after="150"/>
      </w:pPr>
    </w:p>
    <w:p>
      <w:pPr>
        <w:pStyle w:val="Heading2"/>
        <w:spacing w:after="150" w:before="300"/>
      </w:pPr>
      <w:r>
        <w:rPr>
          <w:rFonts w:ascii="Calibri" w:cs="Calibri" w:eastAsia="Calibri" w:hAnsi="Calibri"/>
          <w:b/>
          <w:bCs/>
          <w:color w:val="1F4E79"/>
          <w:sz w:val="26"/>
          <w:szCs w:val="26"/>
        </w:rPr>
        <w:t xml:space="preserve">Typical misunderstandings about SDPi</w:t>
      </w:r>
    </w:p>
    <w:p>
      <w:pPr>
        <w:pStyle w:val="ListParagraph"/>
        <w:numPr>
          <w:ilvl w:val="0"/>
          <w:numId w:val="1"/>
        </w:numPr>
        <w:spacing w:after="100"/>
      </w:pPr>
      <w:r>
        <w:rPr>
          <w:rFonts w:ascii="Calibri" w:cs="Calibri" w:eastAsia="Calibri" w:hAnsi="Calibri"/>
          <w:sz w:val="22"/>
          <w:szCs w:val="22"/>
        </w:rPr>
        <w:t xml:space="preserve">"SDPi replaces HL7 / FHIR." No. They operate at different layers and are explicitly complementary; SDPi feeds into HL7/FHIR through gateways.</w:t>
      </w:r>
    </w:p>
    <w:p>
      <w:pPr>
        <w:pStyle w:val="ListParagraph"/>
        <w:numPr>
          <w:ilvl w:val="0"/>
          <w:numId w:val="1"/>
        </w:numPr>
        <w:spacing w:after="100"/>
      </w:pPr>
      <w:r>
        <w:rPr>
          <w:rFonts w:ascii="Calibri" w:cs="Calibri" w:eastAsia="Calibri" w:hAnsi="Calibri"/>
          <w:sz w:val="22"/>
          <w:szCs w:val="22"/>
        </w:rPr>
        <w:t xml:space="preserve">"SDPi competes with IHE." No. SDPi is an IHE profile family — IHE is the framework it is published within.</w:t>
      </w:r>
    </w:p>
    <w:p>
      <w:pPr>
        <w:pStyle w:val="ListParagraph"/>
        <w:numPr>
          <w:ilvl w:val="0"/>
          <w:numId w:val="1"/>
        </w:numPr>
        <w:spacing w:after="100"/>
      </w:pPr>
      <w:r>
        <w:rPr>
          <w:rFonts w:ascii="Calibri" w:cs="Calibri" w:eastAsia="Calibri" w:hAnsi="Calibri"/>
          <w:sz w:val="22"/>
          <w:szCs w:val="22"/>
        </w:rPr>
        <w:t xml:space="preserve">"SDPi is just another device feed." No. It is service-oriented, bi-directional, secure and built for device-to-device coordination — not a one-way data pipe.</w:t>
      </w:r>
    </w:p>
    <w:p>
      <w:pPr>
        <w:pageBreakBefore/>
      </w:pPr>
    </w:p>
    <w:p>
      <w:pPr>
        <w:pStyle w:val="Heading1"/>
        <w:spacing w:after="200" w:before="400"/>
      </w:pPr>
      <w:r>
        <w:rPr>
          <w:rFonts w:ascii="Calibri" w:cs="Calibri" w:eastAsia="Calibri" w:hAnsi="Calibri"/>
          <w:b/>
          <w:bCs/>
          <w:color w:val="1F4E79"/>
          <w:sz w:val="32"/>
          <w:szCs w:val="32"/>
        </w:rPr>
        <w:t xml:space="preserve">Module 4 · But Where Do I Start?</w:t>
      </w:r>
    </w:p>
    <w:p>
      <w:pPr>
        <w:spacing w:after="200"/>
      </w:pPr>
      <w:r>
        <w:rPr>
          <w:rFonts w:ascii="Calibri" w:cs="Calibri" w:eastAsia="Calibri" w:hAnsi="Calibri"/>
          <w:i/>
          <w:iCs/>
          <w:color w:val="595959"/>
          <w:sz w:val="20"/>
          <w:szCs w:val="20"/>
        </w:rPr>
        <w:t xml:space="preserve">Duration: ~15 min   ·   Audience: Vendors and teams beginning an SDPi initiative</w:t>
      </w:r>
    </w:p>
    <w:p>
      <w:pPr>
        <w:spacing w:after="150"/>
      </w:pPr>
      <w:r>
        <w:rPr>
          <w:rFonts w:ascii="Calibri" w:cs="Calibri" w:eastAsia="Calibri" w:hAnsi="Calibri"/>
          <w:i/>
          <w:iCs/>
          <w:sz w:val="22"/>
          <w:szCs w:val="22"/>
        </w:rPr>
        <w:t xml:space="preserve">Objective: provide a practical starting roadmap tailored to the role and context of the learner — turning orientation into first action.</w:t>
      </w:r>
    </w:p>
    <w:p>
      <w:pPr>
        <w:pStyle w:val="Heading2"/>
        <w:spacing w:after="150" w:before="300"/>
      </w:pPr>
      <w:r>
        <w:rPr>
          <w:rFonts w:ascii="Calibri" w:cs="Calibri" w:eastAsia="Calibri" w:hAnsi="Calibri"/>
          <w:b/>
          <w:bCs/>
          <w:color w:val="1F4E79"/>
          <w:sz w:val="26"/>
          <w:szCs w:val="26"/>
        </w:rPr>
        <w:t xml:space="preserve">The honest starting point</w:t>
      </w:r>
    </w:p>
    <w:p>
      <w:pPr>
        <w:spacing w:after="150"/>
      </w:pPr>
      <w:r>
        <w:rPr>
          <w:rFonts w:ascii="Calibri" w:cs="Calibri" w:eastAsia="Calibri" w:hAnsi="Calibri"/>
          <w:sz w:val="22"/>
          <w:szCs w:val="22"/>
        </w:rPr>
        <w:t xml:space="preserve">There is no single "step 1" for SDPi, because the right first move depends on who you are and what you're trying to decide. A regulatory lead, a firmware engineer and a product manager need different things on day one. So instead of one roadmap, start by finding your entry point below, then converge on a small set of shared first decisions.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Key idea</w:t>
            </w:r>
          </w:p>
          <w:p>
            <w:r>
              <w:rPr>
                <w:rFonts w:ascii="Calibri" w:cs="Calibri" w:eastAsia="Calibri" w:hAnsi="Calibri"/>
                <w:i/>
                <w:iCs/>
                <w:sz w:val="21"/>
                <w:szCs w:val="21"/>
              </w:rPr>
              <w:t xml:space="preserve">Don't try to boil the ocean. The goal of "getting started" is not to implement SDPi — it's to reach implementation readiness: enough shared understanding and a few committed decisions that real work can begin without expensive backtracking.</w:t>
            </w:r>
          </w:p>
        </w:tc>
      </w:tr>
    </w:tbl>
    <w:p>
      <w:pPr>
        <w:spacing w:after="150"/>
      </w:pPr>
    </w:p>
    <w:p>
      <w:pPr>
        <w:pStyle w:val="Heading2"/>
        <w:spacing w:after="150" w:before="300"/>
      </w:pPr>
      <w:r>
        <w:rPr>
          <w:rFonts w:ascii="Calibri" w:cs="Calibri" w:eastAsia="Calibri" w:hAnsi="Calibri"/>
          <w:b/>
          <w:bCs/>
          <w:color w:val="1F4E79"/>
          <w:sz w:val="26"/>
          <w:szCs w:val="26"/>
        </w:rPr>
        <w:t xml:space="preserve">Getting started by role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6650"/>
      </w:tblGrid>
      <w:tr>
        <w:trPr>
          <w:tblHeader/>
        </w:trPr>
        <w:tc>
          <w:tcPr>
            <w:tcW w:type="dxa" w:w="27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role</w:t>
            </w:r>
          </w:p>
        </w:tc>
        <w:tc>
          <w:tcPr>
            <w:tcW w:type="dxa" w:w="66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Your first job</w:t>
            </w:r>
          </w:p>
        </w:tc>
      </w:tr>
      <w:tr>
        <w:tc>
          <w:tcPr>
            <w:tcW w:type="dxa" w:w="2700"/>
            <w:shd w:fill="FFFFFF" w:val="clear"/>
            <w:tcMar>
              <w:top w:type="dxa" w:w="100"/>
              <w:left w:type="dxa" w:w="120"/>
              <w:bottom w:type="dxa" w:w="100"/>
              <w:right w:type="dxa" w:w="120"/>
            </w:tcMar>
            <w:vAlign w:val="center"/>
          </w:tcPr>
          <w:p>
            <w:r>
              <w:rPr>
                <w:rFonts w:ascii="Calibri" w:cs="Calibri" w:eastAsia="Calibri" w:hAnsi="Calibri"/>
                <w:sz w:val="20"/>
                <w:szCs w:val="20"/>
              </w:rPr>
              <w:t xml:space="preserve">Management</w:t>
            </w:r>
          </w:p>
        </w:tc>
        <w:tc>
          <w:tcPr>
            <w:tcW w:type="dxa" w:w="6650"/>
            <w:shd w:fill="FFFFFF" w:val="clear"/>
            <w:tcMar>
              <w:top w:type="dxa" w:w="100"/>
              <w:left w:type="dxa" w:w="120"/>
              <w:bottom w:type="dxa" w:w="100"/>
              <w:right w:type="dxa" w:w="120"/>
            </w:tcMar>
            <w:vAlign w:val="center"/>
          </w:tcPr>
          <w:p>
            <w:r>
              <w:rPr>
                <w:rFonts w:ascii="Calibri" w:cs="Calibri" w:eastAsia="Calibri" w:hAnsi="Calibri"/>
                <w:sz w:val="20"/>
                <w:szCs w:val="20"/>
              </w:rPr>
              <w:t xml:space="preserve">Understand the strategic case and commit to an enablement budget and timeline.</w:t>
            </w:r>
          </w:p>
        </w:tc>
      </w:tr>
      <w:tr>
        <w:tc>
          <w:tcPr>
            <w:tcW w:type="dxa" w:w="2700"/>
            <w:shd w:fill="EAF1F8" w:val="clear"/>
            <w:tcMar>
              <w:top w:type="dxa" w:w="100"/>
              <w:left w:type="dxa" w:w="120"/>
              <w:bottom w:type="dxa" w:w="100"/>
              <w:right w:type="dxa" w:w="120"/>
            </w:tcMar>
            <w:vAlign w:val="center"/>
          </w:tcPr>
          <w:p>
            <w:r>
              <w:rPr>
                <w:rFonts w:ascii="Calibri" w:cs="Calibri" w:eastAsia="Calibri" w:hAnsi="Calibri"/>
                <w:sz w:val="20"/>
                <w:szCs w:val="20"/>
              </w:rPr>
              <w:t xml:space="preserve">Product</w:t>
            </w:r>
          </w:p>
        </w:tc>
        <w:tc>
          <w:tcPr>
            <w:tcW w:type="dxa" w:w="6650"/>
            <w:shd w:fill="EAF1F8" w:val="clear"/>
            <w:tcMar>
              <w:top w:type="dxa" w:w="100"/>
              <w:left w:type="dxa" w:w="120"/>
              <w:bottom w:type="dxa" w:w="100"/>
              <w:right w:type="dxa" w:w="120"/>
            </w:tcMar>
            <w:vAlign w:val="center"/>
          </w:tcPr>
          <w:p>
            <w:r>
              <w:rPr>
                <w:rFonts w:ascii="Calibri" w:cs="Calibri" w:eastAsia="Calibri" w:hAnsi="Calibri"/>
                <w:sz w:val="20"/>
                <w:szCs w:val="20"/>
              </w:rPr>
              <w:t xml:space="preserve">Define which clinical use cases and which of the Big 4 functions your product must support.</w:t>
            </w:r>
          </w:p>
        </w:tc>
      </w:tr>
      <w:tr>
        <w:tc>
          <w:tcPr>
            <w:tcW w:type="dxa" w:w="2700"/>
            <w:shd w:fill="FFFFFF" w:val="clear"/>
            <w:tcMar>
              <w:top w:type="dxa" w:w="100"/>
              <w:left w:type="dxa" w:w="120"/>
              <w:bottom w:type="dxa" w:w="100"/>
              <w:right w:type="dxa" w:w="120"/>
            </w:tcMar>
            <w:vAlign w:val="center"/>
          </w:tcPr>
          <w:p>
            <w:r>
              <w:rPr>
                <w:rFonts w:ascii="Calibri" w:cs="Calibri" w:eastAsia="Calibri" w:hAnsi="Calibri"/>
                <w:sz w:val="20"/>
                <w:szCs w:val="20"/>
              </w:rPr>
              <w:t xml:space="preserve">Architecture</w:t>
            </w:r>
          </w:p>
        </w:tc>
        <w:tc>
          <w:tcPr>
            <w:tcW w:type="dxa" w:w="6650"/>
            <w:shd w:fill="FFFFFF" w:val="clear"/>
            <w:tcMar>
              <w:top w:type="dxa" w:w="100"/>
              <w:left w:type="dxa" w:w="120"/>
              <w:bottom w:type="dxa" w:w="100"/>
              <w:right w:type="dxa" w:w="120"/>
            </w:tcMar>
            <w:vAlign w:val="center"/>
          </w:tcPr>
          <w:p>
            <w:r>
              <w:rPr>
                <w:rFonts w:ascii="Calibri" w:cs="Calibri" w:eastAsia="Calibri" w:hAnsi="Calibri"/>
                <w:sz w:val="20"/>
                <w:szCs w:val="20"/>
              </w:rPr>
              <w:t xml:space="preserve">Decide the connectivity option (external module, native, or gateway) and how you'll bridge to the enterprise.</w:t>
            </w:r>
          </w:p>
        </w:tc>
      </w:tr>
      <w:tr>
        <w:tc>
          <w:tcPr>
            <w:tcW w:type="dxa" w:w="2700"/>
            <w:shd w:fill="EAF1F8" w:val="clear"/>
            <w:tcMar>
              <w:top w:type="dxa" w:w="100"/>
              <w:left w:type="dxa" w:w="120"/>
              <w:bottom w:type="dxa" w:w="100"/>
              <w:right w:type="dxa" w:w="120"/>
            </w:tcMar>
            <w:vAlign w:val="center"/>
          </w:tcPr>
          <w:p>
            <w:r>
              <w:rPr>
                <w:rFonts w:ascii="Calibri" w:cs="Calibri" w:eastAsia="Calibri" w:hAnsi="Calibri"/>
                <w:sz w:val="20"/>
                <w:szCs w:val="20"/>
              </w:rPr>
              <w:t xml:space="preserve">Development</w:t>
            </w:r>
          </w:p>
        </w:tc>
        <w:tc>
          <w:tcPr>
            <w:tcW w:type="dxa" w:w="6650"/>
            <w:shd w:fill="EAF1F8" w:val="clear"/>
            <w:tcMar>
              <w:top w:type="dxa" w:w="100"/>
              <w:left w:type="dxa" w:w="120"/>
              <w:bottom w:type="dxa" w:w="100"/>
              <w:right w:type="dxa" w:w="120"/>
            </w:tcMar>
            <w:vAlign w:val="center"/>
          </w:tcPr>
          <w:p>
            <w:r>
              <w:rPr>
                <w:rFonts w:ascii="Calibri" w:cs="Calibri" w:eastAsia="Calibri" w:hAnsi="Calibri"/>
                <w:sz w:val="20"/>
                <w:szCs w:val="20"/>
              </w:rPr>
              <w:t xml:space="preserve">Get hands-on with a stack; design the MDIB first; stand up a provider + consumer.</w:t>
            </w:r>
          </w:p>
        </w:tc>
      </w:tr>
      <w:tr>
        <w:tc>
          <w:tcPr>
            <w:tcW w:type="dxa" w:w="2700"/>
            <w:shd w:fill="FFFFFF" w:val="clear"/>
            <w:tcMar>
              <w:top w:type="dxa" w:w="100"/>
              <w:left w:type="dxa" w:w="120"/>
              <w:bottom w:type="dxa" w:w="100"/>
              <w:right w:type="dxa" w:w="120"/>
            </w:tcMar>
            <w:vAlign w:val="center"/>
          </w:tcPr>
          <w:p>
            <w:r>
              <w:rPr>
                <w:rFonts w:ascii="Calibri" w:cs="Calibri" w:eastAsia="Calibri" w:hAnsi="Calibri"/>
                <w:sz w:val="20"/>
                <w:szCs w:val="20"/>
              </w:rPr>
              <w:t xml:space="preserve">QA / Test</w:t>
            </w:r>
          </w:p>
        </w:tc>
        <w:tc>
          <w:tcPr>
            <w:tcW w:type="dxa" w:w="6650"/>
            <w:shd w:fill="FFFFFF" w:val="clear"/>
            <w:tcMar>
              <w:top w:type="dxa" w:w="100"/>
              <w:left w:type="dxa" w:w="120"/>
              <w:bottom w:type="dxa" w:w="100"/>
              <w:right w:type="dxa" w:w="120"/>
            </w:tcMar>
            <w:vAlign w:val="center"/>
          </w:tcPr>
          <w:p>
            <w:r>
              <w:rPr>
                <w:rFonts w:ascii="Calibri" w:cs="Calibri" w:eastAsia="Calibri" w:hAnsi="Calibri"/>
                <w:sz w:val="20"/>
                <w:szCs w:val="20"/>
              </w:rPr>
              <w:t xml:space="preserve">Plan how conformance and interoperability will be verified — early, not at the end.</w:t>
            </w:r>
          </w:p>
        </w:tc>
      </w:tr>
      <w:tr>
        <w:tc>
          <w:tcPr>
            <w:tcW w:type="dxa" w:w="2700"/>
            <w:shd w:fill="EAF1F8" w:val="clear"/>
            <w:tcMar>
              <w:top w:type="dxa" w:w="100"/>
              <w:left w:type="dxa" w:w="120"/>
              <w:bottom w:type="dxa" w:w="100"/>
              <w:right w:type="dxa" w:w="120"/>
            </w:tcMar>
            <w:vAlign w:val="center"/>
          </w:tcPr>
          <w:p>
            <w:r>
              <w:rPr>
                <w:rFonts w:ascii="Calibri" w:cs="Calibri" w:eastAsia="Calibri" w:hAnsi="Calibri"/>
                <w:sz w:val="20"/>
                <w:szCs w:val="20"/>
              </w:rPr>
              <w:t xml:space="preserve">Regulatory / Quality</w:t>
            </w:r>
          </w:p>
        </w:tc>
        <w:tc>
          <w:tcPr>
            <w:tcW w:type="dxa" w:w="6650"/>
            <w:shd w:fill="EAF1F8" w:val="clear"/>
            <w:tcMar>
              <w:top w:type="dxa" w:w="100"/>
              <w:left w:type="dxa" w:w="120"/>
              <w:bottom w:type="dxa" w:w="100"/>
              <w:right w:type="dxa" w:w="120"/>
            </w:tcMar>
            <w:vAlign w:val="center"/>
          </w:tcPr>
          <w:p>
            <w:r>
              <w:rPr>
                <w:rFonts w:ascii="Calibri" w:cs="Calibri" w:eastAsia="Calibri" w:hAnsi="Calibri"/>
                <w:sz w:val="20"/>
                <w:szCs w:val="20"/>
              </w:rPr>
              <w:t xml:space="preserve">Frame the evidence and claims strategy; separate conformance from clearance.</w:t>
            </w:r>
          </w:p>
        </w:tc>
      </w:tr>
      <w:tr>
        <w:tc>
          <w:tcPr>
            <w:tcW w:type="dxa" w:w="2700"/>
            <w:shd w:fill="FFFFFF" w:val="clear"/>
            <w:tcMar>
              <w:top w:type="dxa" w:w="100"/>
              <w:left w:type="dxa" w:w="120"/>
              <w:bottom w:type="dxa" w:w="100"/>
              <w:right w:type="dxa" w:w="120"/>
            </w:tcMar>
            <w:vAlign w:val="center"/>
          </w:tcPr>
          <w:p>
            <w:r>
              <w:rPr>
                <w:rFonts w:ascii="Calibri" w:cs="Calibri" w:eastAsia="Calibri" w:hAnsi="Calibri"/>
                <w:sz w:val="20"/>
                <w:szCs w:val="20"/>
              </w:rPr>
              <w:t xml:space="preserve">Clinical / Safety</w:t>
            </w:r>
          </w:p>
        </w:tc>
        <w:tc>
          <w:tcPr>
            <w:tcW w:type="dxa" w:w="6650"/>
            <w:shd w:fill="FFFFFF" w:val="clear"/>
            <w:tcMar>
              <w:top w:type="dxa" w:w="100"/>
              <w:left w:type="dxa" w:w="120"/>
              <w:bottom w:type="dxa" w:w="100"/>
              <w:right w:type="dxa" w:w="120"/>
            </w:tcMar>
            <w:vAlign w:val="center"/>
          </w:tcPr>
          <w:p>
            <w:r>
              <w:rPr>
                <w:rFonts w:ascii="Calibri" w:cs="Calibri" w:eastAsia="Calibri" w:hAnsi="Calibri"/>
                <w:sz w:val="20"/>
                <w:szCs w:val="20"/>
              </w:rPr>
              <w:t xml:space="preserve">Anchor the work in real clinical scenarios and risk control, especially alerting.</w:t>
            </w:r>
          </w:p>
        </w:tc>
      </w:tr>
    </w:tbl>
    <w:p>
      <w:pPr>
        <w:spacing w:after="150"/>
      </w:pPr>
    </w:p>
    <w:p>
      <w:pPr>
        <w:pStyle w:val="Heading2"/>
        <w:spacing w:after="150" w:before="300"/>
      </w:pPr>
      <w:r>
        <w:rPr>
          <w:rFonts w:ascii="Calibri" w:cs="Calibri" w:eastAsia="Calibri" w:hAnsi="Calibri"/>
          <w:b/>
          <w:bCs/>
          <w:color w:val="1F4E79"/>
          <w:sz w:val="26"/>
          <w:szCs w:val="26"/>
        </w:rPr>
        <w:t xml:space="preserve">What an enablement path looks like</w:t>
      </w:r>
    </w:p>
    <w:p>
      <w:pPr>
        <w:spacing w:after="150"/>
      </w:pPr>
      <w:r>
        <w:rPr>
          <w:rFonts w:ascii="Calibri" w:cs="Calibri" w:eastAsia="Calibri" w:hAnsi="Calibri"/>
          <w:sz w:val="22"/>
          <w:szCs w:val="22"/>
        </w:rPr>
        <w:t xml:space="preserve">Across roles, successful teams move through four stages — each with a clear exit criterion:</w:t>
      </w:r>
    </w:p>
    <w:p>
      <w:pPr>
        <w:pStyle w:val="ListParagraph"/>
        <w:numPr>
          <w:ilvl w:val="0"/>
          <w:numId w:val="1"/>
        </w:numPr>
        <w:spacing w:after="100"/>
      </w:pPr>
      <w:r>
        <w:rPr>
          <w:rFonts w:ascii="Calibri" w:cs="Calibri" w:eastAsia="Calibri" w:hAnsi="Calibri"/>
          <w:sz w:val="22"/>
          <w:szCs w:val="22"/>
        </w:rPr>
        <w:t xml:space="preserve">Explore — build shared vocabulary and a realistic picture of SDPi. Exit when leadership and the core team can explain the value case and the Big 4 in their own words.</w:t>
      </w:r>
    </w:p>
    <w:p>
      <w:pPr>
        <w:pStyle w:val="ListParagraph"/>
        <w:numPr>
          <w:ilvl w:val="0"/>
          <w:numId w:val="1"/>
        </w:numPr>
        <w:spacing w:after="100"/>
      </w:pPr>
      <w:r>
        <w:rPr>
          <w:rFonts w:ascii="Calibri" w:cs="Calibri" w:eastAsia="Calibri" w:hAnsi="Calibri"/>
          <w:sz w:val="22"/>
          <w:szCs w:val="22"/>
        </w:rPr>
        <w:t xml:space="preserve">Orient — map SDPi to your specific product, use cases and constraints. Exit when you've chosen target profiles, a connectivity option, and the clinical scenarios you'll support.</w:t>
      </w:r>
    </w:p>
    <w:p>
      <w:pPr>
        <w:pStyle w:val="ListParagraph"/>
        <w:numPr>
          <w:ilvl w:val="0"/>
          <w:numId w:val="1"/>
        </w:numPr>
        <w:spacing w:after="100"/>
      </w:pPr>
      <w:r>
        <w:rPr>
          <w:rFonts w:ascii="Calibri" w:cs="Calibri" w:eastAsia="Calibri" w:hAnsi="Calibri"/>
          <w:sz w:val="22"/>
          <w:szCs w:val="22"/>
        </w:rPr>
        <w:t xml:space="preserve">Prototype — stand up a minimal provider + consumer, design the MDIB, prove discovery works. Exit when you can demonstrate two participants exchanging data, ideally cross-implementation.</w:t>
      </w:r>
    </w:p>
    <w:p>
      <w:pPr>
        <w:pStyle w:val="ListParagraph"/>
        <w:numPr>
          <w:ilvl w:val="0"/>
          <w:numId w:val="1"/>
        </w:numPr>
        <w:spacing w:after="100"/>
      </w:pPr>
      <w:r>
        <w:rPr>
          <w:rFonts w:ascii="Calibri" w:cs="Calibri" w:eastAsia="Calibri" w:hAnsi="Calibri"/>
          <w:sz w:val="22"/>
          <w:szCs w:val="22"/>
        </w:rPr>
        <w:t xml:space="preserve">Reach readiness — add testing, security and regulatory framing; produce a credible plan. Exit when you have a time-bound implementation plan.</w:t>
      </w:r>
    </w:p>
    <w:p>
      <w:pPr>
        <w:spacing w:after="150"/>
      </w:pPr>
    </w:p>
    <w:p>
      <w:pPr>
        <w:pStyle w:val="Heading2"/>
        <w:spacing w:after="150" w:before="300"/>
      </w:pPr>
      <w:r>
        <w:rPr>
          <w:rFonts w:ascii="Calibri" w:cs="Calibri" w:eastAsia="Calibri" w:hAnsi="Calibri"/>
          <w:b/>
          <w:bCs/>
          <w:color w:val="1F4E79"/>
          <w:sz w:val="26"/>
          <w:szCs w:val="26"/>
        </w:rPr>
        <w:t xml:space="preserve">Common false starts — and how to avoid them</w:t>
      </w:r>
    </w:p>
    <w:p>
      <w:pPr>
        <w:spacing w:after="150"/>
      </w:pPr>
      <w:r>
        <w:rPr>
          <w:rFonts w:ascii="Calibri" w:cs="Calibri" w:eastAsia="Calibri" w:hAnsi="Calibri"/>
          <w:sz w:val="22"/>
          <w:szCs w:val="22"/>
        </w:rPr>
        <w:t xml:space="preserve">Almost as useful as knowing where to start is knowing where teams typically start wrong:</w:t>
      </w:r>
    </w:p>
    <w:p>
      <w:pPr>
        <w:pStyle w:val="ListParagraph"/>
        <w:numPr>
          <w:ilvl w:val="0"/>
          <w:numId w:val="1"/>
        </w:numPr>
        <w:spacing w:after="100"/>
      </w:pPr>
      <w:r>
        <w:rPr>
          <w:rFonts w:ascii="Calibri" w:cs="Calibri" w:eastAsia="Calibri" w:hAnsi="Calibri"/>
          <w:sz w:val="22"/>
          <w:szCs w:val="22"/>
        </w:rPr>
        <w:t xml:space="preserve">Writing code before choosing use cases. A provider with no defined clinical scenario produces an MDIB shaped by the codebase rather than the clinical need — and gets redesigned later.</w:t>
      </w:r>
    </w:p>
    <w:p>
      <w:pPr>
        <w:pStyle w:val="ListParagraph"/>
        <w:numPr>
          <w:ilvl w:val="0"/>
          <w:numId w:val="1"/>
        </w:numPr>
        <w:spacing w:after="100"/>
      </w:pPr>
      <w:r>
        <w:rPr>
          <w:rFonts w:ascii="Calibri" w:cs="Calibri" w:eastAsia="Calibri" w:hAnsi="Calibri"/>
          <w:sz w:val="22"/>
          <w:szCs w:val="22"/>
        </w:rPr>
        <w:t xml:space="preserve">Treating SDPi as "just another message format." Teams that map it onto their existing HL7 mental model miss the service-oriented, bi-directional nature and under-design discovery, subscriptions and context.</w:t>
      </w:r>
    </w:p>
    <w:p>
      <w:pPr>
        <w:pStyle w:val="ListParagraph"/>
        <w:numPr>
          <w:ilvl w:val="0"/>
          <w:numId w:val="1"/>
        </w:numPr>
        <w:spacing w:after="100"/>
      </w:pPr>
      <w:r>
        <w:rPr>
          <w:rFonts w:ascii="Calibri" w:cs="Calibri" w:eastAsia="Calibri" w:hAnsi="Calibri"/>
          <w:sz w:val="22"/>
          <w:szCs w:val="22"/>
        </w:rPr>
        <w:t xml:space="preserve">Deferring security to "later." Plug-and-Trust is not an add-on: certificates, identity and authorisation shape the architecture, and retrofitting them is painful.</w:t>
      </w:r>
    </w:p>
    <w:p>
      <w:pPr>
        <w:pStyle w:val="ListParagraph"/>
        <w:numPr>
          <w:ilvl w:val="0"/>
          <w:numId w:val="1"/>
        </w:numPr>
        <w:spacing w:after="100"/>
      </w:pPr>
      <w:r>
        <w:rPr>
          <w:rFonts w:ascii="Calibri" w:cs="Calibri" w:eastAsia="Calibri" w:hAnsi="Calibri"/>
          <w:sz w:val="22"/>
          <w:szCs w:val="22"/>
        </w:rPr>
        <w:t xml:space="preserve">Leaving testing until integration. The expensive failures — discovery, latency, mismatched handles — are precisely the ones that early testing catches cheaply.</w:t>
      </w:r>
    </w:p>
    <w:p>
      <w:pPr>
        <w:spacing w:after="150"/>
      </w:pPr>
    </w:p>
    <w:p>
      <w:pPr>
        <w:pStyle w:val="Heading2"/>
        <w:spacing w:after="150" w:before="300"/>
      </w:pPr>
      <w:r>
        <w:rPr>
          <w:rFonts w:ascii="Calibri" w:cs="Calibri" w:eastAsia="Calibri" w:hAnsi="Calibri"/>
          <w:b/>
          <w:bCs/>
          <w:color w:val="1F4E79"/>
          <w:sz w:val="26"/>
          <w:szCs w:val="26"/>
        </w:rPr>
        <w:t xml:space="preserve">What "enabling a product" actually involves</w:t>
      </w:r>
    </w:p>
    <w:p>
      <w:pPr>
        <w:pStyle w:val="ListParagraph"/>
        <w:numPr>
          <w:ilvl w:val="0"/>
          <w:numId w:val="1"/>
        </w:numPr>
        <w:spacing w:after="100"/>
      </w:pPr>
      <w:r>
        <w:rPr>
          <w:rFonts w:ascii="Calibri" w:cs="Calibri" w:eastAsia="Calibri" w:hAnsi="Calibri"/>
          <w:sz w:val="22"/>
          <w:szCs w:val="22"/>
        </w:rPr>
        <w:t xml:space="preserve">Education — getting the team to a shared baseline.</w:t>
      </w:r>
    </w:p>
    <w:p>
      <w:pPr>
        <w:pStyle w:val="ListParagraph"/>
        <w:numPr>
          <w:ilvl w:val="0"/>
          <w:numId w:val="1"/>
        </w:numPr>
        <w:spacing w:after="100"/>
      </w:pPr>
      <w:r>
        <w:rPr>
          <w:rFonts w:ascii="Calibri" w:cs="Calibri" w:eastAsia="Calibri" w:hAnsi="Calibri"/>
          <w:sz w:val="22"/>
          <w:szCs w:val="22"/>
        </w:rPr>
        <w:t xml:space="preserve">Open libraries and stacks — reusing proven SDC implementations rather than building from zero.</w:t>
      </w:r>
    </w:p>
    <w:p>
      <w:pPr>
        <w:pStyle w:val="ListParagraph"/>
        <w:numPr>
          <w:ilvl w:val="0"/>
          <w:numId w:val="1"/>
        </w:numPr>
        <w:spacing w:after="100"/>
      </w:pPr>
      <w:r>
        <w:rPr>
          <w:rFonts w:ascii="Calibri" w:cs="Calibri" w:eastAsia="Calibri" w:hAnsi="Calibri"/>
          <w:sz w:val="22"/>
          <w:szCs w:val="22"/>
        </w:rPr>
        <w:t xml:space="preserve">Tools — test tooling and simulators to validate behaviour before customer deployment.</w:t>
      </w:r>
    </w:p>
    <w:p>
      <w:pPr>
        <w:pStyle w:val="ListParagraph"/>
        <w:numPr>
          <w:ilvl w:val="0"/>
          <w:numId w:val="1"/>
        </w:numPr>
        <w:spacing w:after="100"/>
      </w:pPr>
      <w:r>
        <w:rPr>
          <w:rFonts w:ascii="Calibri" w:cs="Calibri" w:eastAsia="Calibri" w:hAnsi="Calibri"/>
          <w:sz w:val="22"/>
          <w:szCs w:val="22"/>
        </w:rPr>
        <w:t xml:space="preserve">Community events — hackathons and projectathons where you test against other vendors and learn fast.</w:t>
      </w:r>
    </w:p>
    <w:p>
      <w:pPr>
        <w:spacing w:after="150"/>
      </w:pPr>
    </w:p>
    <w:p>
      <w:pPr>
        <w:pStyle w:val="Heading2"/>
        <w:spacing w:after="150" w:before="300"/>
      </w:pPr>
      <w:r>
        <w:rPr>
          <w:rFonts w:ascii="Calibri" w:cs="Calibri" w:eastAsia="Calibri" w:hAnsi="Calibri"/>
          <w:b/>
          <w:bCs/>
          <w:color w:val="1F4E79"/>
          <w:sz w:val="26"/>
          <w:szCs w:val="26"/>
        </w:rPr>
        <w:t xml:space="preserve">Recommended first decisions for a new product team</w:t>
      </w:r>
    </w:p>
    <w:p>
      <w:pPr>
        <w:spacing w:after="150"/>
      </w:pPr>
      <w:r>
        <w:rPr>
          <w:rFonts w:ascii="Calibri" w:cs="Calibri" w:eastAsia="Calibri" w:hAnsi="Calibri"/>
          <w:sz w:val="22"/>
          <w:szCs w:val="22"/>
        </w:rPr>
        <w:t xml:space="preserve">If you do nothing else after this module, make these four decisions explicit and write them down:</w:t>
      </w:r>
    </w:p>
    <w:p>
      <w:pPr>
        <w:pStyle w:val="ListParagraph"/>
        <w:numPr>
          <w:ilvl w:val="0"/>
          <w:numId w:val="1"/>
        </w:numPr>
        <w:spacing w:after="100"/>
      </w:pPr>
      <w:r>
        <w:rPr>
          <w:rFonts w:ascii="Calibri" w:cs="Calibri" w:eastAsia="Calibri" w:hAnsi="Calibri"/>
          <w:sz w:val="22"/>
          <w:szCs w:val="22"/>
        </w:rPr>
        <w:t xml:space="preserve">Scope — which clinical use cases and which of the Big 4 functions are in v1? This bounds everything else: every function you defer is complexity you don't pay for yet.</w:t>
      </w:r>
    </w:p>
    <w:p>
      <w:pPr>
        <w:pStyle w:val="ListParagraph"/>
        <w:numPr>
          <w:ilvl w:val="0"/>
          <w:numId w:val="1"/>
        </w:numPr>
        <w:spacing w:after="100"/>
      </w:pPr>
      <w:r>
        <w:rPr>
          <w:rFonts w:ascii="Calibri" w:cs="Calibri" w:eastAsia="Calibri" w:hAnsi="Calibri"/>
          <w:sz w:val="22"/>
          <w:szCs w:val="22"/>
        </w:rPr>
        <w:t xml:space="preserve">Connectivity option — external module, native, or gateway? This is the hardest decision to reverse — it shapes hardware, certification and cost.</w:t>
      </w:r>
    </w:p>
    <w:p>
      <w:pPr>
        <w:pStyle w:val="ListParagraph"/>
        <w:numPr>
          <w:ilvl w:val="0"/>
          <w:numId w:val="1"/>
        </w:numPr>
        <w:spacing w:after="100"/>
      </w:pPr>
      <w:r>
        <w:rPr>
          <w:rFonts w:ascii="Calibri" w:cs="Calibri" w:eastAsia="Calibri" w:hAnsi="Calibri"/>
          <w:sz w:val="22"/>
          <w:szCs w:val="22"/>
        </w:rPr>
        <w:t xml:space="preserve">Build vs. buy — will you adopt an existing stack or build? This sets your timeline and your maintenance burden for years.</w:t>
      </w:r>
    </w:p>
    <w:p>
      <w:pPr>
        <w:pStyle w:val="ListParagraph"/>
        <w:numPr>
          <w:ilvl w:val="0"/>
          <w:numId w:val="1"/>
        </w:numPr>
        <w:spacing w:after="100"/>
      </w:pPr>
      <w:r>
        <w:rPr>
          <w:rFonts w:ascii="Calibri" w:cs="Calibri" w:eastAsia="Calibri" w:hAnsi="Calibri"/>
          <w:sz w:val="22"/>
          <w:szCs w:val="22"/>
        </w:rPr>
        <w:t xml:space="preserve">MDIB-first — who owns the MDIB design, and when does it get reviewed? This is your public contract; an unowned MDIB is a redesign waiting to happen.</w:t>
      </w:r>
    </w:p>
    <w:p>
      <w:pPr>
        <w:spacing w:after="150"/>
      </w:pPr>
      <w:r>
        <w:rPr>
          <w:rFonts w:ascii="Calibri" w:cs="Calibri" w:eastAsia="Calibri" w:hAnsi="Calibri"/>
          <w:sz w:val="22"/>
          <w:szCs w:val="22"/>
        </w:rPr>
        <w:t xml:space="preserve">Everything else can evolve; these four shape the cost of everything that follows.</w:t>
      </w:r>
    </w:p>
    <w:p>
      <w:pPr>
        <w:pageBreakBefore/>
      </w:pPr>
    </w:p>
    <w:p>
      <w:pPr>
        <w:pStyle w:val="Heading1"/>
        <w:spacing w:after="200" w:before="400"/>
      </w:pPr>
      <w:r>
        <w:rPr>
          <w:rFonts w:ascii="Calibri" w:cs="Calibri" w:eastAsia="Calibri" w:hAnsi="Calibri"/>
          <w:b/>
          <w:bCs/>
          <w:color w:val="1F4E79"/>
          <w:sz w:val="32"/>
          <w:szCs w:val="32"/>
        </w:rPr>
        <w:t xml:space="preserve">Module 5 · Intro to Gazelle and Caliper Testing</w:t>
      </w:r>
    </w:p>
    <w:p>
      <w:pPr>
        <w:spacing w:after="200"/>
      </w:pPr>
      <w:r>
        <w:rPr>
          <w:rFonts w:ascii="Calibri" w:cs="Calibri" w:eastAsia="Calibri" w:hAnsi="Calibri"/>
          <w:i/>
          <w:iCs/>
          <w:color w:val="595959"/>
          <w:sz w:val="20"/>
          <w:szCs w:val="20"/>
        </w:rPr>
        <w:t xml:space="preserve">Duration: ~10 min   ·   Audience: Developers, testers, technical leads and product managers</w:t>
      </w:r>
    </w:p>
    <w:p>
      <w:pPr>
        <w:spacing w:after="150"/>
      </w:pPr>
      <w:r>
        <w:rPr>
          <w:rFonts w:ascii="Calibri" w:cs="Calibri" w:eastAsia="Calibri" w:hAnsi="Calibri"/>
          <w:i/>
          <w:iCs/>
          <w:sz w:val="22"/>
          <w:szCs w:val="22"/>
        </w:rPr>
        <w:t xml:space="preserve">Objective: show how the Caliper testing ecosystem supports SDPi adoption from development through deployment.</w:t>
      </w:r>
    </w:p>
    <w:p>
      <w:pPr>
        <w:pStyle w:val="Heading2"/>
        <w:spacing w:after="150" w:before="300"/>
      </w:pPr>
      <w:r>
        <w:rPr>
          <w:rFonts w:ascii="Calibri" w:cs="Calibri" w:eastAsia="Calibri" w:hAnsi="Calibri"/>
          <w:b/>
          <w:bCs/>
          <w:color w:val="1F4E79"/>
          <w:sz w:val="26"/>
          <w:szCs w:val="26"/>
        </w:rPr>
        <w:t xml:space="preserve">Why structured test tooling matters before deployment</w:t>
      </w:r>
    </w:p>
    <w:p>
      <w:pPr>
        <w:spacing w:after="150"/>
      </w:pPr>
      <w:r>
        <w:rPr>
          <w:rFonts w:ascii="Calibri" w:cs="Calibri" w:eastAsia="Calibri" w:hAnsi="Calibri"/>
          <w:sz w:val="22"/>
          <w:szCs w:val="22"/>
        </w:rPr>
        <w:t xml:space="preserve">Interoperability bugs are cheap to find in a test harness and very expensive to find at a customer site. Field experience is blunt about where the pain concentrates: discovery misconfiguration, real-time latency, and mismatched MDIB handles cause most lost time — and all are catchable with the right tooling, run early. Structured testing converts "we think it interoperates" into "we have demonstrated it interoperates, repeatably."</w:t>
      </w:r>
    </w:p>
    <w:p>
      <w:pPr>
        <w:spacing w:after="150"/>
      </w:pPr>
      <w:r>
        <w:rPr>
          <w:rFonts w:ascii="Calibri" w:cs="Calibri" w:eastAsia="Calibri" w:hAnsi="Calibri"/>
          <w:sz w:val="22"/>
          <w:szCs w:val="22"/>
        </w:rPr>
        <w:t xml:space="preserve">That word repeatably is doing real work. SDPi testing is built around published test definitions: each one states the preconditions, the steps, and the observable behaviour a conformant implementation must show. Because the definitions are shared, two vendors who have never met can test against the same yardstick — and a regulator or customer can understand exactly what "passed" means.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Key idea</w:t>
            </w:r>
          </w:p>
          <w:p>
            <w:r>
              <w:rPr>
                <w:rFonts w:ascii="Calibri" w:cs="Calibri" w:eastAsia="Calibri" w:hAnsi="Calibri"/>
                <w:i/>
                <w:iCs/>
                <w:sz w:val="21"/>
                <w:szCs w:val="21"/>
              </w:rPr>
              <w:t xml:space="preserve">Testing in SDPi is not a final gate — it's a development accelerator. The teams that test discovery and measure latency on day one ship faster than those that defer testing to integration.</w:t>
            </w:r>
          </w:p>
        </w:tc>
      </w:tr>
    </w:tbl>
    <w:p>
      <w:pPr>
        <w:spacing w:after="150"/>
      </w:pPr>
    </w:p>
    <w:p>
      <w:pPr>
        <w:pStyle w:val="Heading2"/>
        <w:spacing w:after="150" w:before="300"/>
      </w:pPr>
      <w:r>
        <w:rPr>
          <w:rFonts w:ascii="Calibri" w:cs="Calibri" w:eastAsia="Calibri" w:hAnsi="Calibri"/>
          <w:b/>
          <w:bCs/>
          <w:color w:val="1F4E79"/>
          <w:sz w:val="26"/>
          <w:szCs w:val="26"/>
        </w:rPr>
        <w:t xml:space="preserve">What Gazelle is</w:t>
      </w:r>
    </w:p>
    <w:p>
      <w:pPr>
        <w:spacing w:after="150"/>
      </w:pPr>
      <w:r>
        <w:rPr>
          <w:rFonts w:ascii="Calibri" w:cs="Calibri" w:eastAsia="Calibri" w:hAnsi="Calibri"/>
          <w:sz w:val="22"/>
          <w:szCs w:val="22"/>
        </w:rPr>
        <w:t xml:space="preserve">Gazelle is the open testing platform long used by the IHE community to support interoperability testing — managing test definitions, partner registration, conformance checks and the logistics of testing events. Because SDPi is an IHE profile family, Gazelle is the natural foundation for SDPi conformance and interoperability testing: it gives vendors a common, neutral place to validate that their implementation behaves as the profile requires.</w:t>
      </w:r>
    </w:p>
    <w:p>
      <w:pPr>
        <w:spacing w:after="150"/>
      </w:pPr>
    </w:p>
    <w:p>
      <w:pPr>
        <w:pStyle w:val="Heading2"/>
        <w:spacing w:after="150" w:before="300"/>
      </w:pPr>
      <w:r>
        <w:rPr>
          <w:rFonts w:ascii="Calibri" w:cs="Calibri" w:eastAsia="Calibri" w:hAnsi="Calibri"/>
          <w:b/>
          <w:bCs/>
          <w:color w:val="1F4E79"/>
          <w:sz w:val="26"/>
          <w:szCs w:val="26"/>
        </w:rPr>
        <w:t xml:space="preserve">Gemini today, and the evolution toward Caliper tooling</w:t>
      </w:r>
    </w:p>
    <w:p>
      <w:pPr>
        <w:spacing w:after="150"/>
      </w:pPr>
      <w:r>
        <w:rPr>
          <w:rFonts w:ascii="Calibri" w:cs="Calibri" w:eastAsia="Calibri" w:hAnsi="Calibri"/>
          <w:sz w:val="22"/>
          <w:szCs w:val="22"/>
        </w:rPr>
        <w:t xml:space="preserve">The tooling is evolving. Gemini represents the current generation of SDC/SDPi test support, and the trajectory is toward Caliper-hosted tooling purpose-built for the SDPi ecosystem. For a product team the practical message is simple: build against the standard and the published test definitions, and expect the supporting tools to keep improving under the Caliper umbrella.</w:t>
      </w:r>
    </w:p>
    <w:p>
      <w:pPr>
        <w:spacing w:after="150"/>
      </w:pPr>
    </w:p>
    <w:p>
      <w:pPr>
        <w:pStyle w:val="Heading2"/>
        <w:spacing w:after="150" w:before="300"/>
      </w:pPr>
      <w:r>
        <w:rPr>
          <w:rFonts w:ascii="Calibri" w:cs="Calibri" w:eastAsia="Calibri" w:hAnsi="Calibri"/>
          <w:b/>
          <w:bCs/>
          <w:color w:val="1F4E79"/>
          <w:sz w:val="26"/>
          <w:szCs w:val="26"/>
        </w:rPr>
        <w:t xml:space="preserve">The testing progression</w:t>
      </w:r>
    </w:p>
    <w:p>
      <w:pPr>
        <w:spacing w:after="150"/>
      </w:pPr>
      <w:r>
        <w:rPr>
          <w:rFonts w:ascii="Calibri" w:cs="Calibri" w:eastAsia="Calibri" w:hAnsi="Calibri"/>
          <w:sz w:val="22"/>
          <w:szCs w:val="22"/>
        </w:rPr>
        <w:t xml:space="preserve">SDPi testing follows a staged progression, from solo self-testing toward multi-vendor, community validation. Each stage increases confidence and realism: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150"/>
      </w:tblGrid>
      <w:tr>
        <w:trPr>
          <w:tblHeader/>
        </w:trPr>
        <w:tc>
          <w:tcPr>
            <w:tcW w:type="dxa" w:w="17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Stage</w:t>
            </w:r>
          </w:p>
        </w:tc>
        <w:tc>
          <w:tcPr>
            <w:tcW w:type="dxa" w:w="45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What happens</w:t>
            </w:r>
          </w:p>
        </w:tc>
        <w:tc>
          <w:tcPr>
            <w:tcW w:type="dxa" w:w="31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Confidence gained</w:t>
            </w:r>
          </w:p>
        </w:tc>
      </w:tr>
      <w:tr>
        <w:tc>
          <w:tcPr>
            <w:tcW w:type="dxa" w:w="1700"/>
            <w:shd w:fill="FFFFFF" w:val="clear"/>
            <w:tcMar>
              <w:top w:type="dxa" w:w="100"/>
              <w:left w:type="dxa" w:w="120"/>
              <w:bottom w:type="dxa" w:w="100"/>
              <w:right w:type="dxa" w:w="120"/>
            </w:tcMar>
            <w:vAlign w:val="center"/>
          </w:tcPr>
          <w:p>
            <w:r>
              <w:rPr>
                <w:rFonts w:ascii="Calibri" w:cs="Calibri" w:eastAsia="Calibri" w:hAnsi="Calibri"/>
                <w:sz w:val="20"/>
                <w:szCs w:val="20"/>
              </w:rPr>
              <w:t xml:space="preserve">PAT</w:t>
            </w:r>
          </w:p>
        </w:tc>
        <w:tc>
          <w:tcPr>
            <w:tcW w:type="dxa" w:w="4500"/>
            <w:shd w:fill="FFFFFF" w:val="clear"/>
            <w:tcMar>
              <w:top w:type="dxa" w:w="100"/>
              <w:left w:type="dxa" w:w="120"/>
              <w:bottom w:type="dxa" w:w="100"/>
              <w:right w:type="dxa" w:w="120"/>
            </w:tcMar>
            <w:vAlign w:val="center"/>
          </w:tcPr>
          <w:p>
            <w:r>
              <w:rPr>
                <w:rFonts w:ascii="Calibri" w:cs="Calibri" w:eastAsia="Calibri" w:hAnsi="Calibri"/>
                <w:sz w:val="20"/>
                <w:szCs w:val="20"/>
              </w:rPr>
              <w:t xml:space="preserve">Pre-event / self-assessment testing against the test definitions, on your own.</w:t>
            </w:r>
          </w:p>
        </w:tc>
        <w:tc>
          <w:tcPr>
            <w:tcW w:type="dxa" w:w="3150"/>
            <w:shd w:fill="FFFFFF" w:val="clear"/>
            <w:tcMar>
              <w:top w:type="dxa" w:w="100"/>
              <w:left w:type="dxa" w:w="120"/>
              <w:bottom w:type="dxa" w:w="100"/>
              <w:right w:type="dxa" w:w="120"/>
            </w:tcMar>
            <w:vAlign w:val="center"/>
          </w:tcPr>
          <w:p>
            <w:r>
              <w:rPr>
                <w:rFonts w:ascii="Calibri" w:cs="Calibri" w:eastAsia="Calibri" w:hAnsi="Calibri"/>
                <w:sz w:val="20"/>
                <w:szCs w:val="20"/>
              </w:rPr>
              <w:t xml:space="preserve">"My implementation passes the defined tests."</w:t>
            </w:r>
          </w:p>
        </w:tc>
      </w:tr>
      <w:tr>
        <w:tc>
          <w:tcPr>
            <w:tcW w:type="dxa" w:w="1700"/>
            <w:shd w:fill="EAF1F8" w:val="clear"/>
            <w:tcMar>
              <w:top w:type="dxa" w:w="100"/>
              <w:left w:type="dxa" w:w="120"/>
              <w:bottom w:type="dxa" w:w="100"/>
              <w:right w:type="dxa" w:w="120"/>
            </w:tcMar>
            <w:vAlign w:val="center"/>
          </w:tcPr>
          <w:p>
            <w:r>
              <w:rPr>
                <w:rFonts w:ascii="Calibri" w:cs="Calibri" w:eastAsia="Calibri" w:hAnsi="Calibri"/>
                <w:sz w:val="20"/>
                <w:szCs w:val="20"/>
              </w:rPr>
              <w:t xml:space="preserve">CAT</w:t>
            </w:r>
          </w:p>
        </w:tc>
        <w:tc>
          <w:tcPr>
            <w:tcW w:type="dxa" w:w="4500"/>
            <w:shd w:fill="EAF1F8" w:val="clear"/>
            <w:tcMar>
              <w:top w:type="dxa" w:w="100"/>
              <w:left w:type="dxa" w:w="120"/>
              <w:bottom w:type="dxa" w:w="100"/>
              <w:right w:type="dxa" w:w="120"/>
            </w:tcMar>
            <w:vAlign w:val="center"/>
          </w:tcPr>
          <w:p>
            <w:r>
              <w:rPr>
                <w:rFonts w:ascii="Calibri" w:cs="Calibri" w:eastAsia="Calibri" w:hAnsi="Calibri"/>
                <w:sz w:val="20"/>
                <w:szCs w:val="20"/>
              </w:rPr>
              <w:t xml:space="preserve">Tool-assisted / connectathon-style testing, often with a partner or reference system.</w:t>
            </w:r>
          </w:p>
        </w:tc>
        <w:tc>
          <w:tcPr>
            <w:tcW w:type="dxa" w:w="3150"/>
            <w:shd w:fill="EAF1F8" w:val="clear"/>
            <w:tcMar>
              <w:top w:type="dxa" w:w="100"/>
              <w:left w:type="dxa" w:w="120"/>
              <w:bottom w:type="dxa" w:w="100"/>
              <w:right w:type="dxa" w:w="120"/>
            </w:tcMar>
            <w:vAlign w:val="center"/>
          </w:tcPr>
          <w:p>
            <w:r>
              <w:rPr>
                <w:rFonts w:ascii="Calibri" w:cs="Calibri" w:eastAsia="Calibri" w:hAnsi="Calibri"/>
                <w:sz w:val="20"/>
                <w:szCs w:val="20"/>
              </w:rPr>
              <w:t xml:space="preserve">"I interoperate with at least one other system."</w:t>
            </w:r>
          </w:p>
        </w:tc>
      </w:tr>
      <w:tr>
        <w:tc>
          <w:tcPr>
            <w:tcW w:type="dxa" w:w="1700"/>
            <w:shd w:fill="FFFFFF" w:val="clear"/>
            <w:tcMar>
              <w:top w:type="dxa" w:w="100"/>
              <w:left w:type="dxa" w:w="120"/>
              <w:bottom w:type="dxa" w:w="100"/>
              <w:right w:type="dxa" w:w="120"/>
            </w:tcMar>
            <w:vAlign w:val="center"/>
          </w:tcPr>
          <w:p>
            <w:r>
              <w:rPr>
                <w:rFonts w:ascii="Calibri" w:cs="Calibri" w:eastAsia="Calibri" w:hAnsi="Calibri"/>
                <w:sz w:val="20"/>
                <w:szCs w:val="20"/>
              </w:rPr>
              <w:t xml:space="preserve">CA</w:t>
            </w:r>
          </w:p>
        </w:tc>
        <w:tc>
          <w:tcPr>
            <w:tcW w:type="dxa" w:w="4500"/>
            <w:shd w:fill="FFFFFF" w:val="clear"/>
            <w:tcMar>
              <w:top w:type="dxa" w:w="100"/>
              <w:left w:type="dxa" w:w="120"/>
              <w:bottom w:type="dxa" w:w="100"/>
              <w:right w:type="dxa" w:w="120"/>
            </w:tcMar>
            <w:vAlign w:val="center"/>
          </w:tcPr>
          <w:p>
            <w:r>
              <w:rPr>
                <w:rFonts w:ascii="Calibri" w:cs="Calibri" w:eastAsia="Calibri" w:hAnsi="Calibri"/>
                <w:sz w:val="20"/>
                <w:szCs w:val="20"/>
              </w:rPr>
              <w:t xml:space="preserve">Conformity assessment — a more formal evaluation of conformance.</w:t>
            </w:r>
          </w:p>
        </w:tc>
        <w:tc>
          <w:tcPr>
            <w:tcW w:type="dxa" w:w="3150"/>
            <w:shd w:fill="FFFFFF" w:val="clear"/>
            <w:tcMar>
              <w:top w:type="dxa" w:w="100"/>
              <w:left w:type="dxa" w:w="120"/>
              <w:bottom w:type="dxa" w:w="100"/>
              <w:right w:type="dxa" w:w="120"/>
            </w:tcMar>
            <w:vAlign w:val="center"/>
          </w:tcPr>
          <w:p>
            <w:r>
              <w:rPr>
                <w:rFonts w:ascii="Calibri" w:cs="Calibri" w:eastAsia="Calibri" w:hAnsi="Calibri"/>
                <w:sz w:val="20"/>
                <w:szCs w:val="20"/>
              </w:rPr>
              <w:t xml:space="preserve">"My conformance has been independently assessed."</w:t>
            </w:r>
          </w:p>
        </w:tc>
      </w:tr>
      <w:tr>
        <w:tc>
          <w:tcPr>
            <w:tcW w:type="dxa" w:w="1700"/>
            <w:shd w:fill="EAF1F8" w:val="clear"/>
            <w:tcMar>
              <w:top w:type="dxa" w:w="100"/>
              <w:left w:type="dxa" w:w="120"/>
              <w:bottom w:type="dxa" w:w="100"/>
              <w:right w:type="dxa" w:w="120"/>
            </w:tcMar>
            <w:vAlign w:val="center"/>
          </w:tcPr>
          <w:p>
            <w:r>
              <w:rPr>
                <w:rFonts w:ascii="Calibri" w:cs="Calibri" w:eastAsia="Calibri" w:hAnsi="Calibri"/>
                <w:sz w:val="20"/>
                <w:szCs w:val="20"/>
              </w:rPr>
              <w:t xml:space="preserve">Projectathons</w:t>
            </w:r>
          </w:p>
        </w:tc>
        <w:tc>
          <w:tcPr>
            <w:tcW w:type="dxa" w:w="4500"/>
            <w:shd w:fill="EAF1F8" w:val="clear"/>
            <w:tcMar>
              <w:top w:type="dxa" w:w="100"/>
              <w:left w:type="dxa" w:w="120"/>
              <w:bottom w:type="dxa" w:w="100"/>
              <w:right w:type="dxa" w:w="120"/>
            </w:tcMar>
            <w:vAlign w:val="center"/>
          </w:tcPr>
          <w:p>
            <w:r>
              <w:rPr>
                <w:rFonts w:ascii="Calibri" w:cs="Calibri" w:eastAsia="Calibri" w:hAnsi="Calibri"/>
                <w:sz w:val="20"/>
                <w:szCs w:val="20"/>
              </w:rPr>
              <w:t xml:space="preserve">Supervised multi-vendor interoperability events.</w:t>
            </w:r>
          </w:p>
        </w:tc>
        <w:tc>
          <w:tcPr>
            <w:tcW w:type="dxa" w:w="3150"/>
            <w:shd w:fill="EAF1F8" w:val="clear"/>
            <w:tcMar>
              <w:top w:type="dxa" w:w="100"/>
              <w:left w:type="dxa" w:w="120"/>
              <w:bottom w:type="dxa" w:w="100"/>
              <w:right w:type="dxa" w:w="120"/>
            </w:tcMar>
            <w:vAlign w:val="center"/>
          </w:tcPr>
          <w:p>
            <w:r>
              <w:rPr>
                <w:rFonts w:ascii="Calibri" w:cs="Calibri" w:eastAsia="Calibri" w:hAnsi="Calibri"/>
                <w:sz w:val="20"/>
                <w:szCs w:val="20"/>
              </w:rPr>
              <w:t xml:space="preserve">"I interoperate with many vendors, under realistic conditions."</w:t>
            </w:r>
          </w:p>
        </w:tc>
      </w:tr>
    </w:tbl>
    <w:p>
      <w:pPr>
        <w:spacing w:after="150"/>
      </w:pPr>
    </w:p>
    <w:p>
      <w:pPr>
        <w:pStyle w:val="Heading2"/>
        <w:spacing w:after="150" w:before="300"/>
      </w:pPr>
      <w:r>
        <w:rPr>
          <w:rFonts w:ascii="Calibri" w:cs="Calibri" w:eastAsia="Calibri" w:hAnsi="Calibri"/>
          <w:b/>
          <w:bCs/>
          <w:color w:val="1F4E79"/>
          <w:sz w:val="26"/>
          <w:szCs w:val="26"/>
        </w:rPr>
        <w:t xml:space="preserve">Why community testing events improve quality</w:t>
      </w:r>
    </w:p>
    <w:p>
      <w:pPr>
        <w:spacing w:after="150"/>
      </w:pPr>
      <w:r>
        <w:rPr>
          <w:rFonts w:ascii="Calibri" w:cs="Calibri" w:eastAsia="Calibri" w:hAnsi="Calibri"/>
          <w:sz w:val="22"/>
          <w:szCs w:val="22"/>
        </w:rPr>
        <w:t xml:space="preserve">A projectathon does something no lab can: it puts your device in a room with many other vendors' implementations and surfaces the disagreements that only appear under real diversity — subtly different MDIB modelling, edge-case discovery behaviour, alerting mismatches. These events are an enablement asset, not just a compliance checkbox: teams routinely leave with a sharper implementation and relationships with other implementers.</w:t>
      </w:r>
    </w:p>
    <w:p>
      <w:pPr>
        <w:spacing w:after="150"/>
      </w:pPr>
    </w:p>
    <w:p>
      <w:pPr>
        <w:pStyle w:val="Heading2"/>
        <w:spacing w:after="150" w:before="300"/>
      </w:pPr>
      <w:r>
        <w:rPr>
          <w:rFonts w:ascii="Calibri" w:cs="Calibri" w:eastAsia="Calibri" w:hAnsi="Calibri"/>
          <w:b/>
          <w:bCs/>
          <w:color w:val="1F4E79"/>
          <w:sz w:val="26"/>
          <w:szCs w:val="26"/>
        </w:rPr>
        <w:t xml:space="preserve">A field perspective: what to actually test</w:t>
      </w:r>
    </w:p>
    <w:p>
      <w:pPr>
        <w:pStyle w:val="ListParagraph"/>
        <w:numPr>
          <w:ilvl w:val="0"/>
          <w:numId w:val="1"/>
        </w:numPr>
        <w:spacing w:after="100"/>
      </w:pPr>
      <w:r>
        <w:rPr>
          <w:rFonts w:ascii="Calibri" w:cs="Calibri" w:eastAsia="Calibri" w:hAnsi="Calibri"/>
          <w:sz w:val="22"/>
          <w:szCs w:val="22"/>
        </w:rPr>
        <w:t xml:space="preserve">Discovery first — verify WS-Discovery (multicast route, network adapter, firewall) before building features; silent discovery failures waste the most time.</w:t>
      </w:r>
    </w:p>
    <w:p>
      <w:pPr>
        <w:pStyle w:val="ListParagraph"/>
        <w:numPr>
          <w:ilvl w:val="0"/>
          <w:numId w:val="1"/>
        </w:numPr>
        <w:spacing w:after="100"/>
      </w:pPr>
      <w:r>
        <w:rPr>
          <w:rFonts w:ascii="Calibri" w:cs="Calibri" w:eastAsia="Calibri" w:hAnsi="Calibri"/>
          <w:sz w:val="22"/>
          <w:szCs w:val="22"/>
        </w:rPr>
        <w:t xml:space="preserve">Latency early — benchmark real-time data as soon as a provider + consumer exist; waveform performance depends on getting batch sizing right.</w:t>
      </w:r>
    </w:p>
    <w:p>
      <w:pPr>
        <w:pStyle w:val="ListParagraph"/>
        <w:numPr>
          <w:ilvl w:val="0"/>
          <w:numId w:val="1"/>
        </w:numPr>
        <w:spacing w:after="100"/>
      </w:pPr>
      <w:r>
        <w:rPr>
          <w:rFonts w:ascii="Calibri" w:cs="Calibri" w:eastAsia="Calibri" w:hAnsi="Calibri"/>
          <w:sz w:val="22"/>
          <w:szCs w:val="22"/>
        </w:rPr>
        <w:t xml:space="preserve">Connection robustness — single- and multi-device stability, range boundaries, reconnection behaviour.</w:t>
      </w:r>
    </w:p>
    <w:p>
      <w:pPr>
        <w:pStyle w:val="ListParagraph"/>
        <w:numPr>
          <w:ilvl w:val="0"/>
          <w:numId w:val="1"/>
        </w:numPr>
        <w:spacing w:after="100"/>
      </w:pPr>
      <w:r>
        <w:rPr>
          <w:rFonts w:ascii="Calibri" w:cs="Calibri" w:eastAsia="Calibri" w:hAnsi="Calibri"/>
          <w:sz w:val="22"/>
          <w:szCs w:val="22"/>
        </w:rPr>
        <w:t xml:space="preserve">Metadata &amp; semantics — units, accuracy, acquisition intervals, and that MDIB metadata matches the real device.</w:t>
      </w:r>
    </w:p>
    <w:p>
      <w:pPr>
        <w:pStyle w:val="ListParagraph"/>
        <w:numPr>
          <w:ilvl w:val="0"/>
          <w:numId w:val="1"/>
        </w:numPr>
        <w:spacing w:after="100"/>
      </w:pPr>
      <w:r>
        <w:rPr>
          <w:rFonts w:ascii="Calibri" w:cs="Calibri" w:eastAsia="Calibri" w:hAnsi="Calibri"/>
          <w:sz w:val="22"/>
          <w:szCs w:val="22"/>
        </w:rPr>
        <w:t xml:space="preserve">Waveform integrity — sample ordering, sampling rate, no duplicates, visible timestamp gaps.</w:t>
      </w:r>
    </w:p>
    <w:p>
      <w:pPr>
        <w:spacing w:after="150"/>
      </w:pPr>
      <w:r>
        <w:rPr>
          <w:rFonts w:ascii="Calibri" w:cs="Calibri" w:eastAsia="Calibri" w:hAnsi="Calibri"/>
          <w:sz w:val="22"/>
          <w:szCs w:val="22"/>
        </w:rPr>
        <w:t xml:space="preserve">And make it continuous, not ceremonial: fold the conformance tests into your regular regression suite, and re-run them after every MDIB change. An interoperability test that runs once before an event catches one class of bug; the same test running in CI catches regressions for the life of the product.</w:t>
      </w:r>
    </w:p>
    <w:p>
      <w:pPr>
        <w:pageBreakBefore/>
      </w:pPr>
    </w:p>
    <w:p>
      <w:pPr>
        <w:pStyle w:val="Heading1"/>
        <w:spacing w:after="200" w:before="400"/>
      </w:pPr>
      <w:r>
        <w:rPr>
          <w:rFonts w:ascii="Calibri" w:cs="Calibri" w:eastAsia="Calibri" w:hAnsi="Calibri"/>
          <w:b/>
          <w:bCs/>
          <w:color w:val="1F4E79"/>
          <w:sz w:val="32"/>
          <w:szCs w:val="32"/>
        </w:rPr>
        <w:t xml:space="preserve">Module 6 · Regulatory Overview</w:t>
      </w:r>
    </w:p>
    <w:p>
      <w:pPr>
        <w:spacing w:after="200"/>
      </w:pPr>
      <w:r>
        <w:rPr>
          <w:rFonts w:ascii="Calibri" w:cs="Calibri" w:eastAsia="Calibri" w:hAnsi="Calibri"/>
          <w:i/>
          <w:iCs/>
          <w:color w:val="595959"/>
          <w:sz w:val="20"/>
          <w:szCs w:val="20"/>
        </w:rPr>
        <w:t xml:space="preserve">Duration: ~10 min   ·   Audience: Regulatory, quality, product and architecture stakeholders</w:t>
      </w:r>
    </w:p>
    <w:p>
      <w:pPr>
        <w:spacing w:after="150"/>
      </w:pPr>
      <w:r>
        <w:rPr>
          <w:rFonts w:ascii="Calibri" w:cs="Calibri" w:eastAsia="Calibri" w:hAnsi="Calibri"/>
          <w:i/>
          <w:iCs/>
          <w:sz w:val="22"/>
          <w:szCs w:val="22"/>
        </w:rPr>
        <w:t xml:space="preserve">Objective: frame the regulatory conversation for SDPi clearly and without overpromising.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Not legal or regulatory advice</w:t>
            </w:r>
          </w:p>
          <w:p>
            <w:r>
              <w:rPr>
                <w:rFonts w:ascii="Calibri" w:cs="Calibri" w:eastAsia="Calibri" w:hAnsi="Calibri"/>
                <w:i/>
                <w:iCs/>
                <w:sz w:val="21"/>
                <w:szCs w:val="21"/>
              </w:rPr>
              <w:t xml:space="preserve">This module builds shared understanding so engineering, product and regulatory teams can talk to each other. It is not regulatory advice. Treatment varies by device class, claims, and jurisdiction — confirm specifics with your regulatory function and the relevant authority.</w:t>
            </w:r>
          </w:p>
        </w:tc>
      </w:tr>
    </w:tbl>
    <w:p>
      <w:pPr>
        <w:spacing w:after="150"/>
      </w:pPr>
    </w:p>
    <w:p>
      <w:pPr>
        <w:pStyle w:val="Heading2"/>
        <w:spacing w:after="150" w:before="300"/>
      </w:pPr>
      <w:r>
        <w:rPr>
          <w:rFonts w:ascii="Calibri" w:cs="Calibri" w:eastAsia="Calibri" w:hAnsi="Calibri"/>
          <w:b/>
          <w:bCs/>
          <w:color w:val="1F4E79"/>
          <w:sz w:val="26"/>
          <w:szCs w:val="26"/>
        </w:rPr>
        <w:t xml:space="preserve">The principle that frames everything: conformance is not clearance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F4E79" w:sz="4"/>
              <w:left w:val="single" w:color="1F4E79" w:sz="4"/>
              <w:bottom w:val="single" w:color="1F4E79" w:sz="4"/>
              <w:right w:val="single" w:color="1F4E79" w:sz="4"/>
            </w:tcBorders>
            <w:shd w:fill="F2F2F2" w:val="clear"/>
            <w:tcMar>
              <w:top w:type="dxa" w:w="150"/>
              <w:left w:type="dxa" w:w="200"/>
              <w:bottom w:type="dxa" w:w="150"/>
              <w:right w:type="dxa" w:w="200"/>
            </w:tcMar>
          </w:tcPr>
          <w:p>
            <w:pPr>
              <w:spacing w:after="60"/>
            </w:pPr>
            <w:r>
              <w:rPr>
                <w:rFonts w:ascii="Calibri" w:cs="Calibri" w:eastAsia="Calibri" w:hAnsi="Calibri"/>
                <w:b/>
                <w:bCs/>
                <w:color w:val="1F4E79"/>
                <w:sz w:val="21"/>
                <w:szCs w:val="21"/>
              </w:rPr>
              <w:t xml:space="preserve">Key principle</w:t>
            </w:r>
          </w:p>
          <w:p>
            <w:r>
              <w:rPr>
                <w:rFonts w:ascii="Calibri" w:cs="Calibri" w:eastAsia="Calibri" w:hAnsi="Calibri"/>
                <w:i/>
                <w:iCs/>
                <w:sz w:val="21"/>
                <w:szCs w:val="21"/>
              </w:rPr>
              <w:t xml:space="preserve">Standards conformance alone does not equal regulatory clearance. Conforming to SDPi proves your device behaves as the profile requires. It does not, by itself, make a device approved, cleared, or safe for a specific clinical use. Conformance is an input to a regulatory submission, not a substitute for one.</w:t>
            </w:r>
          </w:p>
        </w:tc>
      </w:tr>
    </w:tbl>
    <w:p>
      <w:pPr>
        <w:spacing w:after="150"/>
      </w:pPr>
    </w:p>
    <w:p>
      <w:pPr>
        <w:pStyle w:val="Heading2"/>
        <w:spacing w:after="150" w:before="300"/>
      </w:pPr>
      <w:r>
        <w:rPr>
          <w:rFonts w:ascii="Calibri" w:cs="Calibri" w:eastAsia="Calibri" w:hAnsi="Calibri"/>
          <w:b/>
          <w:bCs/>
          <w:color w:val="1F4E79"/>
          <w:sz w:val="26"/>
          <w:szCs w:val="26"/>
        </w:rPr>
        <w:t xml:space="preserve">Why interoperability claims need evidence and clear boundaries</w:t>
      </w:r>
    </w:p>
    <w:p>
      <w:pPr>
        <w:spacing w:after="150"/>
      </w:pPr>
      <w:r>
        <w:rPr>
          <w:rFonts w:ascii="Calibri" w:cs="Calibri" w:eastAsia="Calibri" w:hAnsi="Calibri"/>
          <w:sz w:val="22"/>
          <w:szCs w:val="22"/>
        </w:rPr>
        <w:t xml:space="preserve">An interoperability claim is a claim about system behaviour, and regulators expect it to be bounded and evidenced. "Our device is interoperable" is meaningless without answering: interoperable with what, under which profile and options, doing which functions, within which system boundary? Defining that boundary precisely — what is inside your device's responsibility and what is not — is the foundation of a defensible claim.</w:t>
      </w:r>
    </w:p>
    <w:p>
      <w:pPr>
        <w:spacing w:after="150"/>
      </w:pPr>
      <w:r>
        <w:rPr>
          <w:rFonts w:ascii="Calibri" w:cs="Calibri" w:eastAsia="Calibri" w:hAnsi="Calibri"/>
          <w:sz w:val="22"/>
          <w:szCs w:val="22"/>
        </w:rPr>
        <w:t xml:space="preserve">The difference is easiest to see side by side. A vague claim says: "The device is SDC/SDPi interoperable." A well-bounded claim says something like: "The device implements the SDPi [profile/option set], acting as a provider of [these functions], verified against [these test definitions]; system-level behaviour when combined with other devices is outside the device's own claims." The second version is longer — and defensible, auditable, and honest about its limits.</w:t>
      </w:r>
    </w:p>
    <w:p>
      <w:pPr>
        <w:spacing w:after="150"/>
      </w:pPr>
    </w:p>
    <w:p>
      <w:pPr>
        <w:pStyle w:val="Heading2"/>
        <w:spacing w:after="150" w:before="300"/>
      </w:pPr>
      <w:r>
        <w:rPr>
          <w:rFonts w:ascii="Calibri" w:cs="Calibri" w:eastAsia="Calibri" w:hAnsi="Calibri"/>
          <w:b/>
          <w:bCs/>
          <w:color w:val="1F4E79"/>
          <w:sz w:val="26"/>
          <w:szCs w:val="26"/>
        </w:rPr>
        <w:t xml:space="preserve">What "test to interface" means — and what it does not cover</w:t>
      </w:r>
    </w:p>
    <w:p>
      <w:pPr>
        <w:spacing w:after="150"/>
      </w:pPr>
      <w:r>
        <w:rPr>
          <w:rFonts w:ascii="Calibri" w:cs="Calibri" w:eastAsia="Calibri" w:hAnsi="Calibri"/>
          <w:sz w:val="22"/>
          <w:szCs w:val="22"/>
        </w:rPr>
        <w:t xml:space="preserve">Testing to the interface means verifying that your device correctly implements the SDPi interface: the right transactions, the right MDIB content, conformant behaviour at the boundary. That is valuable and necessary.</w:t>
      </w:r>
    </w:p>
    <w:p>
      <w:pPr>
        <w:spacing w:after="150"/>
      </w:pPr>
      <w:r>
        <w:rPr>
          <w:rFonts w:ascii="Calibri" w:cs="Calibri" w:eastAsia="Calibri" w:hAnsi="Calibri"/>
          <w:sz w:val="22"/>
          <w:szCs w:val="22"/>
        </w:rPr>
        <w:t xml:space="preserve">What it does not cover: the clinical safety and effectiveness of the overall system function delivered by multiple devices, the behaviour of the other participants, or the risks that emerge only when devices are combined in a specific clinical workflow. Interface conformance is necessary but not sufficient for a clinical claim.</w:t>
      </w:r>
    </w:p>
    <w:p>
      <w:pPr>
        <w:spacing w:after="150"/>
      </w:pPr>
    </w:p>
    <w:p>
      <w:pPr>
        <w:pStyle w:val="Heading2"/>
        <w:spacing w:after="150" w:before="300"/>
      </w:pPr>
      <w:r>
        <w:rPr>
          <w:rFonts w:ascii="Calibri" w:cs="Calibri" w:eastAsia="Calibri" w:hAnsi="Calibri"/>
          <w:b/>
          <w:bCs/>
          <w:color w:val="1F4E79"/>
          <w:sz w:val="26"/>
          <w:szCs w:val="26"/>
        </w:rPr>
        <w:t xml:space="preserve">What "regulatory submission ready" should — and shouldn't — imply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It should imply</w:t>
            </w:r>
          </w:p>
        </w:tc>
        <w:tc>
          <w:tcPr>
            <w:tcW w:type="dxa" w:w="4675"/>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It should not imply</w:t>
            </w:r>
          </w:p>
        </w:tc>
      </w:tr>
      <w:tr>
        <w:tc>
          <w:tcPr>
            <w:tcW w:type="dxa" w:w="4675"/>
            <w:shd w:fill="FFFFFF" w:val="clear"/>
            <w:tcMar>
              <w:top w:type="dxa" w:w="100"/>
              <w:left w:type="dxa" w:w="120"/>
              <w:bottom w:type="dxa" w:w="100"/>
              <w:right w:type="dxa" w:w="120"/>
            </w:tcMar>
            <w:vAlign w:val="center"/>
          </w:tcPr>
          <w:p>
            <w:r>
              <w:rPr>
                <w:rFonts w:ascii="Calibri" w:cs="Calibri" w:eastAsia="Calibri" w:hAnsi="Calibri"/>
                <w:sz w:val="20"/>
                <w:szCs w:val="20"/>
              </w:rPr>
              <w:t xml:space="preserve">You have structured conformance and interoperability evidence</w:t>
            </w:r>
          </w:p>
        </w:tc>
        <w:tc>
          <w:tcPr>
            <w:tcW w:type="dxa" w:w="4675"/>
            <w:shd w:fill="FFFFFF" w:val="clear"/>
            <w:tcMar>
              <w:top w:type="dxa" w:w="100"/>
              <w:left w:type="dxa" w:w="120"/>
              <w:bottom w:type="dxa" w:w="100"/>
              <w:right w:type="dxa" w:w="120"/>
            </w:tcMar>
            <w:vAlign w:val="center"/>
          </w:tcPr>
          <w:p>
            <w:r>
              <w:rPr>
                <w:rFonts w:ascii="Calibri" w:cs="Calibri" w:eastAsia="Calibri" w:hAnsi="Calibri"/>
                <w:sz w:val="20"/>
                <w:szCs w:val="20"/>
              </w:rPr>
              <w:t xml:space="preserve">That the device is cleared or approved</w:t>
            </w:r>
          </w:p>
        </w:tc>
      </w:tr>
      <w:tr>
        <w:tc>
          <w:tcPr>
            <w:tcW w:type="dxa" w:w="4675"/>
            <w:shd w:fill="EAF1F8" w:val="clear"/>
            <w:tcMar>
              <w:top w:type="dxa" w:w="100"/>
              <w:left w:type="dxa" w:w="120"/>
              <w:bottom w:type="dxa" w:w="100"/>
              <w:right w:type="dxa" w:w="120"/>
            </w:tcMar>
            <w:vAlign w:val="center"/>
          </w:tcPr>
          <w:p>
            <w:r>
              <w:rPr>
                <w:rFonts w:ascii="Calibri" w:cs="Calibri" w:eastAsia="Calibri" w:hAnsi="Calibri"/>
                <w:sz w:val="20"/>
                <w:szCs w:val="20"/>
              </w:rPr>
              <w:t xml:space="preserve">Clear system boundaries and defined claims</w:t>
            </w:r>
          </w:p>
        </w:tc>
        <w:tc>
          <w:tcPr>
            <w:tcW w:type="dxa" w:w="4675"/>
            <w:shd w:fill="EAF1F8" w:val="clear"/>
            <w:tcMar>
              <w:top w:type="dxa" w:w="100"/>
              <w:left w:type="dxa" w:w="120"/>
              <w:bottom w:type="dxa" w:w="100"/>
              <w:right w:type="dxa" w:w="120"/>
            </w:tcMar>
            <w:vAlign w:val="center"/>
          </w:tcPr>
          <w:p>
            <w:r>
              <w:rPr>
                <w:rFonts w:ascii="Calibri" w:cs="Calibri" w:eastAsia="Calibri" w:hAnsi="Calibri"/>
                <w:sz w:val="20"/>
                <w:szCs w:val="20"/>
              </w:rPr>
              <w:t xml:space="preserve">That clinical safety/effectiveness is proven by conformance alone</w:t>
            </w:r>
          </w:p>
        </w:tc>
      </w:tr>
      <w:tr>
        <w:tc>
          <w:tcPr>
            <w:tcW w:type="dxa" w:w="4675"/>
            <w:shd w:fill="FFFFFF" w:val="clear"/>
            <w:tcMar>
              <w:top w:type="dxa" w:w="100"/>
              <w:left w:type="dxa" w:w="120"/>
              <w:bottom w:type="dxa" w:w="100"/>
              <w:right w:type="dxa" w:w="120"/>
            </w:tcMar>
            <w:vAlign w:val="center"/>
          </w:tcPr>
          <w:p>
            <w:r>
              <w:rPr>
                <w:rFonts w:ascii="Calibri" w:cs="Calibri" w:eastAsia="Calibri" w:hAnsi="Calibri"/>
                <w:sz w:val="20"/>
                <w:szCs w:val="20"/>
              </w:rPr>
              <w:t xml:space="preserve">Evidence that contributes to a submission package</w:t>
            </w:r>
          </w:p>
        </w:tc>
        <w:tc>
          <w:tcPr>
            <w:tcW w:type="dxa" w:w="4675"/>
            <w:shd w:fill="FFFFFF" w:val="clear"/>
            <w:tcMar>
              <w:top w:type="dxa" w:w="100"/>
              <w:left w:type="dxa" w:w="120"/>
              <w:bottom w:type="dxa" w:w="100"/>
              <w:right w:type="dxa" w:w="120"/>
            </w:tcMar>
            <w:vAlign w:val="center"/>
          </w:tcPr>
          <w:p>
            <w:r>
              <w:rPr>
                <w:rFonts w:ascii="Calibri" w:cs="Calibri" w:eastAsia="Calibri" w:hAnsi="Calibri"/>
                <w:sz w:val="20"/>
                <w:szCs w:val="20"/>
              </w:rPr>
              <w:t xml:space="preserve">That no risk analysis specific to your product is needed</w:t>
            </w:r>
          </w:p>
        </w:tc>
      </w:tr>
      <w:tr>
        <w:tc>
          <w:tcPr>
            <w:tcW w:type="dxa" w:w="4675"/>
            <w:shd w:fill="EAF1F8" w:val="clear"/>
            <w:tcMar>
              <w:top w:type="dxa" w:w="100"/>
              <w:left w:type="dxa" w:w="120"/>
              <w:bottom w:type="dxa" w:w="100"/>
              <w:right w:type="dxa" w:w="120"/>
            </w:tcMar>
            <w:vAlign w:val="center"/>
          </w:tcPr>
          <w:p>
            <w:r>
              <w:rPr>
                <w:rFonts w:ascii="Calibri" w:cs="Calibri" w:eastAsia="Calibri" w:hAnsi="Calibri"/>
                <w:sz w:val="20"/>
                <w:szCs w:val="20"/>
              </w:rPr>
              <w:t xml:space="preserve">Traceability between standards used and claims made</w:t>
            </w:r>
          </w:p>
        </w:tc>
        <w:tc>
          <w:tcPr>
            <w:tcW w:type="dxa" w:w="4675"/>
            <w:shd w:fill="EAF1F8" w:val="clear"/>
            <w:tcMar>
              <w:top w:type="dxa" w:w="100"/>
              <w:left w:type="dxa" w:w="120"/>
              <w:bottom w:type="dxa" w:w="100"/>
              <w:right w:type="dxa" w:w="120"/>
            </w:tcMar>
            <w:vAlign w:val="center"/>
          </w:tcPr>
          <w:p>
            <w:r>
              <w:rPr>
                <w:rFonts w:ascii="Calibri" w:cs="Calibri" w:eastAsia="Calibri" w:hAnsi="Calibri"/>
                <w:sz w:val="20"/>
                <w:szCs w:val="20"/>
              </w:rPr>
              <w:t xml:space="preserve">That the same package works for every market unchanged</w:t>
            </w:r>
          </w:p>
        </w:tc>
      </w:tr>
    </w:tbl>
    <w:p>
      <w:pPr>
        <w:spacing w:after="150"/>
      </w:pPr>
    </w:p>
    <w:p>
      <w:pPr>
        <w:pStyle w:val="Heading2"/>
        <w:spacing w:after="150" w:before="300"/>
      </w:pPr>
      <w:r>
        <w:rPr>
          <w:rFonts w:ascii="Calibri" w:cs="Calibri" w:eastAsia="Calibri" w:hAnsi="Calibri"/>
          <w:b/>
          <w:bCs/>
          <w:color w:val="1F4E79"/>
          <w:sz w:val="26"/>
          <w:szCs w:val="26"/>
        </w:rPr>
        <w:t xml:space="preserve">The open question: will the FDA ever approve a Plug-and-Trust device?</w:t>
      </w:r>
    </w:p>
    <w:p>
      <w:pPr>
        <w:spacing w:after="150"/>
      </w:pPr>
      <w:r>
        <w:rPr>
          <w:rFonts w:ascii="Calibri" w:cs="Calibri" w:eastAsia="Calibri" w:hAnsi="Calibri"/>
          <w:sz w:val="22"/>
          <w:szCs w:val="22"/>
        </w:rPr>
        <w:t xml:space="preserve">This is a genuinely open question in the community, and it's worth understanding what it really asks. Plug-and-Trust envisions devices that join and cooperate automatically, with trust established by design. Regulators, however, evaluate defined devices making defined claims with defined risk controls. The hard part isn't the technology — it's framing accountability and risk control for a system whose exact composition isn't known in advance. The realistic near-term path is product-by-product clearance of devices that support SDPi functions, with the system-level "plug-and-trust" assurance evolving alongside regulatory thinking — rather than a single blanket approval of "a Plug-and-Trust device."</w:t>
      </w:r>
    </w:p>
    <w:p>
      <w:pPr>
        <w:spacing w:after="150"/>
      </w:pPr>
    </w:p>
    <w:p>
      <w:pPr>
        <w:pStyle w:val="Heading2"/>
        <w:spacing w:after="150" w:before="300"/>
      </w:pPr>
      <w:r>
        <w:rPr>
          <w:rFonts w:ascii="Calibri" w:cs="Calibri" w:eastAsia="Calibri" w:hAnsi="Calibri"/>
          <w:b/>
          <w:bCs/>
          <w:color w:val="1F4E79"/>
          <w:sz w:val="26"/>
          <w:szCs w:val="26"/>
        </w:rPr>
        <w:t xml:space="preserve">Conformance, risk controls and product claims — how they relate</w:t>
      </w:r>
    </w:p>
    <w:p>
      <w:pPr>
        <w:pStyle w:val="ListParagraph"/>
        <w:numPr>
          <w:ilvl w:val="0"/>
          <w:numId w:val="1"/>
        </w:numPr>
        <w:spacing w:after="100"/>
      </w:pPr>
      <w:r>
        <w:rPr>
          <w:rFonts w:ascii="Calibri" w:cs="Calibri" w:eastAsia="Calibri" w:hAnsi="Calibri"/>
          <w:sz w:val="22"/>
          <w:szCs w:val="22"/>
        </w:rPr>
        <w:t xml:space="preserve">Standards conformance — you implement SDPi correctly.</w:t>
      </w:r>
    </w:p>
    <w:p>
      <w:pPr>
        <w:pStyle w:val="ListParagraph"/>
        <w:numPr>
          <w:ilvl w:val="0"/>
          <w:numId w:val="1"/>
        </w:numPr>
        <w:spacing w:after="100"/>
      </w:pPr>
      <w:r>
        <w:rPr>
          <w:rFonts w:ascii="Calibri" w:cs="Calibri" w:eastAsia="Calibri" w:hAnsi="Calibri"/>
          <w:sz w:val="22"/>
          <w:szCs w:val="22"/>
        </w:rPr>
        <w:t xml:space="preserve">Risk controls — you identify and mitigate the hazards your product introduces or relies on, including those at the interoperability boundary.</w:t>
      </w:r>
    </w:p>
    <w:p>
      <w:pPr>
        <w:pStyle w:val="ListParagraph"/>
        <w:numPr>
          <w:ilvl w:val="0"/>
          <w:numId w:val="1"/>
        </w:numPr>
        <w:spacing w:after="100"/>
      </w:pPr>
      <w:r>
        <w:rPr>
          <w:rFonts w:ascii="Calibri" w:cs="Calibri" w:eastAsia="Calibri" w:hAnsi="Calibri"/>
          <w:sz w:val="22"/>
          <w:szCs w:val="22"/>
        </w:rPr>
        <w:t xml:space="preserve">Product claims — what you tell the market and the regulator, bounded by the two layers above.</w:t>
      </w:r>
    </w:p>
    <w:p>
      <w:pPr>
        <w:spacing w:after="150"/>
      </w:pPr>
      <w:r>
        <w:rPr>
          <w:rFonts w:ascii="Calibri" w:cs="Calibri" w:eastAsia="Calibri" w:hAnsi="Calibri"/>
          <w:sz w:val="22"/>
          <w:szCs w:val="22"/>
        </w:rPr>
        <w:t xml:space="preserve">Claims must be supported by risk controls and conformance evidence — never run ahead of them.</w:t>
      </w:r>
    </w:p>
    <w:p>
      <w:pPr>
        <w:spacing w:after="150"/>
      </w:pPr>
    </w:p>
    <w:p>
      <w:pPr>
        <w:pStyle w:val="Heading2"/>
        <w:spacing w:after="150" w:before="300"/>
      </w:pPr>
      <w:r>
        <w:rPr>
          <w:rFonts w:ascii="Calibri" w:cs="Calibri" w:eastAsia="Calibri" w:hAnsi="Calibri"/>
          <w:b/>
          <w:bCs/>
          <w:color w:val="1F4E79"/>
          <w:sz w:val="26"/>
          <w:szCs w:val="26"/>
        </w:rPr>
        <w:t xml:space="preserve">Frameworks you'll encounter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Framework</w:t>
            </w:r>
          </w:p>
        </w:tc>
        <w:tc>
          <w:tcPr>
            <w:tcW w:type="dxa" w:w="6150"/>
            <w:shd w:fill="1F4E79"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Concerns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sz w:val="20"/>
                <w:szCs w:val="20"/>
              </w:rPr>
              <w:t xml:space="preserve">EU MDR</w:t>
            </w:r>
          </w:p>
        </w:tc>
        <w:tc>
          <w:tcPr>
            <w:tcW w:type="dxa" w:w="6150"/>
            <w:shd w:fill="FFFFFF" w:val="clear"/>
            <w:tcMar>
              <w:top w:type="dxa" w:w="100"/>
              <w:left w:type="dxa" w:w="120"/>
              <w:bottom w:type="dxa" w:w="100"/>
              <w:right w:type="dxa" w:w="120"/>
            </w:tcMar>
            <w:vAlign w:val="center"/>
          </w:tcPr>
          <w:p>
            <w:r>
              <w:rPr>
                <w:rFonts w:ascii="Calibri" w:cs="Calibri" w:eastAsia="Calibri" w:hAnsi="Calibri"/>
                <w:sz w:val="20"/>
                <w:szCs w:val="20"/>
              </w:rPr>
              <w:t xml:space="preserve">Medical Device Regulation — data integrity, cybersecurity, clinical safety</w:t>
            </w:r>
          </w:p>
        </w:tc>
      </w:tr>
      <w:tr>
        <w:tc>
          <w:tcPr>
            <w:tcW w:type="dxa" w:w="3200"/>
            <w:shd w:fill="EAF1F8" w:val="clear"/>
            <w:tcMar>
              <w:top w:type="dxa" w:w="100"/>
              <w:left w:type="dxa" w:w="120"/>
              <w:bottom w:type="dxa" w:w="100"/>
              <w:right w:type="dxa" w:w="120"/>
            </w:tcMar>
            <w:vAlign w:val="center"/>
          </w:tcPr>
          <w:p>
            <w:r>
              <w:rPr>
                <w:rFonts w:ascii="Calibri" w:cs="Calibri" w:eastAsia="Calibri" w:hAnsi="Calibri"/>
                <w:sz w:val="20"/>
                <w:szCs w:val="20"/>
              </w:rPr>
              <w:t xml:space="preserve">EU CRA</w:t>
            </w:r>
          </w:p>
        </w:tc>
        <w:tc>
          <w:tcPr>
            <w:tcW w:type="dxa" w:w="6150"/>
            <w:shd w:fill="EAF1F8" w:val="clear"/>
            <w:tcMar>
              <w:top w:type="dxa" w:w="100"/>
              <w:left w:type="dxa" w:w="120"/>
              <w:bottom w:type="dxa" w:w="100"/>
              <w:right w:type="dxa" w:w="120"/>
            </w:tcMar>
            <w:vAlign w:val="center"/>
          </w:tcPr>
          <w:p>
            <w:r>
              <w:rPr>
                <w:rFonts w:ascii="Calibri" w:cs="Calibri" w:eastAsia="Calibri" w:hAnsi="Calibri"/>
                <w:sz w:val="20"/>
                <w:szCs w:val="20"/>
              </w:rPr>
              <w:t xml:space="preserve">Cyber Resilience Act — security obligations for connected products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sz w:val="20"/>
                <w:szCs w:val="20"/>
              </w:rPr>
              <w:t xml:space="preserve">IEC 62443-4-1</w:t>
            </w:r>
          </w:p>
        </w:tc>
        <w:tc>
          <w:tcPr>
            <w:tcW w:type="dxa" w:w="6150"/>
            <w:shd w:fill="FFFFFF" w:val="clear"/>
            <w:tcMar>
              <w:top w:type="dxa" w:w="100"/>
              <w:left w:type="dxa" w:w="120"/>
              <w:bottom w:type="dxa" w:w="100"/>
              <w:right w:type="dxa" w:w="120"/>
            </w:tcMar>
            <w:vAlign w:val="center"/>
          </w:tcPr>
          <w:p>
            <w:r>
              <w:rPr>
                <w:rFonts w:ascii="Calibri" w:cs="Calibri" w:eastAsia="Calibri" w:hAnsi="Calibri"/>
                <w:sz w:val="20"/>
                <w:szCs w:val="20"/>
              </w:rPr>
              <w:t xml:space="preserve">Secure product development lifecycle</w:t>
            </w:r>
          </w:p>
        </w:tc>
      </w:tr>
      <w:tr>
        <w:tc>
          <w:tcPr>
            <w:tcW w:type="dxa" w:w="3200"/>
            <w:shd w:fill="EAF1F8" w:val="clear"/>
            <w:tcMar>
              <w:top w:type="dxa" w:w="100"/>
              <w:left w:type="dxa" w:w="120"/>
              <w:bottom w:type="dxa" w:w="100"/>
              <w:right w:type="dxa" w:w="120"/>
            </w:tcMar>
            <w:vAlign w:val="center"/>
          </w:tcPr>
          <w:p>
            <w:r>
              <w:rPr>
                <w:rFonts w:ascii="Calibri" w:cs="Calibri" w:eastAsia="Calibri" w:hAnsi="Calibri"/>
                <w:sz w:val="20"/>
                <w:szCs w:val="20"/>
              </w:rPr>
              <w:t xml:space="preserve">IEC 81001-5-1</w:t>
            </w:r>
          </w:p>
        </w:tc>
        <w:tc>
          <w:tcPr>
            <w:tcW w:type="dxa" w:w="6150"/>
            <w:shd w:fill="EAF1F8" w:val="clear"/>
            <w:tcMar>
              <w:top w:type="dxa" w:w="100"/>
              <w:left w:type="dxa" w:w="120"/>
              <w:bottom w:type="dxa" w:w="100"/>
              <w:right w:type="dxa" w:w="120"/>
            </w:tcMar>
            <w:vAlign w:val="center"/>
          </w:tcPr>
          <w:p>
            <w:r>
              <w:rPr>
                <w:rFonts w:ascii="Calibri" w:cs="Calibri" w:eastAsia="Calibri" w:hAnsi="Calibri"/>
                <w:sz w:val="20"/>
                <w:szCs w:val="20"/>
              </w:rPr>
              <w:t xml:space="preserve">Health software security in the product lifecycle</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sz w:val="20"/>
                <w:szCs w:val="20"/>
              </w:rPr>
              <w:t xml:space="preserve">IEC TR 60601-4-5</w:t>
            </w:r>
          </w:p>
        </w:tc>
        <w:tc>
          <w:tcPr>
            <w:tcW w:type="dxa" w:w="6150"/>
            <w:shd w:fill="FFFFFF" w:val="clear"/>
            <w:tcMar>
              <w:top w:type="dxa" w:w="100"/>
              <w:left w:type="dxa" w:w="120"/>
              <w:bottom w:type="dxa" w:w="100"/>
              <w:right w:type="dxa" w:w="120"/>
            </w:tcMar>
            <w:vAlign w:val="center"/>
          </w:tcPr>
          <w:p>
            <w:r>
              <w:rPr>
                <w:rFonts w:ascii="Calibri" w:cs="Calibri" w:eastAsia="Calibri" w:hAnsi="Calibri"/>
                <w:sz w:val="20"/>
                <w:szCs w:val="20"/>
              </w:rPr>
              <w:t xml:space="preserve">Safety-related technical security for medical devices</w:t>
            </w:r>
          </w:p>
        </w:tc>
      </w:tr>
      <w:tr>
        <w:tc>
          <w:tcPr>
            <w:tcW w:type="dxa" w:w="3200"/>
            <w:shd w:fill="EAF1F8" w:val="clear"/>
            <w:tcMar>
              <w:top w:type="dxa" w:w="100"/>
              <w:left w:type="dxa" w:w="120"/>
              <w:bottom w:type="dxa" w:w="100"/>
              <w:right w:type="dxa" w:w="120"/>
            </w:tcMar>
            <w:vAlign w:val="center"/>
          </w:tcPr>
          <w:p>
            <w:r>
              <w:rPr>
                <w:rFonts w:ascii="Calibri" w:cs="Calibri" w:eastAsia="Calibri" w:hAnsi="Calibri"/>
                <w:sz w:val="20"/>
                <w:szCs w:val="20"/>
              </w:rPr>
              <w:t xml:space="preserve">ISO/IEC 80001</w:t>
            </w:r>
          </w:p>
        </w:tc>
        <w:tc>
          <w:tcPr>
            <w:tcW w:type="dxa" w:w="6150"/>
            <w:shd w:fill="EAF1F8" w:val="clear"/>
            <w:tcMar>
              <w:top w:type="dxa" w:w="100"/>
              <w:left w:type="dxa" w:w="120"/>
              <w:bottom w:type="dxa" w:w="100"/>
              <w:right w:type="dxa" w:w="120"/>
            </w:tcMar>
            <w:vAlign w:val="center"/>
          </w:tcPr>
          <w:p>
            <w:r>
              <w:rPr>
                <w:rFonts w:ascii="Calibri" w:cs="Calibri" w:eastAsia="Calibri" w:hAnsi="Calibri"/>
                <w:sz w:val="20"/>
                <w:szCs w:val="20"/>
              </w:rPr>
              <w:t xml:space="preserve">Risk management for IT networks incorporating medical devices</w:t>
            </w:r>
          </w:p>
        </w:tc>
      </w:tr>
      <w:tr>
        <w:tc>
          <w:tcPr>
            <w:tcW w:type="dxa" w:w="3200"/>
            <w:shd w:fill="FFFFFF" w:val="clear"/>
            <w:tcMar>
              <w:top w:type="dxa" w:w="100"/>
              <w:left w:type="dxa" w:w="120"/>
              <w:bottom w:type="dxa" w:w="100"/>
              <w:right w:type="dxa" w:w="120"/>
            </w:tcMar>
            <w:vAlign w:val="center"/>
          </w:tcPr>
          <w:p>
            <w:r>
              <w:rPr>
                <w:rFonts w:ascii="Calibri" w:cs="Calibri" w:eastAsia="Calibri" w:hAnsi="Calibri"/>
                <w:sz w:val="20"/>
                <w:szCs w:val="20"/>
              </w:rPr>
              <w:t xml:space="preserve">ISO 27001</w:t>
            </w:r>
          </w:p>
        </w:tc>
        <w:tc>
          <w:tcPr>
            <w:tcW w:type="dxa" w:w="6150"/>
            <w:shd w:fill="FFFFFF" w:val="clear"/>
            <w:tcMar>
              <w:top w:type="dxa" w:w="100"/>
              <w:left w:type="dxa" w:w="120"/>
              <w:bottom w:type="dxa" w:w="100"/>
              <w:right w:type="dxa" w:w="120"/>
            </w:tcMar>
            <w:vAlign w:val="center"/>
          </w:tcPr>
          <w:p>
            <w:r>
              <w:rPr>
                <w:rFonts w:ascii="Calibri" w:cs="Calibri" w:eastAsia="Calibri" w:hAnsi="Calibri"/>
                <w:sz w:val="20"/>
                <w:szCs w:val="20"/>
              </w:rPr>
              <w:t xml:space="preserve">Information security management</w:t>
            </w:r>
          </w:p>
        </w:tc>
      </w:tr>
      <w:tr>
        <w:tc>
          <w:tcPr>
            <w:tcW w:type="dxa" w:w="3200"/>
            <w:shd w:fill="EAF1F8" w:val="clear"/>
            <w:tcMar>
              <w:top w:type="dxa" w:w="100"/>
              <w:left w:type="dxa" w:w="120"/>
              <w:bottom w:type="dxa" w:w="100"/>
              <w:right w:type="dxa" w:w="120"/>
            </w:tcMar>
            <w:vAlign w:val="center"/>
          </w:tcPr>
          <w:p>
            <w:r>
              <w:rPr>
                <w:rFonts w:ascii="Calibri" w:cs="Calibri" w:eastAsia="Calibri" w:hAnsi="Calibri"/>
                <w:sz w:val="20"/>
                <w:szCs w:val="20"/>
              </w:rPr>
              <w:t xml:space="preserve">FDA cybersecurity guidance</w:t>
            </w:r>
          </w:p>
        </w:tc>
        <w:tc>
          <w:tcPr>
            <w:tcW w:type="dxa" w:w="6150"/>
            <w:shd w:fill="EAF1F8" w:val="clear"/>
            <w:tcMar>
              <w:top w:type="dxa" w:w="100"/>
              <w:left w:type="dxa" w:w="120"/>
              <w:bottom w:type="dxa" w:w="100"/>
              <w:right w:type="dxa" w:w="120"/>
            </w:tcMar>
            <w:vAlign w:val="center"/>
          </w:tcPr>
          <w:p>
            <w:r>
              <w:rPr>
                <w:rFonts w:ascii="Calibri" w:cs="Calibri" w:eastAsia="Calibri" w:hAnsi="Calibri"/>
                <w:sz w:val="20"/>
                <w:szCs w:val="20"/>
              </w:rPr>
              <w:t xml:space="preserve">Pre-/post-market cybersecurity, patching and vulnerability disclosure</w:t>
            </w:r>
          </w:p>
        </w:tc>
      </w:tr>
    </w:tbl>
    <w:p>
      <w:pPr>
        <w:spacing w:after="150"/>
      </w:pPr>
    </w:p>
    <w:p>
      <w:pPr>
        <w:pStyle w:val="Heading2"/>
        <w:spacing w:after="150" w:before="300"/>
      </w:pPr>
      <w:r>
        <w:rPr>
          <w:rFonts w:ascii="Calibri" w:cs="Calibri" w:eastAsia="Calibri" w:hAnsi="Calibri"/>
          <w:b/>
          <w:bCs/>
          <w:color w:val="1F4E79"/>
          <w:sz w:val="26"/>
          <w:szCs w:val="26"/>
        </w:rPr>
        <w:t xml:space="preserve">Positioning SDPi within a regulatory evidence strategy</w:t>
      </w:r>
    </w:p>
    <w:p>
      <w:pPr>
        <w:spacing w:after="150"/>
      </w:pPr>
      <w:r>
        <w:rPr>
          <w:rFonts w:ascii="Calibri" w:cs="Calibri" w:eastAsia="Calibri" w:hAnsi="Calibri"/>
          <w:sz w:val="22"/>
          <w:szCs w:val="22"/>
        </w:rPr>
        <w:t xml:space="preserve">SDPi conformance and interoperability testing are powerful inputs to your evidence package: they demonstrate disciplined, standards-based interface behaviour. Position them as part of a risk-based, product-specific strategy — combined with your own hazard analysis, clinical evaluation and security case — rather than as the whole story.</w:t>
      </w:r>
    </w:p>
    <w:p>
      <w:pPr>
        <w:spacing w:after="150"/>
      </w:pPr>
      <w:r>
        <w:rPr>
          <w:rFonts w:ascii="Calibri" w:cs="Calibri" w:eastAsia="Calibri" w:hAnsi="Calibri"/>
          <w:sz w:val="22"/>
          <w:szCs w:val="22"/>
        </w:rPr>
        <w:t xml:space="preserve">Two practical habits make this dramatically easier. First, involve the regulatory function early — when use cases and claims are being chosen, not when the evidence package is being assembled — so the claims strategy shapes the engineering work instead of chasing it. Second, capture evidence as you go: test reports, MDIB design rationale, traceability from profile requirements to verification results. Evidence reconstructed at submission time is always weaker, and more expensive, than evidence collected while the work was happening.</w:t>
      </w:r>
    </w:p>
    <w:p>
      <w:pPr>
        <w:pageBreakBefore/>
      </w:pPr>
    </w:p>
    <w:p>
      <w:pPr>
        <w:pStyle w:val="Heading1"/>
        <w:spacing w:after="200" w:before="400"/>
      </w:pPr>
      <w:r>
        <w:rPr>
          <w:rFonts w:ascii="Calibri" w:cs="Calibri" w:eastAsia="Calibri" w:hAnsi="Calibri"/>
          <w:b/>
          <w:bCs/>
          <w:color w:val="1F4E79"/>
          <w:sz w:val="32"/>
          <w:szCs w:val="32"/>
        </w:rPr>
        <w:t xml:space="preserve">Source note</w:t>
      </w:r>
    </w:p>
    <w:p>
      <w:pPr>
        <w:spacing w:after="150"/>
      </w:pPr>
      <w:r>
        <w:rPr>
          <w:rFonts w:ascii="Calibri" w:cs="Calibri" w:eastAsia="Calibri" w:hAnsi="Calibri"/>
          <w:sz w:val="22"/>
          <w:szCs w:val="22"/>
        </w:rPr>
        <w:t xml:space="preserve">This document brings together Modules 1 to 6 of the Caliper SDPi Microlearning series, a Caliper Educational Project contributed by Critical Software and Vector Informatik. Modules 2a, 2b and 5 still have parts of their technical content pending final validation by Vector Informatik (specifically the exact naming of the profiles, the discovery/MDIB detail, and the PAT/CAT/CA testing-stage definitions); the content included here reflects the draft text as prepared by Critical Software.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2026-08-20T11:06:41.749Z</dcterms:created>
  <dcterms:modified xsi:type="dcterms:W3CDTF">2026-08-20T11:06:41.771Z</dcterms:modified>
</cp:coreProperties>
</file>

<file path=docProps/custom.xml><?xml version="1.0" encoding="utf-8"?>
<Properties xmlns="http://schemas.openxmlformats.org/officeDocument/2006/custom-properties" xmlns:vt="http://schemas.openxmlformats.org/officeDocument/2006/docPropsVTypes"/>
</file>