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545C4" w14:textId="77777777" w:rsidR="002C113A" w:rsidRPr="009A74D3" w:rsidRDefault="004B3E62" w:rsidP="00A34FEE">
      <w:pPr>
        <w:pStyle w:val="NoSpacing"/>
        <w:rPr>
          <w:b/>
        </w:rPr>
      </w:pPr>
      <w:bookmarkStart w:id="0" w:name="_GoBack"/>
      <w:bookmarkEnd w:id="0"/>
      <w:r>
        <w:rPr>
          <w:b/>
        </w:rPr>
        <w:t>eCR</w:t>
      </w:r>
      <w:r w:rsidR="002C113A" w:rsidRPr="009A74D3">
        <w:rPr>
          <w:b/>
        </w:rPr>
        <w:t xml:space="preserve"> </w:t>
      </w:r>
      <w:r w:rsidR="009A74D3" w:rsidRPr="009A74D3">
        <w:rPr>
          <w:b/>
        </w:rPr>
        <w:t>E</w:t>
      </w:r>
      <w:r w:rsidR="002C113A" w:rsidRPr="009A74D3">
        <w:rPr>
          <w:b/>
        </w:rPr>
        <w:t xml:space="preserve">xchange </w:t>
      </w:r>
      <w:r w:rsidR="009A74D3" w:rsidRPr="009A74D3">
        <w:rPr>
          <w:b/>
        </w:rPr>
        <w:t>T</w:t>
      </w:r>
      <w:r w:rsidR="002C113A" w:rsidRPr="009A74D3">
        <w:rPr>
          <w:b/>
        </w:rPr>
        <w:t>ransactions</w:t>
      </w:r>
    </w:p>
    <w:p w14:paraId="58123CDB" w14:textId="77777777" w:rsidR="002C113A" w:rsidRDefault="002C113A" w:rsidP="00A34FEE">
      <w:pPr>
        <w:pStyle w:val="NoSpacing"/>
      </w:pPr>
    </w:p>
    <w:p w14:paraId="4EB5706E" w14:textId="4CD21297" w:rsidR="00B118AD" w:rsidRDefault="00B118AD" w:rsidP="00A34FEE">
      <w:pPr>
        <w:pStyle w:val="NoSpacing"/>
      </w:pPr>
      <w:r>
        <w:t>Electronic Case Reporting (eCR)</w:t>
      </w:r>
      <w:r w:rsidR="004A7080">
        <w:t xml:space="preserve"> </w:t>
      </w:r>
      <w:r w:rsidR="004A7080" w:rsidRPr="004A7080">
        <w:t>is</w:t>
      </w:r>
      <w:r w:rsidR="004A7080" w:rsidRPr="004A7080">
        <w:rPr>
          <w:rStyle w:val="A3"/>
          <w:sz w:val="22"/>
          <w:szCs w:val="22"/>
        </w:rPr>
        <w:t xml:space="preserve"> the automated generation and transmission of case reports from the electronic health record (EHR) to public health agencies for review and action. </w:t>
      </w:r>
      <w:r w:rsidR="001965F0">
        <w:rPr>
          <w:rStyle w:val="A3"/>
          <w:sz w:val="22"/>
          <w:szCs w:val="22"/>
        </w:rPr>
        <w:t xml:space="preserve">It </w:t>
      </w:r>
      <w:r>
        <w:t xml:space="preserve">involves the interorganizational exchange of personally identifiable information (PII). </w:t>
      </w:r>
      <w:r w:rsidR="00447594">
        <w:t>It</w:t>
      </w:r>
      <w:r w:rsidR="00485EA8">
        <w:t xml:space="preserve"> can</w:t>
      </w:r>
      <w:r w:rsidR="001965F0">
        <w:t xml:space="preserve"> </w:t>
      </w:r>
      <w:r w:rsidR="00447594">
        <w:t xml:space="preserve">involve exchange between many clinical care sites / EHRs for each Public Health Agency (PHA) or </w:t>
      </w:r>
      <w:r w:rsidR="001965F0">
        <w:t>with</w:t>
      </w:r>
      <w:r w:rsidR="00447594">
        <w:t xml:space="preserve"> one shared services platform as is in use by the Association of Public Health Laboratories (APHL) to support routing and processing for many PHAs. Health Information Exchange organizations (HIEs) can </w:t>
      </w:r>
      <w:r w:rsidR="001965F0">
        <w:t>also,</w:t>
      </w:r>
      <w:r w:rsidR="00485EA8">
        <w:t xml:space="preserve"> </w:t>
      </w:r>
      <w:r w:rsidR="001965F0">
        <w:t xml:space="preserve">at times, </w:t>
      </w:r>
      <w:r w:rsidR="00447594">
        <w:t xml:space="preserve">be involved in these exchanges and are, </w:t>
      </w:r>
      <w:r w:rsidR="00EB0E7F">
        <w:t>in some cases</w:t>
      </w:r>
      <w:r w:rsidR="00447594">
        <w:t xml:space="preserve">, required by law to be used. Health Data Networks (HDNs) like the eHealth Exchange, Carequality, CommonWell, and DirectTrust also may play important roles.  </w:t>
      </w:r>
    </w:p>
    <w:p w14:paraId="21A701C2" w14:textId="77777777" w:rsidR="00B118AD" w:rsidRDefault="00B118AD" w:rsidP="00A34FEE">
      <w:pPr>
        <w:pStyle w:val="NoSpacing"/>
      </w:pPr>
    </w:p>
    <w:p w14:paraId="1EFB2221" w14:textId="77777777" w:rsidR="0014657F" w:rsidRDefault="0014657F" w:rsidP="00A34FEE">
      <w:pPr>
        <w:pStyle w:val="NoSpacing"/>
      </w:pPr>
      <w:r>
        <w:t xml:space="preserve">eCR </w:t>
      </w:r>
      <w:r w:rsidR="00CB3283">
        <w:t xml:space="preserve">conceptually </w:t>
      </w:r>
      <w:r w:rsidR="00F908C8">
        <w:t>includes</w:t>
      </w:r>
      <w:r>
        <w:t xml:space="preserve"> at least four </w:t>
      </w:r>
      <w:r w:rsidR="00447594">
        <w:t xml:space="preserve">interorganizational </w:t>
      </w:r>
      <w:r>
        <w:t>transactions:</w:t>
      </w:r>
    </w:p>
    <w:p w14:paraId="23591DBD" w14:textId="77777777" w:rsidR="0014657F" w:rsidRDefault="0014657F" w:rsidP="0014657F">
      <w:pPr>
        <w:pStyle w:val="NoSpacing"/>
        <w:numPr>
          <w:ilvl w:val="0"/>
          <w:numId w:val="17"/>
        </w:numPr>
      </w:pPr>
      <w:r>
        <w:t xml:space="preserve">The distribution of trigger codes / decision logic </w:t>
      </w:r>
      <w:r w:rsidR="00BF7926">
        <w:t>to</w:t>
      </w:r>
      <w:r>
        <w:t xml:space="preserve"> guiding reporting</w:t>
      </w:r>
    </w:p>
    <w:p w14:paraId="2CD695A8" w14:textId="77777777" w:rsidR="0014657F" w:rsidRDefault="0014657F" w:rsidP="0014657F">
      <w:pPr>
        <w:pStyle w:val="NoSpacing"/>
        <w:numPr>
          <w:ilvl w:val="0"/>
          <w:numId w:val="17"/>
        </w:numPr>
      </w:pPr>
      <w:r>
        <w:t xml:space="preserve">The reporting of electronic Initial Case Report (eICR) data from clinical care to an intermediary or </w:t>
      </w:r>
      <w:r w:rsidR="00F908C8">
        <w:t xml:space="preserve">a </w:t>
      </w:r>
      <w:r>
        <w:t>P</w:t>
      </w:r>
      <w:r w:rsidR="00447594">
        <w:t>HA</w:t>
      </w:r>
    </w:p>
    <w:p w14:paraId="3F381823" w14:textId="77777777" w:rsidR="0014657F" w:rsidRDefault="0014657F" w:rsidP="0014657F">
      <w:pPr>
        <w:pStyle w:val="NoSpacing"/>
        <w:numPr>
          <w:ilvl w:val="0"/>
          <w:numId w:val="17"/>
        </w:numPr>
      </w:pPr>
      <w:r>
        <w:t>The delivery of Reportability Response information back to Providers/Reporters and/or EHR System Administrators</w:t>
      </w:r>
    </w:p>
    <w:p w14:paraId="6602C2D7" w14:textId="321FFAF4" w:rsidR="0014657F" w:rsidRDefault="0014657F" w:rsidP="0014657F">
      <w:pPr>
        <w:pStyle w:val="NoSpacing"/>
        <w:numPr>
          <w:ilvl w:val="0"/>
          <w:numId w:val="17"/>
        </w:numPr>
      </w:pPr>
      <w:r>
        <w:t xml:space="preserve">The </w:t>
      </w:r>
      <w:r w:rsidR="00EB0E7F">
        <w:t>capture</w:t>
      </w:r>
      <w:r>
        <w:t xml:space="preserve"> of supplemental case reporting </w:t>
      </w:r>
      <w:r w:rsidR="00CB3283">
        <w:t xml:space="preserve">/ investigation </w:t>
      </w:r>
      <w:r>
        <w:t xml:space="preserve">information </w:t>
      </w:r>
    </w:p>
    <w:p w14:paraId="12F9A0ED" w14:textId="77777777" w:rsidR="00CB3283" w:rsidRDefault="00CB3283" w:rsidP="00A34FEE">
      <w:pPr>
        <w:pStyle w:val="NoSpacing"/>
      </w:pPr>
    </w:p>
    <w:p w14:paraId="0D9F7061" w14:textId="77777777" w:rsidR="00CB3283" w:rsidRDefault="00CB3283" w:rsidP="00A34FEE">
      <w:pPr>
        <w:pStyle w:val="NoSpacing"/>
      </w:pPr>
      <w:r>
        <w:t>Transaction #4 is the least mature in this guide, but should be considered in respect to potential transactions and transaction security related issues.</w:t>
      </w:r>
    </w:p>
    <w:p w14:paraId="38A6E945" w14:textId="77777777" w:rsidR="00CB3283" w:rsidRDefault="00CB3283" w:rsidP="00A34FEE">
      <w:pPr>
        <w:pStyle w:val="NoSpacing"/>
      </w:pPr>
    </w:p>
    <w:p w14:paraId="764FC019" w14:textId="77777777" w:rsidR="002C113A" w:rsidRPr="00695E4D" w:rsidRDefault="008E1578" w:rsidP="00DB4DE8">
      <w:pPr>
        <w:pStyle w:val="NoSpacing"/>
        <w:outlineLvl w:val="0"/>
        <w:rPr>
          <w:b/>
        </w:rPr>
      </w:pPr>
      <w:r>
        <w:rPr>
          <w:b/>
        </w:rPr>
        <w:t>Requirements</w:t>
      </w:r>
    </w:p>
    <w:p w14:paraId="6C897C96" w14:textId="08E6F14A" w:rsidR="00F908C8" w:rsidRDefault="00F908C8" w:rsidP="00341251">
      <w:pPr>
        <w:pStyle w:val="NoSpacing"/>
        <w:numPr>
          <w:ilvl w:val="0"/>
          <w:numId w:val="11"/>
        </w:numPr>
        <w:spacing w:after="240"/>
      </w:pPr>
      <w:r>
        <w:t xml:space="preserve">Transaction #1 involves the delivery of publicly available, non-sensitive information.  Whether it is the download of a </w:t>
      </w:r>
      <w:r w:rsidR="00CB3283">
        <w:t xml:space="preserve">trigger code </w:t>
      </w:r>
      <w:r>
        <w:t>spreadsheet</w:t>
      </w:r>
      <w:r w:rsidR="00E42F8B">
        <w:t xml:space="preserve"> (available on PHIN VADS)</w:t>
      </w:r>
      <w:r>
        <w:t xml:space="preserve"> or the multi-channel</w:t>
      </w:r>
      <w:r w:rsidR="00E42F8B">
        <w:t xml:space="preserve"> (SMS, email, RESTful download, etc.) </w:t>
      </w:r>
      <w:r>
        <w:t xml:space="preserve"> </w:t>
      </w:r>
      <w:r w:rsidR="00CB3283">
        <w:t xml:space="preserve">trigger / decision rule </w:t>
      </w:r>
      <w:r>
        <w:t xml:space="preserve">distribution possibilities of a FHIR </w:t>
      </w:r>
      <w:r w:rsidR="00E42F8B">
        <w:t xml:space="preserve">value set </w:t>
      </w:r>
      <w:r>
        <w:t>subscription service, it</w:t>
      </w:r>
      <w:r w:rsidR="00CB3283">
        <w:t xml:space="preserve"> is</w:t>
      </w:r>
      <w:r>
        <w:t xml:space="preserve"> desirable to </w:t>
      </w:r>
      <w:r w:rsidR="00CB3283">
        <w:t>have</w:t>
      </w:r>
      <w:r>
        <w:t xml:space="preserve"> user</w:t>
      </w:r>
      <w:r w:rsidR="00E42F8B">
        <w:t>’s</w:t>
      </w:r>
      <w:r>
        <w:t xml:space="preserve"> identity for subscription communication purposes, but extensive security to protect the data</w:t>
      </w:r>
      <w:r w:rsidR="00BF7926">
        <w:t xml:space="preserve"> themselves</w:t>
      </w:r>
      <w:r>
        <w:t xml:space="preserve"> is not necessary.</w:t>
      </w:r>
    </w:p>
    <w:p w14:paraId="717D69EB" w14:textId="6D9810DF" w:rsidR="00BF7926" w:rsidRDefault="00F21937" w:rsidP="00341251">
      <w:pPr>
        <w:pStyle w:val="NoSpacing"/>
        <w:numPr>
          <w:ilvl w:val="0"/>
          <w:numId w:val="11"/>
        </w:numPr>
        <w:spacing w:after="240"/>
      </w:pPr>
      <w:r>
        <w:t xml:space="preserve">The implementation of existing CDA transactions (the eICR and Reportability Response) </w:t>
      </w:r>
      <w:r w:rsidR="00CB3283">
        <w:t xml:space="preserve">can be </w:t>
      </w:r>
      <w:r>
        <w:t xml:space="preserve">supported by </w:t>
      </w:r>
      <w:r w:rsidR="00C04B1D">
        <w:t>secure</w:t>
      </w:r>
      <w:r>
        <w:t xml:space="preserve"> store</w:t>
      </w:r>
      <w:r w:rsidR="00CB3283">
        <w:t>-</w:t>
      </w:r>
      <w:r>
        <w:t>and</w:t>
      </w:r>
      <w:r w:rsidR="00CB3283">
        <w:t>-</w:t>
      </w:r>
      <w:r>
        <w:t>forward</w:t>
      </w:r>
      <w:r w:rsidR="00CB3283">
        <w:t xml:space="preserve">, </w:t>
      </w:r>
      <w:r>
        <w:t>push</w:t>
      </w:r>
      <w:r w:rsidR="00CB3283">
        <w:t>, and other exchange</w:t>
      </w:r>
      <w:r>
        <w:t xml:space="preserve"> technologies. For these transactions</w:t>
      </w:r>
      <w:r w:rsidR="00BF7926">
        <w:t>,</w:t>
      </w:r>
      <w:r>
        <w:t xml:space="preserve"> they </w:t>
      </w:r>
      <w:r w:rsidR="0039628C">
        <w:t xml:space="preserve">could be </w:t>
      </w:r>
      <w:r>
        <w:t>point</w:t>
      </w:r>
      <w:r w:rsidR="006D52AD">
        <w:t>-</w:t>
      </w:r>
      <w:r>
        <w:t>to</w:t>
      </w:r>
      <w:r w:rsidR="006D52AD">
        <w:t>-</w:t>
      </w:r>
      <w:r>
        <w:t xml:space="preserve">point, </w:t>
      </w:r>
      <w:r w:rsidR="0039628C">
        <w:t xml:space="preserve">could </w:t>
      </w:r>
      <w:r>
        <w:t xml:space="preserve">use </w:t>
      </w:r>
      <w:r w:rsidR="00447594">
        <w:t xml:space="preserve">an </w:t>
      </w:r>
      <w:r>
        <w:t>HIE</w:t>
      </w:r>
      <w:r w:rsidR="00C04B1D">
        <w:t>,</w:t>
      </w:r>
      <w:r>
        <w:t xml:space="preserve"> and </w:t>
      </w:r>
      <w:r w:rsidR="0039628C">
        <w:t xml:space="preserve">could use </w:t>
      </w:r>
      <w:r w:rsidR="00447594">
        <w:t>an HDN</w:t>
      </w:r>
      <w:r>
        <w:t>.</w:t>
      </w:r>
    </w:p>
    <w:p w14:paraId="1FDCBDDB" w14:textId="64130E18" w:rsidR="00AF469D" w:rsidRDefault="003F79A6" w:rsidP="00854ED7">
      <w:pPr>
        <w:pStyle w:val="NoSpacing"/>
        <w:numPr>
          <w:ilvl w:val="0"/>
          <w:numId w:val="11"/>
        </w:numPr>
        <w:spacing w:after="240"/>
      </w:pPr>
      <w:r>
        <w:t xml:space="preserve">The data included in the eICR </w:t>
      </w:r>
      <w:r w:rsidR="00AF469D">
        <w:t>were identified by</w:t>
      </w:r>
      <w:r>
        <w:t xml:space="preserve"> </w:t>
      </w:r>
      <w:r w:rsidR="00AF469D">
        <w:t>the</w:t>
      </w:r>
      <w:r>
        <w:t xml:space="preserve"> Council of State and Territorial Epidemiologist</w:t>
      </w:r>
      <w:r w:rsidR="00AF469D">
        <w:t>s</w:t>
      </w:r>
      <w:r w:rsidR="003A100C">
        <w:t xml:space="preserve"> (CSTE)</w:t>
      </w:r>
      <w:r>
        <w:t xml:space="preserve"> </w:t>
      </w:r>
      <w:r w:rsidR="0039628C">
        <w:t xml:space="preserve">electronic </w:t>
      </w:r>
      <w:r w:rsidR="0023071A">
        <w:t>I</w:t>
      </w:r>
      <w:r w:rsidR="0039628C">
        <w:t xml:space="preserve">nitial </w:t>
      </w:r>
      <w:r w:rsidR="0023071A">
        <w:t>C</w:t>
      </w:r>
      <w:r w:rsidR="0039628C">
        <w:t xml:space="preserve">ase </w:t>
      </w:r>
      <w:r w:rsidR="0023071A">
        <w:t>R</w:t>
      </w:r>
      <w:r w:rsidR="0039628C">
        <w:t xml:space="preserve">eport </w:t>
      </w:r>
      <w:r>
        <w:t xml:space="preserve">Task Force. These data </w:t>
      </w:r>
      <w:r w:rsidR="00AF469D">
        <w:t xml:space="preserve">represent a HIPAA designated “minimum necessary” data set to carry out the needs of electronic case reporting. In this implementation guide the data are </w:t>
      </w:r>
      <w:r>
        <w:t xml:space="preserve">represented </w:t>
      </w:r>
      <w:r w:rsidR="00AF469D">
        <w:t xml:space="preserve">using </w:t>
      </w:r>
      <w:r w:rsidR="00C32F61">
        <w:t>a</w:t>
      </w:r>
      <w:r w:rsidR="00AF469D">
        <w:t xml:space="preserve"> F</w:t>
      </w:r>
      <w:r>
        <w:t xml:space="preserve">HIR Composition </w:t>
      </w:r>
      <w:r w:rsidR="00AF469D">
        <w:t>resource</w:t>
      </w:r>
      <w:r w:rsidR="00854ED7">
        <w:t xml:space="preserve"> and in the final IG they will </w:t>
      </w:r>
      <w:r w:rsidR="00C32F61">
        <w:t xml:space="preserve">also </w:t>
      </w:r>
      <w:r w:rsidR="00854ED7">
        <w:t>be bundled in</w:t>
      </w:r>
      <w:r w:rsidR="00C32F61">
        <w:t>to</w:t>
      </w:r>
      <w:r w:rsidR="00854ED7">
        <w:t xml:space="preserve"> the FHIR document paradigm. </w:t>
      </w:r>
      <w:r w:rsidR="00AF469D">
        <w:t xml:space="preserve"> </w:t>
      </w:r>
    </w:p>
    <w:p w14:paraId="2D06C290" w14:textId="01916F24" w:rsidR="00833B03" w:rsidRDefault="002C113A" w:rsidP="00341251">
      <w:pPr>
        <w:pStyle w:val="NoSpacing"/>
        <w:numPr>
          <w:ilvl w:val="0"/>
          <w:numId w:val="11"/>
        </w:numPr>
        <w:spacing w:after="240"/>
      </w:pPr>
      <w:r>
        <w:t xml:space="preserve">Standards solutions should </w:t>
      </w:r>
      <w:r w:rsidR="00C211F5">
        <w:t>support</w:t>
      </w:r>
      <w:r>
        <w:t xml:space="preserve"> the secure connection of multiple clinical care sites / EHRs to a shared services platform and/or individual PHAs. While security levels for PHAs vary at times, the shared platform generally seeks to meet FISMA</w:t>
      </w:r>
      <w:r w:rsidR="00BF7926">
        <w:t>-</w:t>
      </w:r>
      <w:r>
        <w:t xml:space="preserve">level security expectations with </w:t>
      </w:r>
      <w:r w:rsidR="00BF7926">
        <w:t xml:space="preserve">its </w:t>
      </w:r>
      <w:r>
        <w:t>trading partners.</w:t>
      </w:r>
    </w:p>
    <w:p w14:paraId="7762E90C" w14:textId="6696DE3D" w:rsidR="00CB3283" w:rsidRDefault="00CB3283" w:rsidP="00341251">
      <w:pPr>
        <w:pStyle w:val="NoSpacing"/>
        <w:numPr>
          <w:ilvl w:val="0"/>
          <w:numId w:val="11"/>
        </w:numPr>
        <w:spacing w:after="240"/>
      </w:pPr>
      <w:r>
        <w:lastRenderedPageBreak/>
        <w:t>The eICR being sent from clinical care to public health and the Reportability Response that goes back to clinical care both contain</w:t>
      </w:r>
      <w:r w:rsidR="003A100C">
        <w:t xml:space="preserve"> Personally Identifiable Information (</w:t>
      </w:r>
      <w:r>
        <w:t>PII</w:t>
      </w:r>
      <w:r w:rsidR="003A100C">
        <w:t>)</w:t>
      </w:r>
      <w:r>
        <w:t xml:space="preserve"> and need to be exchanged with very robust security considerations. </w:t>
      </w:r>
    </w:p>
    <w:p w14:paraId="2893704A" w14:textId="6500FBDE" w:rsidR="002C113A" w:rsidRDefault="001144F0" w:rsidP="00341251">
      <w:pPr>
        <w:pStyle w:val="ListParagraph"/>
        <w:numPr>
          <w:ilvl w:val="0"/>
          <w:numId w:val="11"/>
        </w:numPr>
        <w:spacing w:after="240"/>
      </w:pPr>
      <w:r>
        <w:t>The s</w:t>
      </w:r>
      <w:r w:rsidR="002C113A">
        <w:t>upplemental</w:t>
      </w:r>
      <w:r>
        <w:t xml:space="preserve"> </w:t>
      </w:r>
      <w:r w:rsidR="002C113A">
        <w:t>d</w:t>
      </w:r>
      <w:r w:rsidR="00833B03">
        <w:t>ata</w:t>
      </w:r>
      <w:r>
        <w:t xml:space="preserve"> in transaction #4 are</w:t>
      </w:r>
      <w:r w:rsidR="00BF7926">
        <w:t xml:space="preserve"> typically are not found in EHRs as </w:t>
      </w:r>
      <w:r w:rsidR="0039628C">
        <w:t>part</w:t>
      </w:r>
      <w:r w:rsidR="00BF7926">
        <w:t xml:space="preserve"> of care. As such they may be </w:t>
      </w:r>
      <w:r w:rsidR="00AC798C">
        <w:t xml:space="preserve">supplemental data manually entered </w:t>
      </w:r>
      <w:r w:rsidR="00BF7926">
        <w:t>into web forms though standards like IHE RFD / HL7 SDC.</w:t>
      </w:r>
      <w:r w:rsidR="00CB3283">
        <w:t xml:space="preserve"> W</w:t>
      </w:r>
      <w:r w:rsidR="00BF7926">
        <w:t xml:space="preserve">hile the eICR and the Reportability Response may pass </w:t>
      </w:r>
      <w:r w:rsidR="0023071A">
        <w:t>through</w:t>
      </w:r>
      <w:r w:rsidR="00BF7926">
        <w:t xml:space="preserve"> intermediaries</w:t>
      </w:r>
      <w:r w:rsidR="0039628C">
        <w:t>,</w:t>
      </w:r>
      <w:r w:rsidR="00BF7926">
        <w:t xml:space="preserve"> </w:t>
      </w:r>
      <w:r w:rsidR="0039628C">
        <w:t>s</w:t>
      </w:r>
      <w:r w:rsidR="00BF7926">
        <w:t>upplemental data are more likely to be manifest in a point-to-point solution.</w:t>
      </w:r>
      <w:r w:rsidR="00CB3283">
        <w:t xml:space="preserve"> </w:t>
      </w:r>
      <w:r w:rsidR="000171AA">
        <w:t xml:space="preserve">Some PHAs consider the posting of a web form not </w:t>
      </w:r>
      <w:r w:rsidR="007D52FB">
        <w:t xml:space="preserve">to </w:t>
      </w:r>
      <w:r w:rsidR="000171AA">
        <w:t>need extensive transport security.</w:t>
      </w:r>
    </w:p>
    <w:p w14:paraId="3B479555" w14:textId="77777777" w:rsidR="002C113A" w:rsidRDefault="002C113A" w:rsidP="00A34FEE">
      <w:pPr>
        <w:pStyle w:val="NoSpacing"/>
      </w:pPr>
    </w:p>
    <w:p w14:paraId="4438BE89" w14:textId="77777777" w:rsidR="00695E4D" w:rsidRPr="00695E4D" w:rsidRDefault="00695E4D" w:rsidP="00DB4DE8">
      <w:pPr>
        <w:pStyle w:val="NoSpacing"/>
        <w:outlineLvl w:val="0"/>
        <w:rPr>
          <w:b/>
        </w:rPr>
      </w:pPr>
      <w:r w:rsidRPr="00695E4D">
        <w:rPr>
          <w:b/>
        </w:rPr>
        <w:t>Questions</w:t>
      </w:r>
    </w:p>
    <w:p w14:paraId="4FF273BF" w14:textId="61CE27A4" w:rsidR="008801E6" w:rsidRDefault="00BF7926" w:rsidP="008801E6">
      <w:pPr>
        <w:pStyle w:val="NoSpacing"/>
        <w:numPr>
          <w:ilvl w:val="0"/>
          <w:numId w:val="12"/>
        </w:numPr>
        <w:spacing w:after="240"/>
      </w:pPr>
      <w:r>
        <w:t xml:space="preserve">We believe that </w:t>
      </w:r>
      <w:r w:rsidR="00062041">
        <w:t>several different</w:t>
      </w:r>
      <w:r>
        <w:t xml:space="preserve"> interorganizational exchange methodologies will be supported with FHIR as well as CDA. As such, while RESTful </w:t>
      </w:r>
      <w:r w:rsidR="00062041">
        <w:t xml:space="preserve">transactions should </w:t>
      </w:r>
      <w:r w:rsidR="00341251">
        <w:t>be supported, the</w:t>
      </w:r>
      <w:r w:rsidR="0034358A">
        <w:t xml:space="preserve"> eICR and Reportability Response</w:t>
      </w:r>
      <w:r w:rsidR="00341251">
        <w:t xml:space="preserve"> FHIR data specifications should be loosely coupled to transport standards</w:t>
      </w:r>
      <w:r w:rsidR="0034358A">
        <w:t xml:space="preserve"> for some time</w:t>
      </w:r>
      <w:r w:rsidR="00341251">
        <w:t>. Are you aware of examples of external organizations, like PHAs, performing RESTful queries</w:t>
      </w:r>
      <w:r w:rsidR="0034358A">
        <w:t xml:space="preserve"> into</w:t>
      </w:r>
      <w:r w:rsidR="00341251">
        <w:t xml:space="preserve"> EHRs or other clinical care</w:t>
      </w:r>
      <w:r w:rsidR="00E70758">
        <w:t xml:space="preserve"> server</w:t>
      </w:r>
      <w:r w:rsidR="00341251">
        <w:t xml:space="preserve"> systems</w:t>
      </w:r>
      <w:r w:rsidR="0034358A">
        <w:t xml:space="preserve"> on a regular basis</w:t>
      </w:r>
      <w:r w:rsidR="00341251">
        <w:t>?</w:t>
      </w:r>
      <w:r w:rsidR="0034358A">
        <w:t xml:space="preserve"> If so, what </w:t>
      </w:r>
      <w:r w:rsidR="00E70758">
        <w:t xml:space="preserve">is the context and what </w:t>
      </w:r>
      <w:r w:rsidR="0034358A">
        <w:t>type of security is used?</w:t>
      </w:r>
    </w:p>
    <w:p w14:paraId="234F4865" w14:textId="77777777" w:rsidR="004845B5" w:rsidRDefault="004845B5" w:rsidP="008801E6">
      <w:pPr>
        <w:pStyle w:val="NoSpacing"/>
        <w:numPr>
          <w:ilvl w:val="0"/>
          <w:numId w:val="12"/>
        </w:numPr>
        <w:spacing w:after="240"/>
      </w:pPr>
      <w:r>
        <w:t xml:space="preserve">Aside from RESTful </w:t>
      </w:r>
      <w:r w:rsidR="003B4F5D">
        <w:t>GET</w:t>
      </w:r>
      <w:r>
        <w:t xml:space="preserve"> (potentially in both directions) and </w:t>
      </w:r>
      <w:r w:rsidRPr="003B4F5D">
        <w:t xml:space="preserve">RESTful </w:t>
      </w:r>
      <w:r w:rsidR="003B4F5D">
        <w:t>POST/PUT</w:t>
      </w:r>
      <w:r>
        <w:t>, what transactions are you planning on supporting for interorganizational exchange with FHIR infrastructure?</w:t>
      </w:r>
    </w:p>
    <w:p w14:paraId="339914A6" w14:textId="1C7461C5" w:rsidR="00AC1215" w:rsidRDefault="008801E6" w:rsidP="00E70758">
      <w:pPr>
        <w:pStyle w:val="NoSpacing"/>
        <w:numPr>
          <w:ilvl w:val="0"/>
          <w:numId w:val="12"/>
        </w:numPr>
        <w:spacing w:after="240"/>
      </w:pPr>
      <w:r>
        <w:t xml:space="preserve">If you </w:t>
      </w:r>
      <w:r w:rsidR="007D52FB">
        <w:t xml:space="preserve">work with </w:t>
      </w:r>
      <w:r>
        <w:t>Federal IT</w:t>
      </w:r>
      <w:r w:rsidR="007D52FB">
        <w:t xml:space="preserve"> system</w:t>
      </w:r>
      <w:r w:rsidR="001144F0">
        <w:t>s</w:t>
      </w:r>
      <w:r>
        <w:t>, do</w:t>
      </w:r>
      <w:r w:rsidR="006D2A70">
        <w:t xml:space="preserve"> you </w:t>
      </w:r>
      <w:r>
        <w:t>believe that OpenID and O</w:t>
      </w:r>
      <w:r w:rsidR="003B4F5D">
        <w:t>A</w:t>
      </w:r>
      <w:r>
        <w:t>uth</w:t>
      </w:r>
      <w:r w:rsidR="003B4F5D">
        <w:t xml:space="preserve"> </w:t>
      </w:r>
      <w:r>
        <w:t xml:space="preserve">2 would pass </w:t>
      </w:r>
      <w:r w:rsidR="007D52FB">
        <w:t>Certification and Accreditation</w:t>
      </w:r>
      <w:r w:rsidR="001144F0">
        <w:t xml:space="preserve"> </w:t>
      </w:r>
      <w:r w:rsidR="00B17689">
        <w:t>/</w:t>
      </w:r>
      <w:r w:rsidR="001144F0">
        <w:t xml:space="preserve"> Security Assessment and </w:t>
      </w:r>
      <w:r w:rsidR="006758BD">
        <w:t>Authorization,</w:t>
      </w:r>
      <w:r w:rsidR="001144F0">
        <w:t xml:space="preserve"> </w:t>
      </w:r>
      <w:r>
        <w:t xml:space="preserve">and would </w:t>
      </w:r>
      <w:r w:rsidR="007D52FB">
        <w:t xml:space="preserve">it </w:t>
      </w:r>
      <w:r>
        <w:t>be found to be FISMA compliant? Are there other standards you would recommend</w:t>
      </w:r>
      <w:r w:rsidR="00B17689">
        <w:t xml:space="preserve"> that would be better</w:t>
      </w:r>
      <w:r>
        <w:t>?</w:t>
      </w:r>
    </w:p>
    <w:p w14:paraId="3D9AC745" w14:textId="155F3A21" w:rsidR="004845B5" w:rsidRDefault="00331D09" w:rsidP="00A34FEE">
      <w:pPr>
        <w:pStyle w:val="NoSpacing"/>
        <w:numPr>
          <w:ilvl w:val="0"/>
          <w:numId w:val="12"/>
        </w:numPr>
        <w:spacing w:after="240"/>
      </w:pPr>
      <w:r>
        <w:t>Are there current FISMA compliant security technologies that can be applied at nationwide or State-wide levels that do not require mutual TLS</w:t>
      </w:r>
      <w:r w:rsidR="00AC1215">
        <w:t xml:space="preserve">, </w:t>
      </w:r>
      <w:r w:rsidR="00E714A6">
        <w:t xml:space="preserve">managed directories of providers / clinical care sites, </w:t>
      </w:r>
      <w:r w:rsidR="00820E9C">
        <w:t xml:space="preserve">and / </w:t>
      </w:r>
      <w:r w:rsidR="008801E6">
        <w:t xml:space="preserve">or </w:t>
      </w:r>
      <w:r w:rsidR="00E714A6">
        <w:t>digital client certificates</w:t>
      </w:r>
      <w:r w:rsidR="00820E9C">
        <w:t xml:space="preserve"> for the interorganizational exchange of PII</w:t>
      </w:r>
      <w:r w:rsidR="00E714A6">
        <w:t>?</w:t>
      </w:r>
    </w:p>
    <w:p w14:paraId="0145B273" w14:textId="77777777" w:rsidR="00062041" w:rsidRDefault="00062041" w:rsidP="00062041">
      <w:pPr>
        <w:pStyle w:val="NoSpacing"/>
        <w:spacing w:after="240"/>
      </w:pPr>
    </w:p>
    <w:p w14:paraId="09477D19" w14:textId="77777777" w:rsidR="00A34FEE" w:rsidRDefault="00A34FEE" w:rsidP="00A34FEE"/>
    <w:sectPr w:rsidR="00A3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F7652" w14:textId="77777777" w:rsidR="004002FB" w:rsidRDefault="004002FB" w:rsidP="00175ECD">
      <w:pPr>
        <w:spacing w:after="0" w:line="240" w:lineRule="auto"/>
      </w:pPr>
      <w:r>
        <w:separator/>
      </w:r>
    </w:p>
  </w:endnote>
  <w:endnote w:type="continuationSeparator" w:id="0">
    <w:p w14:paraId="1F312705" w14:textId="77777777" w:rsidR="004002FB" w:rsidRDefault="004002FB" w:rsidP="00175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7A6F2" w14:textId="77777777" w:rsidR="004002FB" w:rsidRDefault="004002FB" w:rsidP="00175ECD">
      <w:pPr>
        <w:spacing w:after="0" w:line="240" w:lineRule="auto"/>
      </w:pPr>
      <w:r>
        <w:separator/>
      </w:r>
    </w:p>
  </w:footnote>
  <w:footnote w:type="continuationSeparator" w:id="0">
    <w:p w14:paraId="7E5009B7" w14:textId="77777777" w:rsidR="004002FB" w:rsidRDefault="004002FB" w:rsidP="00175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10E2"/>
    <w:multiLevelType w:val="hybridMultilevel"/>
    <w:tmpl w:val="AEFA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C1C18"/>
    <w:multiLevelType w:val="hybridMultilevel"/>
    <w:tmpl w:val="8B942962"/>
    <w:lvl w:ilvl="0" w:tplc="B5225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D69DC"/>
    <w:multiLevelType w:val="hybridMultilevel"/>
    <w:tmpl w:val="C8EA51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E3DFC"/>
    <w:multiLevelType w:val="hybridMultilevel"/>
    <w:tmpl w:val="DC822BC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5B5748"/>
    <w:multiLevelType w:val="hybridMultilevel"/>
    <w:tmpl w:val="37541D48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5">
    <w:nsid w:val="25D7738E"/>
    <w:multiLevelType w:val="hybridMultilevel"/>
    <w:tmpl w:val="C4684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C4C6A"/>
    <w:multiLevelType w:val="hybridMultilevel"/>
    <w:tmpl w:val="A8927600"/>
    <w:lvl w:ilvl="0" w:tplc="B5225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17943"/>
    <w:multiLevelType w:val="hybridMultilevel"/>
    <w:tmpl w:val="E40C5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FF4141"/>
    <w:multiLevelType w:val="hybridMultilevel"/>
    <w:tmpl w:val="19D8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942585"/>
    <w:multiLevelType w:val="hybridMultilevel"/>
    <w:tmpl w:val="1BBA33AE"/>
    <w:lvl w:ilvl="0" w:tplc="B5225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B87DCB"/>
    <w:multiLevelType w:val="hybridMultilevel"/>
    <w:tmpl w:val="48683F96"/>
    <w:lvl w:ilvl="0" w:tplc="B52251B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0078B9"/>
    <w:multiLevelType w:val="hybridMultilevel"/>
    <w:tmpl w:val="CF160998"/>
    <w:lvl w:ilvl="0" w:tplc="B5225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FE502E"/>
    <w:multiLevelType w:val="hybridMultilevel"/>
    <w:tmpl w:val="8646A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323243"/>
    <w:multiLevelType w:val="hybridMultilevel"/>
    <w:tmpl w:val="CB7872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500778"/>
    <w:multiLevelType w:val="hybridMultilevel"/>
    <w:tmpl w:val="49B894EA"/>
    <w:lvl w:ilvl="0" w:tplc="B5225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F42BD2"/>
    <w:multiLevelType w:val="hybridMultilevel"/>
    <w:tmpl w:val="AAD6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CC416B"/>
    <w:multiLevelType w:val="hybridMultilevel"/>
    <w:tmpl w:val="CB5E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5"/>
  </w:num>
  <w:num w:numId="5">
    <w:abstractNumId w:val="11"/>
  </w:num>
  <w:num w:numId="6">
    <w:abstractNumId w:val="7"/>
  </w:num>
  <w:num w:numId="7">
    <w:abstractNumId w:val="3"/>
  </w:num>
  <w:num w:numId="8">
    <w:abstractNumId w:val="6"/>
  </w:num>
  <w:num w:numId="9">
    <w:abstractNumId w:val="4"/>
  </w:num>
  <w:num w:numId="10">
    <w:abstractNumId w:val="10"/>
  </w:num>
  <w:num w:numId="11">
    <w:abstractNumId w:val="16"/>
  </w:num>
  <w:num w:numId="12">
    <w:abstractNumId w:val="13"/>
  </w:num>
  <w:num w:numId="13">
    <w:abstractNumId w:val="0"/>
  </w:num>
  <w:num w:numId="14">
    <w:abstractNumId w:val="8"/>
  </w:num>
  <w:num w:numId="15">
    <w:abstractNumId w:val="12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1NzOxNDU3MDcwNDBS0lEKTi0uzszPAykwtKwFAB9ILa8tAAAA"/>
  </w:docVars>
  <w:rsids>
    <w:rsidRoot w:val="0087515F"/>
    <w:rsid w:val="000064BC"/>
    <w:rsid w:val="000171AA"/>
    <w:rsid w:val="000248C1"/>
    <w:rsid w:val="000510AD"/>
    <w:rsid w:val="00062041"/>
    <w:rsid w:val="00066EAB"/>
    <w:rsid w:val="000857D0"/>
    <w:rsid w:val="00091197"/>
    <w:rsid w:val="00092453"/>
    <w:rsid w:val="000B1A52"/>
    <w:rsid w:val="000B793C"/>
    <w:rsid w:val="000E4536"/>
    <w:rsid w:val="000E5F6F"/>
    <w:rsid w:val="001144F0"/>
    <w:rsid w:val="00130D3B"/>
    <w:rsid w:val="00142461"/>
    <w:rsid w:val="0014657F"/>
    <w:rsid w:val="00171EDC"/>
    <w:rsid w:val="00175ECD"/>
    <w:rsid w:val="001846DB"/>
    <w:rsid w:val="00191C63"/>
    <w:rsid w:val="001965F0"/>
    <w:rsid w:val="001E0C23"/>
    <w:rsid w:val="00210E86"/>
    <w:rsid w:val="0023071A"/>
    <w:rsid w:val="00256F9B"/>
    <w:rsid w:val="00270138"/>
    <w:rsid w:val="002C113A"/>
    <w:rsid w:val="002D296C"/>
    <w:rsid w:val="002D3B35"/>
    <w:rsid w:val="002D6160"/>
    <w:rsid w:val="002E0FA2"/>
    <w:rsid w:val="002E3E45"/>
    <w:rsid w:val="002F11DA"/>
    <w:rsid w:val="002F40A9"/>
    <w:rsid w:val="00317F07"/>
    <w:rsid w:val="00327621"/>
    <w:rsid w:val="00331D09"/>
    <w:rsid w:val="00341251"/>
    <w:rsid w:val="0034358A"/>
    <w:rsid w:val="00362E41"/>
    <w:rsid w:val="00364AF3"/>
    <w:rsid w:val="003651FD"/>
    <w:rsid w:val="0039628C"/>
    <w:rsid w:val="003A100C"/>
    <w:rsid w:val="003B4F5D"/>
    <w:rsid w:val="003D7841"/>
    <w:rsid w:val="003F4A07"/>
    <w:rsid w:val="003F79A6"/>
    <w:rsid w:val="004002FB"/>
    <w:rsid w:val="00401CAE"/>
    <w:rsid w:val="0042683E"/>
    <w:rsid w:val="00441DEA"/>
    <w:rsid w:val="00447594"/>
    <w:rsid w:val="004845B5"/>
    <w:rsid w:val="00485EA8"/>
    <w:rsid w:val="0049016C"/>
    <w:rsid w:val="004A7080"/>
    <w:rsid w:val="004B3E62"/>
    <w:rsid w:val="00524ABE"/>
    <w:rsid w:val="0055047F"/>
    <w:rsid w:val="005B1701"/>
    <w:rsid w:val="005B7218"/>
    <w:rsid w:val="005C18D4"/>
    <w:rsid w:val="005C581F"/>
    <w:rsid w:val="005D2BD9"/>
    <w:rsid w:val="005E2935"/>
    <w:rsid w:val="005E43A0"/>
    <w:rsid w:val="005F062C"/>
    <w:rsid w:val="005F7B30"/>
    <w:rsid w:val="00640DD7"/>
    <w:rsid w:val="0066263A"/>
    <w:rsid w:val="006758BD"/>
    <w:rsid w:val="006844D6"/>
    <w:rsid w:val="00695E4D"/>
    <w:rsid w:val="006A76FF"/>
    <w:rsid w:val="006B01E1"/>
    <w:rsid w:val="006B652D"/>
    <w:rsid w:val="006D2A70"/>
    <w:rsid w:val="006D52AD"/>
    <w:rsid w:val="006D7A8A"/>
    <w:rsid w:val="006F5002"/>
    <w:rsid w:val="00701389"/>
    <w:rsid w:val="00715387"/>
    <w:rsid w:val="007156E7"/>
    <w:rsid w:val="00763D3D"/>
    <w:rsid w:val="0077036F"/>
    <w:rsid w:val="00793616"/>
    <w:rsid w:val="007D52FB"/>
    <w:rsid w:val="00812C2B"/>
    <w:rsid w:val="00814E1C"/>
    <w:rsid w:val="00820E9C"/>
    <w:rsid w:val="008274EF"/>
    <w:rsid w:val="00833B03"/>
    <w:rsid w:val="00854ED7"/>
    <w:rsid w:val="00857B59"/>
    <w:rsid w:val="00861F9B"/>
    <w:rsid w:val="0087515F"/>
    <w:rsid w:val="008801E6"/>
    <w:rsid w:val="008811E6"/>
    <w:rsid w:val="00884E38"/>
    <w:rsid w:val="0089708C"/>
    <w:rsid w:val="008A3CD5"/>
    <w:rsid w:val="008E1578"/>
    <w:rsid w:val="008F3CA8"/>
    <w:rsid w:val="00900FAB"/>
    <w:rsid w:val="00917BC3"/>
    <w:rsid w:val="00925EB9"/>
    <w:rsid w:val="009377B4"/>
    <w:rsid w:val="00970368"/>
    <w:rsid w:val="00972801"/>
    <w:rsid w:val="0099375A"/>
    <w:rsid w:val="009A74D3"/>
    <w:rsid w:val="009B7ABC"/>
    <w:rsid w:val="009E7014"/>
    <w:rsid w:val="00A11DED"/>
    <w:rsid w:val="00A34FEE"/>
    <w:rsid w:val="00A521EB"/>
    <w:rsid w:val="00A5245C"/>
    <w:rsid w:val="00A572A0"/>
    <w:rsid w:val="00A60268"/>
    <w:rsid w:val="00A75621"/>
    <w:rsid w:val="00AC1215"/>
    <w:rsid w:val="00AC2323"/>
    <w:rsid w:val="00AC798C"/>
    <w:rsid w:val="00AE74DE"/>
    <w:rsid w:val="00AF469D"/>
    <w:rsid w:val="00B118AD"/>
    <w:rsid w:val="00B14470"/>
    <w:rsid w:val="00B17689"/>
    <w:rsid w:val="00B26CE0"/>
    <w:rsid w:val="00B34B1D"/>
    <w:rsid w:val="00B35E0F"/>
    <w:rsid w:val="00B37AEB"/>
    <w:rsid w:val="00B5677E"/>
    <w:rsid w:val="00B63F8B"/>
    <w:rsid w:val="00B82B6E"/>
    <w:rsid w:val="00B84F36"/>
    <w:rsid w:val="00B97111"/>
    <w:rsid w:val="00BA2433"/>
    <w:rsid w:val="00BB7EA1"/>
    <w:rsid w:val="00BC25A5"/>
    <w:rsid w:val="00BD01BF"/>
    <w:rsid w:val="00BF5B95"/>
    <w:rsid w:val="00BF7926"/>
    <w:rsid w:val="00C04B1D"/>
    <w:rsid w:val="00C211F5"/>
    <w:rsid w:val="00C27D6B"/>
    <w:rsid w:val="00C32187"/>
    <w:rsid w:val="00C32F61"/>
    <w:rsid w:val="00C3508B"/>
    <w:rsid w:val="00C44DD9"/>
    <w:rsid w:val="00C57B34"/>
    <w:rsid w:val="00C6651D"/>
    <w:rsid w:val="00C71FCD"/>
    <w:rsid w:val="00CB3283"/>
    <w:rsid w:val="00CD6A32"/>
    <w:rsid w:val="00CD6E33"/>
    <w:rsid w:val="00CE320C"/>
    <w:rsid w:val="00D20C05"/>
    <w:rsid w:val="00D30A61"/>
    <w:rsid w:val="00D32F53"/>
    <w:rsid w:val="00D557B2"/>
    <w:rsid w:val="00DB4DE8"/>
    <w:rsid w:val="00E24D27"/>
    <w:rsid w:val="00E24D3F"/>
    <w:rsid w:val="00E420F7"/>
    <w:rsid w:val="00E42F8B"/>
    <w:rsid w:val="00E471FB"/>
    <w:rsid w:val="00E60186"/>
    <w:rsid w:val="00E70758"/>
    <w:rsid w:val="00E714A6"/>
    <w:rsid w:val="00E7351A"/>
    <w:rsid w:val="00E87EF6"/>
    <w:rsid w:val="00E96D54"/>
    <w:rsid w:val="00EB0E7F"/>
    <w:rsid w:val="00EB2EBC"/>
    <w:rsid w:val="00EB52B5"/>
    <w:rsid w:val="00ED0813"/>
    <w:rsid w:val="00EE6A44"/>
    <w:rsid w:val="00EE7CAF"/>
    <w:rsid w:val="00F21937"/>
    <w:rsid w:val="00F37825"/>
    <w:rsid w:val="00F466A2"/>
    <w:rsid w:val="00F61169"/>
    <w:rsid w:val="00F63344"/>
    <w:rsid w:val="00F908C8"/>
    <w:rsid w:val="00FD44B2"/>
    <w:rsid w:val="00FE1D3B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0449C"/>
  <w15:chartTrackingRefBased/>
  <w15:docId w15:val="{190723CA-DD28-40B9-A353-6454E985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01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4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FE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4FE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F7B30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175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ECD"/>
  </w:style>
  <w:style w:type="paragraph" w:styleId="Footer">
    <w:name w:val="footer"/>
    <w:basedOn w:val="Normal"/>
    <w:link w:val="FooterChar"/>
    <w:uiPriority w:val="99"/>
    <w:unhideWhenUsed/>
    <w:rsid w:val="00175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ECD"/>
  </w:style>
  <w:style w:type="character" w:customStyle="1" w:styleId="A3">
    <w:name w:val="A3"/>
    <w:uiPriority w:val="99"/>
    <w:rsid w:val="004A7080"/>
    <w:rPr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0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08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962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2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2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2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28C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4DE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4DE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7FD80-0E34-AF46-AD2D-C4401852D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730</Words>
  <Characters>4164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W. Loonsk MD FACMI</dc:creator>
  <cp:keywords/>
  <dc:description/>
  <cp:lastModifiedBy>Eric Haas</cp:lastModifiedBy>
  <cp:revision>2</cp:revision>
  <dcterms:created xsi:type="dcterms:W3CDTF">2017-12-18T00:38:00Z</dcterms:created>
  <dcterms:modified xsi:type="dcterms:W3CDTF">2017-12-18T00:38:00Z</dcterms:modified>
</cp:coreProperties>
</file>