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4F" w:rsidRDefault="000E6990">
      <w:r>
        <w:t>Scope discussion</w:t>
      </w:r>
    </w:p>
    <w:p w:rsidR="000E6990" w:rsidRDefault="000E6990">
      <w:r>
        <w:tab/>
        <w:t>Identification of artifacts in a multisystem environment</w:t>
      </w:r>
    </w:p>
    <w:p w:rsidR="000E6990" w:rsidRDefault="000E6990" w:rsidP="000E6990">
      <w:pPr>
        <w:ind w:left="720"/>
      </w:pPr>
      <w:r>
        <w:tab/>
        <w:t xml:space="preserve">Capture the type of derivation of one artifact from another – what happened when you localized or derived, </w:t>
      </w:r>
      <w:proofErr w:type="spellStart"/>
      <w:r>
        <w:t>eg</w:t>
      </w:r>
      <w:proofErr w:type="spellEnd"/>
      <w:r>
        <w:t xml:space="preserve"> a decision support artifact from a quality measure</w:t>
      </w:r>
    </w:p>
    <w:p w:rsidR="000E6990" w:rsidRDefault="000E6990">
      <w:r>
        <w:tab/>
        <w:t>Author must be able to validate that the artifact is appropriate</w:t>
      </w:r>
    </w:p>
    <w:p w:rsidR="000E6990" w:rsidRDefault="000E6990">
      <w:r>
        <w:tab/>
        <w:t xml:space="preserve">Need precise references to be able to </w:t>
      </w:r>
      <w:proofErr w:type="gramStart"/>
      <w:r>
        <w:t>cite  support</w:t>
      </w:r>
      <w:proofErr w:type="gramEnd"/>
      <w:r>
        <w:t xml:space="preserve"> for assertions</w:t>
      </w:r>
    </w:p>
    <w:p w:rsidR="000E6990" w:rsidRDefault="000E6990" w:rsidP="000E6990">
      <w:pPr>
        <w:ind w:left="720"/>
      </w:pPr>
      <w:r>
        <w:tab/>
        <w:t xml:space="preserve">Is there a way to incorporate </w:t>
      </w:r>
      <w:proofErr w:type="gramStart"/>
      <w:r>
        <w:t>fine grained</w:t>
      </w:r>
      <w:proofErr w:type="gramEnd"/>
      <w:r>
        <w:t xml:space="preserve"> references with in the derived work</w:t>
      </w:r>
    </w:p>
    <w:p w:rsidR="000E6990" w:rsidRDefault="000E6990">
      <w:r>
        <w:tab/>
        <w:t>Effort going on in OMG on Pedigree and Provenance</w:t>
      </w:r>
    </w:p>
    <w:p w:rsidR="000E6990" w:rsidRDefault="000E6990">
      <w:r>
        <w:tab/>
        <w:t>Robert encouraging connecting with that effort</w:t>
      </w:r>
    </w:p>
    <w:p w:rsidR="000E6990" w:rsidRDefault="000E6990">
      <w:r>
        <w:tab/>
        <w:t>Emory  - two concepts</w:t>
      </w:r>
    </w:p>
    <w:p w:rsidR="000E6990" w:rsidRDefault="000E6990">
      <w:r>
        <w:tab/>
      </w:r>
      <w:r>
        <w:tab/>
        <w:t>Derivation of provenance across derivative works</w:t>
      </w:r>
    </w:p>
    <w:p w:rsidR="000E6990" w:rsidRDefault="000E6990" w:rsidP="000E6990">
      <w:pPr>
        <w:ind w:left="720"/>
      </w:pPr>
      <w:r>
        <w:tab/>
      </w:r>
      <w:r>
        <w:tab/>
        <w:t>What is the characteristic of the data that the rule or guideline is being applied to?</w:t>
      </w:r>
    </w:p>
    <w:p w:rsidR="000E6990" w:rsidRDefault="000E6990" w:rsidP="000E6990">
      <w:pPr>
        <w:ind w:left="720"/>
      </w:pPr>
      <w:r>
        <w:tab/>
        <w:t>Characteristic – what is the source of the data? Measured? Provider assessed?  Patient supplied?</w:t>
      </w:r>
    </w:p>
    <w:p w:rsidR="000E6990" w:rsidRDefault="000E6990" w:rsidP="000E6990">
      <w:pPr>
        <w:ind w:left="720"/>
      </w:pPr>
    </w:p>
    <w:p w:rsidR="00DA187D" w:rsidRDefault="00DA187D" w:rsidP="000E6990">
      <w:pPr>
        <w:ind w:left="720"/>
      </w:pPr>
      <w:r>
        <w:t>Initial step more clearly articulate the implication of provenance both for the knowledge artifact and for the provenance of the data that the rule is applied to.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proofErr w:type="spellStart"/>
      <w:r>
        <w:t>Eg</w:t>
      </w:r>
      <w:proofErr w:type="spellEnd"/>
      <w:r>
        <w:t xml:space="preserve"> – ECA – this rule should only be applied to data with this source, or confidence level.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>Include touch points with other efforts such as provenance work and API4KB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 xml:space="preserve">Include measures and other items included in the clinical reasoning </w:t>
      </w:r>
      <w:proofErr w:type="spellStart"/>
      <w:r>
        <w:t>fhir</w:t>
      </w:r>
      <w:proofErr w:type="spellEnd"/>
      <w:r>
        <w:t xml:space="preserve"> work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>Bryn – given the clearly identified requirements from the measures space</w:t>
      </w:r>
    </w:p>
    <w:p w:rsidR="00DA187D" w:rsidRDefault="00DA187D" w:rsidP="000E6990">
      <w:pPr>
        <w:ind w:left="720"/>
      </w:pPr>
      <w:proofErr w:type="gramStart"/>
      <w:r>
        <w:t>HQMF is normative now</w:t>
      </w:r>
      <w:proofErr w:type="gramEnd"/>
      <w:r>
        <w:t xml:space="preserve">, </w:t>
      </w:r>
      <w:proofErr w:type="gramStart"/>
      <w:r>
        <w:t>metadata has been identified</w:t>
      </w:r>
      <w:proofErr w:type="gramEnd"/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 xml:space="preserve">Measure resource based on the HQMF v3 resource, in the same way that the Plan Definition resource used the </w:t>
      </w:r>
      <w:proofErr w:type="spellStart"/>
      <w:r>
        <w:t>HeD</w:t>
      </w:r>
      <w:proofErr w:type="spellEnd"/>
      <w:r>
        <w:t xml:space="preserve"> knowledge document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>Is a measure distinct from a rule?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>Measures in the regulatory program space use a specific measure structure that has well defined calculation methods.</w:t>
      </w:r>
    </w:p>
    <w:p w:rsidR="00DA187D" w:rsidRDefault="00DA187D" w:rsidP="000E6990">
      <w:pPr>
        <w:ind w:left="720"/>
      </w:pPr>
    </w:p>
    <w:p w:rsidR="00DA187D" w:rsidRDefault="00DA187D" w:rsidP="000E6990">
      <w:pPr>
        <w:ind w:left="720"/>
      </w:pPr>
      <w:r>
        <w:t>In the space in general, there are vendors deriving rules from the quality measures. Differentiate from the rule associated with a measure and the measure itself</w:t>
      </w:r>
    </w:p>
    <w:p w:rsidR="00DA187D" w:rsidRDefault="00DA187D" w:rsidP="000E6990">
      <w:pPr>
        <w:ind w:left="720"/>
      </w:pPr>
    </w:p>
    <w:p w:rsidR="00DA187D" w:rsidRDefault="00FE1F95" w:rsidP="000E6990">
      <w:pPr>
        <w:ind w:left="720"/>
      </w:pPr>
      <w:r>
        <w:t>Measure is a query you expect results from</w:t>
      </w:r>
    </w:p>
    <w:p w:rsidR="00FE1F95" w:rsidRDefault="00FE1F95" w:rsidP="000E6990">
      <w:pPr>
        <w:ind w:left="720"/>
      </w:pPr>
      <w:r>
        <w:t xml:space="preserve">Rule is a description of </w:t>
      </w:r>
      <w:proofErr w:type="spellStart"/>
      <w:r>
        <w:t>behaviour</w:t>
      </w:r>
      <w:proofErr w:type="spellEnd"/>
    </w:p>
    <w:p w:rsidR="00FE1F95" w:rsidRDefault="00FE1F95" w:rsidP="000E6990">
      <w:pPr>
        <w:ind w:left="720"/>
      </w:pPr>
      <w:r>
        <w:lastRenderedPageBreak/>
        <w:t>Reconcile the distinction between measures and rules in a way that is consistent with the current artifact types of the specification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>Confer with Floyd offline to bring definitions and material forward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 xml:space="preserve">Should we limit the scope of this </w:t>
      </w:r>
      <w:proofErr w:type="spellStart"/>
      <w:r>
        <w:t>pss</w:t>
      </w:r>
      <w:proofErr w:type="spellEnd"/>
      <w:r>
        <w:t xml:space="preserve"> to </w:t>
      </w:r>
      <w:proofErr w:type="spellStart"/>
      <w:r>
        <w:t>ellucidating</w:t>
      </w:r>
      <w:proofErr w:type="spellEnd"/>
      <w:r>
        <w:t xml:space="preserve"> the distinct between rules and measures? What about workflow and predictive models?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>The relationship of artifacts to clinical workflow and a care context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>Include workflow semantics in the conceptual model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 xml:space="preserve">Workflow itself is an artifact, caveat – it is very prescriptive and has limited degrees of freedom. 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>Knowledge artifact in general has many greater degrees of freedom, aligns better with CMNN and DMN – open or closed world distinction</w:t>
      </w:r>
    </w:p>
    <w:p w:rsidR="00FE1F95" w:rsidRDefault="00FE1F95" w:rsidP="000E6990">
      <w:pPr>
        <w:ind w:left="720"/>
      </w:pPr>
    </w:p>
    <w:p w:rsidR="00FE1F95" w:rsidRDefault="00FE1F95" w:rsidP="000E6990">
      <w:pPr>
        <w:ind w:left="720"/>
      </w:pPr>
      <w:r>
        <w:t>Discuss the relationship to case management and to decision management</w:t>
      </w:r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r>
        <w:t>Sometimes we conflate a clinical decision support artifact with –</w:t>
      </w:r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r>
        <w:t>Three domains of knowledge</w:t>
      </w:r>
    </w:p>
    <w:p w:rsidR="00E559A4" w:rsidRDefault="00E559A4" w:rsidP="000E6990">
      <w:pPr>
        <w:ind w:left="720"/>
      </w:pPr>
      <w:r>
        <w:tab/>
        <w:t>Clinical pathways based on differential diagnosis</w:t>
      </w:r>
    </w:p>
    <w:p w:rsidR="00E559A4" w:rsidRDefault="00E559A4" w:rsidP="000E6990">
      <w:pPr>
        <w:ind w:left="720"/>
      </w:pPr>
      <w:r>
        <w:tab/>
        <w:t>Operational knowledge artifacts and guidelines</w:t>
      </w:r>
    </w:p>
    <w:p w:rsidR="00E559A4" w:rsidRDefault="00E559A4" w:rsidP="000E6990">
      <w:pPr>
        <w:ind w:left="720"/>
      </w:pPr>
      <w:r>
        <w:tab/>
        <w:t>Legal or regulatory requirements / constraints</w:t>
      </w:r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r>
        <w:t>Sometimes we combine those three axes of content. Add in patient preference</w:t>
      </w:r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r>
        <w:t xml:space="preserve">Boundary </w:t>
      </w:r>
      <w:proofErr w:type="gramStart"/>
      <w:r>
        <w:t>of a</w:t>
      </w:r>
      <w:proofErr w:type="gramEnd"/>
      <w:r>
        <w:t xml:space="preserve"> CDS artifact </w:t>
      </w:r>
      <w:proofErr w:type="spellStart"/>
      <w:r>
        <w:t>vs</w:t>
      </w:r>
      <w:proofErr w:type="spellEnd"/>
      <w:r>
        <w:t xml:space="preserve"> an implementation of a CDS artifact within a clinical context</w:t>
      </w:r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proofErr w:type="spellStart"/>
      <w:r>
        <w:t>Reconcilining</w:t>
      </w:r>
      <w:proofErr w:type="spellEnd"/>
      <w:r>
        <w:t xml:space="preserve"> conceptual knowledge around rules and measures in scope</w:t>
      </w:r>
    </w:p>
    <w:p w:rsidR="00E559A4" w:rsidRDefault="00E559A4" w:rsidP="000E6990">
      <w:pPr>
        <w:ind w:left="720"/>
      </w:pPr>
      <w:r>
        <w:t>Workflow in scope</w:t>
      </w:r>
    </w:p>
    <w:p w:rsidR="00E559A4" w:rsidRDefault="00E559A4" w:rsidP="000E6990">
      <w:pPr>
        <w:ind w:left="720"/>
      </w:pPr>
      <w:r>
        <w:t>Provenance of both data and artifacts in scope</w:t>
      </w:r>
      <w:bookmarkStart w:id="0" w:name="_GoBack"/>
      <w:bookmarkEnd w:id="0"/>
    </w:p>
    <w:p w:rsidR="00E559A4" w:rsidRDefault="00E559A4" w:rsidP="000E6990">
      <w:pPr>
        <w:ind w:left="720"/>
      </w:pPr>
    </w:p>
    <w:p w:rsidR="00E559A4" w:rsidRDefault="00E559A4" w:rsidP="000E6990">
      <w:pPr>
        <w:ind w:left="720"/>
      </w:pPr>
      <w:proofErr w:type="spellStart"/>
      <w:r>
        <w:t>Brynn</w:t>
      </w:r>
      <w:proofErr w:type="spellEnd"/>
      <w:r>
        <w:t xml:space="preserve"> – good scope boundary is artifacts we can currently represent in boundary of </w:t>
      </w:r>
    </w:p>
    <w:p w:rsidR="000E6990" w:rsidRDefault="000E6990" w:rsidP="000E6990">
      <w:pPr>
        <w:ind w:left="720"/>
      </w:pPr>
    </w:p>
    <w:p w:rsidR="000E6990" w:rsidRDefault="000E6990">
      <w:r>
        <w:tab/>
      </w:r>
      <w:r>
        <w:tab/>
      </w:r>
    </w:p>
    <w:sectPr w:rsidR="000E6990" w:rsidSect="006855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90"/>
    <w:rsid w:val="000E6990"/>
    <w:rsid w:val="00685534"/>
    <w:rsid w:val="00D66D4F"/>
    <w:rsid w:val="00DA187D"/>
    <w:rsid w:val="00E559A4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CA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490</Words>
  <Characters>2797</Characters>
  <Application>Microsoft Macintosh Word</Application>
  <DocSecurity>0</DocSecurity>
  <Lines>23</Lines>
  <Paragraphs>6</Paragraphs>
  <ScaleCrop>false</ScaleCrop>
  <Company>Constable Consulting Inc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Constable</dc:creator>
  <cp:keywords/>
  <dc:description/>
  <cp:lastModifiedBy>Lorraine Constable</cp:lastModifiedBy>
  <cp:revision>1</cp:revision>
  <dcterms:created xsi:type="dcterms:W3CDTF">2017-10-12T15:21:00Z</dcterms:created>
  <dcterms:modified xsi:type="dcterms:W3CDTF">2017-10-12T16:59:00Z</dcterms:modified>
</cp:coreProperties>
</file>