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D5B0"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The FAIR guiding principles for scientific data management and stewardship are a set of guidelines from the field of research data management (Wilkinson et al 2016 </w:t>
      </w:r>
      <w:hyperlink r:id="rId6" w:history="1">
        <w:r w:rsidRPr="00112645">
          <w:rPr>
            <w:rStyle w:val="Collegamentoipertestuale"/>
            <w:rFonts w:ascii="Segoe UI" w:hAnsi="Segoe UI" w:cs="Segoe UI"/>
            <w:color w:val="0052CC"/>
            <w:sz w:val="21"/>
            <w:szCs w:val="21"/>
            <w:u w:val="none"/>
            <w:lang w:val="en-US"/>
          </w:rPr>
          <w:t>doi.org/10.1038/sdata.2016.18</w:t>
        </w:r>
      </w:hyperlink>
      <w:r w:rsidRPr="00112645">
        <w:rPr>
          <w:rFonts w:ascii="Segoe UI" w:hAnsi="Segoe UI" w:cs="Segoe UI"/>
          <w:color w:val="172B4D"/>
          <w:sz w:val="21"/>
          <w:szCs w:val="21"/>
          <w:lang w:val="en-US"/>
        </w:rPr>
        <w:t xml:space="preserve">). They are universal in scope and some of the principles will need to be refined for a particular community, such as medical informatics. The FAIR principles are not a standard, which means they have many forms of implementation. The primary purpose of FAIR principles is to make the digital assets of data and related metadata more usable and reusable for humans and machines, at scale. To this end, the fifteen FAIR principles, listed below, are grouped into the four higher principles of Findability, Accessibility, Interoperability and Reusability (FAIR) which apply to data and metadata. Each FAIR principle has a number of metrics or maturity indicators which are used to assess the </w:t>
      </w:r>
      <w:proofErr w:type="spellStart"/>
      <w:r w:rsidRPr="00112645">
        <w:rPr>
          <w:rFonts w:ascii="Segoe UI" w:hAnsi="Segoe UI" w:cs="Segoe UI"/>
          <w:color w:val="172B4D"/>
          <w:sz w:val="21"/>
          <w:szCs w:val="21"/>
          <w:lang w:val="en-US"/>
        </w:rPr>
        <w:t>FAIRness</w:t>
      </w:r>
      <w:proofErr w:type="spellEnd"/>
      <w:r w:rsidRPr="00112645">
        <w:rPr>
          <w:rFonts w:ascii="Segoe UI" w:hAnsi="Segoe UI" w:cs="Segoe UI"/>
          <w:color w:val="172B4D"/>
          <w:sz w:val="21"/>
          <w:szCs w:val="21"/>
          <w:lang w:val="en-US"/>
        </w:rPr>
        <w:t xml:space="preserve"> of data and metadata to seek improvements, which will be described in a future section of this implementation guide.</w:t>
      </w:r>
    </w:p>
    <w:p w14:paraId="77239035" w14:textId="13CF1E90" w:rsid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Why is it important to implement best </w:t>
      </w:r>
      <w:proofErr w:type="spellStart"/>
      <w:r w:rsidRPr="00112645">
        <w:rPr>
          <w:rFonts w:ascii="Segoe UI" w:hAnsi="Segoe UI" w:cs="Segoe UI"/>
          <w:color w:val="172B4D"/>
          <w:sz w:val="21"/>
          <w:szCs w:val="21"/>
          <w:lang w:val="en-US"/>
        </w:rPr>
        <w:t>practise</w:t>
      </w:r>
      <w:proofErr w:type="spellEnd"/>
      <w:r w:rsidRPr="00112645">
        <w:rPr>
          <w:rFonts w:ascii="Segoe UI" w:hAnsi="Segoe UI" w:cs="Segoe UI"/>
          <w:color w:val="172B4D"/>
          <w:sz w:val="21"/>
          <w:szCs w:val="21"/>
          <w:lang w:val="en-US"/>
        </w:rPr>
        <w:t xml:space="preserve"> in data management through FAIR? Many research and clinical  healthcare projects collect, integrate and </w:t>
      </w:r>
      <w:proofErr w:type="spellStart"/>
      <w:r w:rsidRPr="00112645">
        <w:rPr>
          <w:rFonts w:ascii="Segoe UI" w:hAnsi="Segoe UI" w:cs="Segoe UI"/>
          <w:color w:val="172B4D"/>
          <w:sz w:val="21"/>
          <w:szCs w:val="21"/>
          <w:lang w:val="en-US"/>
        </w:rPr>
        <w:t>analyse</w:t>
      </w:r>
      <w:proofErr w:type="spellEnd"/>
      <w:r w:rsidRPr="00112645">
        <w:rPr>
          <w:rFonts w:ascii="Segoe UI" w:hAnsi="Segoe UI" w:cs="Segoe UI"/>
          <w:color w:val="172B4D"/>
          <w:sz w:val="21"/>
          <w:szCs w:val="21"/>
          <w:lang w:val="en-US"/>
        </w:rPr>
        <w:t xml:space="preserve"> data with great effort and cost, but such expensive data are often used for only a few analyses over a short period, even though they would be useful for a much wider range of scenarios over a much longer period. If data and relevant metadata are not managed, only minimal value is </w:t>
      </w:r>
      <w:proofErr w:type="spellStart"/>
      <w:r w:rsidRPr="00EF625F">
        <w:rPr>
          <w:rFonts w:ascii="Segoe UI" w:hAnsi="Segoe UI" w:cs="Segoe UI"/>
          <w:color w:val="172B4D"/>
          <w:sz w:val="21"/>
          <w:szCs w:val="21"/>
          <w:u w:val="single"/>
          <w:lang w:val="en-US"/>
        </w:rPr>
        <w:t>realised</w:t>
      </w:r>
      <w:proofErr w:type="spellEnd"/>
      <w:r w:rsidRPr="00112645">
        <w:rPr>
          <w:rFonts w:ascii="Segoe UI" w:hAnsi="Segoe UI" w:cs="Segoe UI"/>
          <w:color w:val="172B4D"/>
          <w:sz w:val="21"/>
          <w:szCs w:val="21"/>
          <w:lang w:val="en-US"/>
        </w:rPr>
        <w:t xml:space="preserve"> and furthermore, they can lose credibility. Since research and clinical healthcare data are often supported by public funds, society has a right to expect the greatest and widest possible usage. Likewise, shareholders of private enterprise expect their investments in science-based research and development to be exploited and protected fully through best </w:t>
      </w:r>
      <w:proofErr w:type="spellStart"/>
      <w:r w:rsidRPr="00112645">
        <w:rPr>
          <w:rFonts w:ascii="Segoe UI" w:hAnsi="Segoe UI" w:cs="Segoe UI"/>
          <w:color w:val="172B4D"/>
          <w:sz w:val="21"/>
          <w:szCs w:val="21"/>
          <w:lang w:val="en-US"/>
        </w:rPr>
        <w:t>practise</w:t>
      </w:r>
      <w:proofErr w:type="spellEnd"/>
      <w:r w:rsidRPr="00112645">
        <w:rPr>
          <w:rFonts w:ascii="Segoe UI" w:hAnsi="Segoe UI" w:cs="Segoe UI"/>
          <w:color w:val="172B4D"/>
          <w:sz w:val="21"/>
          <w:szCs w:val="21"/>
          <w:lang w:val="en-US"/>
        </w:rPr>
        <w:t xml:space="preserve"> in FAIR data management and data governance.</w:t>
      </w:r>
    </w:p>
    <w:p w14:paraId="0BD4294C"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p>
    <w:p w14:paraId="2A604834" w14:textId="77777777" w:rsidR="00112645" w:rsidRPr="00112645" w:rsidRDefault="00112645" w:rsidP="00112645">
      <w:pPr>
        <w:pStyle w:val="Titolo3"/>
        <w:rPr>
          <w:lang w:val="en-US"/>
        </w:rPr>
      </w:pPr>
      <w:r w:rsidRPr="00112645">
        <w:rPr>
          <w:lang w:val="en-US"/>
        </w:rPr>
        <w:t>Findability</w:t>
      </w:r>
    </w:p>
    <w:p w14:paraId="4ABEAB9C"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F1: Metadata and data are assigned globally unique, persistent and machine resolvable identifiers (GUPRI)</w:t>
      </w:r>
    </w:p>
    <w:p w14:paraId="0FCA6CC5"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F2: Data are described with rich metadata (defined by R1)</w:t>
      </w:r>
    </w:p>
    <w:p w14:paraId="63BB8706"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F3: Metadata clearly and explicitly include the identifier of the data it describes</w:t>
      </w:r>
    </w:p>
    <w:p w14:paraId="2C37D9A2" w14:textId="44B32461" w:rsid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F4: Metadata and data are registered or indexed in a searchable resource</w:t>
      </w:r>
    </w:p>
    <w:p w14:paraId="27877C79"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p>
    <w:p w14:paraId="75A4D744" w14:textId="6540F7D0" w:rsidR="00112645" w:rsidRDefault="00112645" w:rsidP="00112645">
      <w:pPr>
        <w:pStyle w:val="Titolo3"/>
        <w:rPr>
          <w:lang w:val="en-US"/>
        </w:rPr>
      </w:pPr>
      <w:r w:rsidRPr="00112645">
        <w:rPr>
          <w:lang w:val="en-US"/>
        </w:rPr>
        <w:t>Accessibility</w:t>
      </w:r>
    </w:p>
    <w:p w14:paraId="4FE34D7A"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 xml:space="preserve">A1: Metadata and data are retrievable by each of their identifiers using a </w:t>
      </w:r>
      <w:proofErr w:type="spellStart"/>
      <w:r w:rsidRPr="00112645">
        <w:rPr>
          <w:rFonts w:ascii="Segoe UI" w:hAnsi="Segoe UI" w:cs="Segoe UI"/>
          <w:color w:val="172B4D"/>
          <w:sz w:val="21"/>
          <w:szCs w:val="21"/>
          <w:lang w:val="en-US"/>
        </w:rPr>
        <w:t>standardised</w:t>
      </w:r>
      <w:proofErr w:type="spellEnd"/>
      <w:r w:rsidRPr="00112645">
        <w:rPr>
          <w:rFonts w:ascii="Segoe UI" w:hAnsi="Segoe UI" w:cs="Segoe UI"/>
          <w:color w:val="172B4D"/>
          <w:sz w:val="21"/>
          <w:szCs w:val="21"/>
          <w:lang w:val="en-US"/>
        </w:rPr>
        <w:t xml:space="preserve"> communication protocol</w:t>
      </w:r>
    </w:p>
    <w:p w14:paraId="5E20323C" w14:textId="10075F82" w:rsidR="00112645" w:rsidRPr="00112645" w:rsidRDefault="00EF625F" w:rsidP="00B83273">
      <w:pPr>
        <w:pStyle w:val="NormaleWeb"/>
        <w:shd w:val="clear" w:color="auto" w:fill="FFFFFF"/>
        <w:spacing w:before="150" w:beforeAutospacing="0" w:after="0" w:afterAutospacing="0"/>
        <w:rPr>
          <w:rFonts w:ascii="Segoe UI" w:hAnsi="Segoe UI" w:cs="Segoe UI"/>
          <w:color w:val="172B4D"/>
          <w:sz w:val="21"/>
          <w:szCs w:val="21"/>
          <w:lang w:val="en-US"/>
        </w:rPr>
      </w:pPr>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;&amp;nbsp;</w:t>
      </w:r>
      <w:r w:rsidR="00112645" w:rsidRPr="00112645">
        <w:rPr>
          <w:rFonts w:ascii="Segoe UI" w:hAnsi="Segoe UI" w:cs="Segoe UI"/>
          <w:color w:val="172B4D"/>
          <w:sz w:val="21"/>
          <w:szCs w:val="21"/>
          <w:lang w:val="en-US"/>
        </w:rPr>
        <w:t>A1.1: The protocol is open, free and universally implementable</w:t>
      </w:r>
    </w:p>
    <w:p w14:paraId="14341DBD" w14:textId="1A692DE8" w:rsidR="00112645" w:rsidRPr="00112645" w:rsidRDefault="00EF625F" w:rsidP="00B83273">
      <w:pPr>
        <w:pStyle w:val="NormaleWeb"/>
        <w:shd w:val="clear" w:color="auto" w:fill="FFFFFF"/>
        <w:spacing w:before="150" w:beforeAutospacing="0" w:after="0" w:afterAutospacing="0"/>
        <w:rPr>
          <w:rFonts w:ascii="Segoe UI" w:hAnsi="Segoe UI" w:cs="Segoe UI"/>
          <w:color w:val="172B4D"/>
          <w:sz w:val="21"/>
          <w:szCs w:val="21"/>
          <w:lang w:val="en-US"/>
        </w:rPr>
      </w:pPr>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;&amp;nbsp;</w:t>
      </w:r>
      <w:r w:rsidR="00112645" w:rsidRPr="00112645">
        <w:rPr>
          <w:rFonts w:ascii="Segoe UI" w:hAnsi="Segoe UI" w:cs="Segoe UI"/>
          <w:color w:val="172B4D"/>
          <w:sz w:val="21"/>
          <w:szCs w:val="21"/>
          <w:lang w:val="en-US"/>
        </w:rPr>
        <w:t xml:space="preserve">A1.2: The protocol allows for an authentication and </w:t>
      </w:r>
      <w:proofErr w:type="spellStart"/>
      <w:r w:rsidR="00112645" w:rsidRPr="00112645">
        <w:rPr>
          <w:rFonts w:ascii="Segoe UI" w:hAnsi="Segoe UI" w:cs="Segoe UI"/>
          <w:color w:val="172B4D"/>
          <w:sz w:val="21"/>
          <w:szCs w:val="21"/>
          <w:lang w:val="en-US"/>
        </w:rPr>
        <w:t>authorisation</w:t>
      </w:r>
      <w:proofErr w:type="spellEnd"/>
      <w:r w:rsidR="00112645" w:rsidRPr="00112645">
        <w:rPr>
          <w:rFonts w:ascii="Segoe UI" w:hAnsi="Segoe UI" w:cs="Segoe UI"/>
          <w:color w:val="172B4D"/>
          <w:sz w:val="21"/>
          <w:szCs w:val="21"/>
          <w:lang w:val="en-US"/>
        </w:rPr>
        <w:t>, where necessary</w:t>
      </w:r>
    </w:p>
    <w:p w14:paraId="2E658B64" w14:textId="13BF02A1" w:rsid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A2: Metadata should be accessible even when the data is no longer available</w:t>
      </w:r>
    </w:p>
    <w:p w14:paraId="21D497B5"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p>
    <w:p w14:paraId="08A149DB" w14:textId="77777777" w:rsidR="00112645" w:rsidRPr="00112645" w:rsidRDefault="00112645" w:rsidP="00112645">
      <w:pPr>
        <w:pStyle w:val="Titolo3"/>
        <w:rPr>
          <w:lang w:val="en-US"/>
        </w:rPr>
      </w:pPr>
      <w:r w:rsidRPr="00112645">
        <w:rPr>
          <w:lang w:val="en-US"/>
        </w:rPr>
        <w:t>Interoperability</w:t>
      </w:r>
    </w:p>
    <w:p w14:paraId="2E9B17D3"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I1: Metadata and data use a formal, accessible, shared, and broadly applicable language for knowledge representation</w:t>
      </w:r>
    </w:p>
    <w:p w14:paraId="0EEDB526"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I2: Metadata and data use vocabularies that follow the FAIR principles</w:t>
      </w:r>
    </w:p>
    <w:p w14:paraId="504B2ED2"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I3: Metadata and data include qualified references to other metadata and data</w:t>
      </w:r>
    </w:p>
    <w:p w14:paraId="6F501B15" w14:textId="77777777" w:rsidR="00112645" w:rsidRPr="00112645" w:rsidRDefault="00112645" w:rsidP="00112645">
      <w:pPr>
        <w:pStyle w:val="Titolo3"/>
        <w:rPr>
          <w:lang w:val="en-US"/>
        </w:rPr>
      </w:pPr>
      <w:r w:rsidRPr="00112645">
        <w:rPr>
          <w:lang w:val="en-US"/>
        </w:rPr>
        <w:lastRenderedPageBreak/>
        <w:t>Reusability</w:t>
      </w:r>
    </w:p>
    <w:p w14:paraId="6F2BEAF0" w14:textId="77777777" w:rsidR="00112645" w:rsidRPr="00112645" w:rsidRDefault="00112645" w:rsidP="00112645">
      <w:pPr>
        <w:pStyle w:val="NormaleWeb"/>
        <w:shd w:val="clear" w:color="auto" w:fill="FFFFFF"/>
        <w:spacing w:before="150" w:beforeAutospacing="0" w:after="0" w:afterAutospacing="0"/>
        <w:rPr>
          <w:rFonts w:ascii="Segoe UI" w:hAnsi="Segoe UI" w:cs="Segoe UI"/>
          <w:color w:val="172B4D"/>
          <w:sz w:val="21"/>
          <w:szCs w:val="21"/>
          <w:lang w:val="en-US"/>
        </w:rPr>
      </w:pPr>
      <w:r w:rsidRPr="00112645">
        <w:rPr>
          <w:rFonts w:ascii="Segoe UI" w:hAnsi="Segoe UI" w:cs="Segoe UI"/>
          <w:color w:val="172B4D"/>
          <w:sz w:val="21"/>
          <w:szCs w:val="21"/>
          <w:lang w:val="en-US"/>
        </w:rPr>
        <w:t>R1: Metadata and data are richly described with a plurality of accurate and relevant attributes</w:t>
      </w:r>
    </w:p>
    <w:p w14:paraId="02E0F233" w14:textId="0CF13737" w:rsidR="00112645" w:rsidRPr="00112645" w:rsidRDefault="00EF625F" w:rsidP="00B83273">
      <w:pPr>
        <w:pStyle w:val="NormaleWeb"/>
        <w:shd w:val="clear" w:color="auto" w:fill="FFFFFF"/>
        <w:spacing w:before="150" w:beforeAutospacing="0" w:after="0" w:afterAutospacing="0"/>
        <w:rPr>
          <w:rFonts w:ascii="Segoe UI" w:hAnsi="Segoe UI" w:cs="Segoe UI"/>
          <w:color w:val="172B4D"/>
          <w:sz w:val="21"/>
          <w:szCs w:val="21"/>
          <w:lang w:val="en-US"/>
        </w:rPr>
      </w:pPr>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;&amp;nbsp;</w:t>
      </w:r>
      <w:r w:rsidR="00112645" w:rsidRPr="00112645">
        <w:rPr>
          <w:rFonts w:ascii="Segoe UI" w:hAnsi="Segoe UI" w:cs="Segoe UI"/>
          <w:color w:val="172B4D"/>
          <w:sz w:val="21"/>
          <w:szCs w:val="21"/>
          <w:lang w:val="en-US"/>
        </w:rPr>
        <w:t>R1.1: Metadata and data are released with a clear and accessible data usage license</w:t>
      </w:r>
    </w:p>
    <w:p w14:paraId="0AB84F7E" w14:textId="4E866BAB" w:rsidR="00112645" w:rsidRPr="00112645" w:rsidRDefault="00EF625F" w:rsidP="00B83273">
      <w:pPr>
        <w:pStyle w:val="NormaleWeb"/>
        <w:shd w:val="clear" w:color="auto" w:fill="FFFFFF"/>
        <w:spacing w:before="150" w:beforeAutospacing="0" w:after="0" w:afterAutospacing="0"/>
        <w:rPr>
          <w:rFonts w:ascii="Segoe UI" w:hAnsi="Segoe UI" w:cs="Segoe UI"/>
          <w:color w:val="172B4D"/>
          <w:sz w:val="21"/>
          <w:szCs w:val="21"/>
          <w:lang w:val="en-US"/>
        </w:rPr>
      </w:pPr>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;&amp;nbsp;</w:t>
      </w:r>
      <w:r w:rsidR="00112645" w:rsidRPr="00112645">
        <w:rPr>
          <w:rFonts w:ascii="Segoe UI" w:hAnsi="Segoe UI" w:cs="Segoe UI"/>
          <w:color w:val="172B4D"/>
          <w:sz w:val="21"/>
          <w:szCs w:val="21"/>
          <w:lang w:val="en-US"/>
        </w:rPr>
        <w:t>R1.2: Metadata and data are associated with detailed provenance</w:t>
      </w:r>
    </w:p>
    <w:p w14:paraId="5BCE5AC2" w14:textId="076378A2" w:rsidR="00112645" w:rsidRPr="00112645" w:rsidRDefault="00EF625F" w:rsidP="00B83273">
      <w:pPr>
        <w:pStyle w:val="NormaleWeb"/>
        <w:shd w:val="clear" w:color="auto" w:fill="FFFFFF"/>
        <w:spacing w:before="150" w:beforeAutospacing="0" w:after="0" w:afterAutospacing="0"/>
        <w:rPr>
          <w:rFonts w:ascii="Segoe UI" w:hAnsi="Segoe UI" w:cs="Segoe UI"/>
          <w:color w:val="172B4D"/>
          <w:sz w:val="21"/>
          <w:szCs w:val="21"/>
          <w:lang w:val="en-US"/>
        </w:rPr>
      </w:pPr>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w:t>
      </w:r>
      <w:proofErr w:type="spellStart"/>
      <w:r w:rsidRPr="00EF625F">
        <w:rPr>
          <w:rFonts w:ascii="Segoe UI" w:hAnsi="Segoe UI" w:cs="Segoe UI"/>
          <w:color w:val="172B4D"/>
          <w:sz w:val="21"/>
          <w:szCs w:val="21"/>
          <w:lang w:val="en-US"/>
        </w:rPr>
        <w:t>nbsp</w:t>
      </w:r>
      <w:proofErr w:type="spellEnd"/>
      <w:r w:rsidRPr="00EF625F">
        <w:rPr>
          <w:rFonts w:ascii="Segoe UI" w:hAnsi="Segoe UI" w:cs="Segoe UI"/>
          <w:color w:val="172B4D"/>
          <w:sz w:val="21"/>
          <w:szCs w:val="21"/>
          <w:lang w:val="en-US"/>
        </w:rPr>
        <w:t>;&amp;nbsp;</w:t>
      </w:r>
      <w:r w:rsidR="00112645" w:rsidRPr="00112645">
        <w:rPr>
          <w:rFonts w:ascii="Segoe UI" w:hAnsi="Segoe UI" w:cs="Segoe UI"/>
          <w:color w:val="172B4D"/>
          <w:sz w:val="21"/>
          <w:szCs w:val="21"/>
          <w:lang w:val="en-US"/>
        </w:rPr>
        <w:t>R1.3: Metadata and data meet domain-relevant community standards</w:t>
      </w:r>
    </w:p>
    <w:p w14:paraId="4BC79E92" w14:textId="535C427E" w:rsidR="00EA42BA" w:rsidRPr="00112645" w:rsidRDefault="00EA42BA" w:rsidP="00112645">
      <w:pPr>
        <w:rPr>
          <w:lang w:val="en-US"/>
        </w:rPr>
      </w:pPr>
    </w:p>
    <w:sectPr w:rsidR="00EA42BA" w:rsidRPr="001126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1"/>
  </w:num>
  <w:num w:numId="10">
    <w:abstractNumId w:val="4"/>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12645"/>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2CCD"/>
    <w:rsid w:val="00B83273"/>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EF625F"/>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0776">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Pages>
  <Words>497</Words>
  <Characters>2834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169</cp:revision>
  <dcterms:created xsi:type="dcterms:W3CDTF">2020-04-05T12:56:00Z</dcterms:created>
  <dcterms:modified xsi:type="dcterms:W3CDTF">2021-04-28T08:13:00Z</dcterms:modified>
</cp:coreProperties>
</file>