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A897" w14:textId="4ADB5421" w:rsidR="00D642BD" w:rsidRDefault="00997B28" w:rsidP="0026150C">
      <w:pPr>
        <w:pStyle w:val="Nessunaspaziatura"/>
        <w:rPr>
          <w:lang w:val="en-US"/>
        </w:rPr>
      </w:pPr>
      <w:r>
        <w:rPr>
          <w:lang w:val="en-US"/>
        </w:rPr>
        <w:t xml:space="preserve">This page provides an overview of the relationship between the </w:t>
      </w:r>
      <w:r w:rsidRPr="00997B28">
        <w:rPr>
          <w:lang w:val="en-US"/>
        </w:rPr>
        <w:t>FAIR Data Maturity Model</w:t>
      </w:r>
      <w:r>
        <w:rPr>
          <w:lang w:val="en-US"/>
        </w:rPr>
        <w:t xml:space="preserve"> described in the </w:t>
      </w:r>
      <w:hyperlink r:id="rId6" w:history="1">
        <w:r w:rsidRPr="00997B28">
          <w:rPr>
            <w:rStyle w:val="Collegamentoipertestuale"/>
            <w:lang w:val="en-US"/>
          </w:rPr>
          <w:t>RDA Indicators</w:t>
        </w:r>
      </w:hyperlink>
      <w:r>
        <w:rPr>
          <w:lang w:val="en-US"/>
        </w:rPr>
        <w:t xml:space="preserve"> page and the HL7 FHIR standard.</w:t>
      </w:r>
    </w:p>
    <w:p w14:paraId="2B622A23" w14:textId="77777777" w:rsidR="00997B28" w:rsidRDefault="00997B28" w:rsidP="0026150C">
      <w:pPr>
        <w:pStyle w:val="Nessunaspaziatura"/>
        <w:rPr>
          <w:shd w:val="clear" w:color="auto" w:fill="FFFFFF"/>
          <w:lang w:val="en-US"/>
        </w:rPr>
      </w:pPr>
    </w:p>
    <w:p w14:paraId="4A271DC2" w14:textId="035562AC" w:rsidR="00FB1FAB" w:rsidRDefault="001835E9" w:rsidP="008660C4">
      <w:pPr>
        <w:pStyle w:val="Titolo3"/>
        <w:rPr>
          <w:lang w:val="en-US"/>
        </w:rPr>
      </w:pPr>
      <w:r>
        <w:rPr>
          <w:lang w:val="en-US"/>
        </w:rPr>
        <w:t>Findable</w:t>
      </w:r>
    </w:p>
    <w:p w14:paraId="77CCC024" w14:textId="04F41B52" w:rsidR="001835E9" w:rsidRDefault="001835E9" w:rsidP="001835E9">
      <w:pPr>
        <w:rPr>
          <w:lang w:val="en-US"/>
        </w:rPr>
      </w:pPr>
    </w:p>
    <w:tbl>
      <w:tblPr>
        <w:tblW w:w="15780" w:type="dxa"/>
        <w:tblLook w:val="04A0" w:firstRow="1" w:lastRow="0" w:firstColumn="1" w:lastColumn="0" w:noHBand="0" w:noVBand="1"/>
      </w:tblPr>
      <w:tblGrid>
        <w:gridCol w:w="1580"/>
        <w:gridCol w:w="3260"/>
        <w:gridCol w:w="1580"/>
        <w:gridCol w:w="4140"/>
        <w:gridCol w:w="5220"/>
      </w:tblGrid>
      <w:tr w:rsidR="002E49C9" w:rsidRPr="002E49C9" w14:paraId="4EC9CCF9" w14:textId="77777777" w:rsidTr="002E49C9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11E3EE8A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INDICATOR_ID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7042E877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51DD103F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28C513D6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Interpretation for HL7 FHIR Data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2B96AF24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Notes</w:t>
            </w:r>
          </w:p>
        </w:tc>
      </w:tr>
      <w:tr w:rsidR="002E49C9" w:rsidRPr="00E575BB" w14:paraId="4C61C1C8" w14:textId="77777777" w:rsidTr="002E49C9">
        <w:trPr>
          <w:trHeight w:val="54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2EC93E94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RDA-F1-01M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9729099" w14:textId="77777777" w:rsidR="002E49C9" w:rsidRPr="002E49C9" w:rsidRDefault="002E49C9" w:rsidP="002E49C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is identified by a persistent identifier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3B223FCF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B65A" w14:textId="77777777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 FHIR resource has a permanent, global, resolvable identifier; if the metadata data object can be represented with a single FHIR resource, this indictor is directly fulfilled. 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Other more complex situations should be considered as well, in this case the implementer need to describe how this requirement is going to be realized.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E5F7B" w14:textId="3A8F51BF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The granularity of a FAIR data object can vary consistently, so that its representation in FHIR resources can also change from being a single coded element into a resource up to a set of linked FHIR resources.</w:t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 xml:space="preserve">Moreover, in particular for subject level FAIR objects, the boundary between metadata and data is not always so sharp, since this distinction can depend on the perspective: for example, the gestational age of a EGC measurement subject, can be a </w:t>
            </w:r>
            <w:proofErr w:type="spellStart"/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measure metadata, but also a subject data.</w:t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 xml:space="preserve">In consideration of this, the expectation of having a single persistent and unique ID that identifies the metadata FAIR data object, distinct from the data one, cannot be always satisfied in the FHIR space, except for specific contexts. </w:t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E4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Related FHIR Resources:</w:t>
            </w:r>
            <w:r w:rsidRPr="002E4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https://www.hl7.org/fhir/resource.html#id</w:t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https://www.hl7.org/fhir/managing.html</w:t>
            </w:r>
          </w:p>
        </w:tc>
      </w:tr>
      <w:tr w:rsidR="002E49C9" w:rsidRPr="00E575BB" w14:paraId="775E0808" w14:textId="77777777" w:rsidTr="002E49C9">
        <w:trPr>
          <w:trHeight w:val="20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5D53F62A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RDA-F1-01D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917814C" w14:textId="77777777" w:rsidR="002E49C9" w:rsidRPr="002E49C9" w:rsidRDefault="002E49C9" w:rsidP="002E49C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is identified by a persistent identifier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15C82ADC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u w:val="single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u w:val="single"/>
                <w:lang w:val="en-US"/>
              </w:rPr>
              <w:t>Essential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10347" w14:textId="77777777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 FHIR resource has a permanent, global, resolvable identifier; if the 'data' data object can be represented with a single FHIR resource, this indictor is directly fulfilled.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Other more complex situations should be considered as well, in this case the implementer </w:t>
            </w:r>
            <w:proofErr w:type="gramStart"/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need</w:t>
            </w:r>
            <w:proofErr w:type="gramEnd"/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describe how this requirement is going to be realized.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878DF6" w14:textId="2E60ACC9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The granularity of a FAIR data object can vary consistently, so that its representation in FHIR resources can also change from being a single coded element into a resource up to a set of linked FHIR resources.</w:t>
            </w:r>
            <w:r w:rsidRPr="002E49C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</w:r>
            <w:r w:rsidRPr="002E49C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</w:r>
            <w:r w:rsidRPr="002E49C9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FHIR provides mechanisms to uniquely identify also single information (</w:t>
            </w:r>
            <w:proofErr w:type="spellStart"/>
            <w:r w:rsidRPr="002E49C9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e.g</w:t>
            </w:r>
            <w:proofErr w:type="spellEnd"/>
            <w:r w:rsidRPr="002E49C9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a single element) that are part of a resource.</w:t>
            </w:r>
            <w:r w:rsidRPr="002E49C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</w:r>
            <w:r w:rsidRPr="002E49C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</w:r>
            <w:r w:rsidRPr="002E49C9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In consideration of this, the way a single persistent </w:t>
            </w:r>
            <w:r w:rsidRPr="002E49C9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lastRenderedPageBreak/>
              <w:t>and unique ID is used to identify the data FAIR data object may depend on the data design.</w:t>
            </w:r>
          </w:p>
        </w:tc>
      </w:tr>
      <w:tr w:rsidR="002E49C9" w:rsidRPr="00E575BB" w14:paraId="64CDA904" w14:textId="77777777" w:rsidTr="002E49C9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6D6709DF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RDA-F1-02M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24F2B0AA" w14:textId="77777777" w:rsidR="002E49C9" w:rsidRPr="002E49C9" w:rsidRDefault="002E49C9" w:rsidP="002E49C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is identified by a globally unique identifier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0D703EF4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DE46" w14:textId="44842B1F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RDA-F1-01M </w:t>
            </w:r>
            <w:r w:rsid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is true, this 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 true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EFC7" w14:textId="77777777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2E49C9" w:rsidRPr="00E575BB" w14:paraId="7668A704" w14:textId="77777777" w:rsidTr="002E49C9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40D9E4E1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RDA-F1-02D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022E7132" w14:textId="77777777" w:rsidR="002E49C9" w:rsidRPr="002E49C9" w:rsidRDefault="002E49C9" w:rsidP="002E49C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is identified by a globally unique identifier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4AB93C64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EAF22" w14:textId="006E1EBB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RDA-F1-01D </w:t>
            </w:r>
            <w:r w:rsid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is true, this 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 true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7DEC" w14:textId="77777777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2E49C9" w:rsidRPr="00E575BB" w14:paraId="27D9B3E3" w14:textId="77777777" w:rsidTr="002E49C9">
        <w:trPr>
          <w:trHeight w:val="18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27DC2DF4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RDA-F2-01M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44DBB9E4" w14:textId="77777777" w:rsidR="002E49C9" w:rsidRPr="002E49C9" w:rsidRDefault="002E49C9" w:rsidP="002E49C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Rich metadata is provided to allow discovery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3C7727E9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2E571" w14:textId="44336B66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HL7 FHIR support the provisioning of metadata and the enforcement of their adoption. 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Communities </w:t>
            </w:r>
            <w:proofErr w:type="gramStart"/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have to</w:t>
            </w:r>
            <w:proofErr w:type="gramEnd"/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define however what is meant with "rich" metadata formalizing possibly them as FHIR profiles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90B0D" w14:textId="106A4F31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adoption of FHIR can enable the documentation of metadata but claiming the conformance with FHIR is not a sufficient condition for fulfilling this requirement.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Communities shall declare with is meant with "rich" metadata.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In a FHIR based implementation FHIR profiles and Implementation Guide should be used to formalize them.</w:t>
            </w:r>
          </w:p>
        </w:tc>
      </w:tr>
      <w:tr w:rsidR="002E49C9" w:rsidRPr="00E575BB" w14:paraId="19AFB881" w14:textId="77777777" w:rsidTr="002E49C9">
        <w:trPr>
          <w:trHeight w:val="23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65D6CDD9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RDA-F3-01M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CA3FB7C" w14:textId="77777777" w:rsidR="002E49C9" w:rsidRPr="002E49C9" w:rsidRDefault="002E49C9" w:rsidP="002E49C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includes the identifier for the data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39F3B557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096A8" w14:textId="77777777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 is in general true, the way this is satisfied depends on how metadata and data are represented in HL7 FHIR.  (</w:t>
            </w:r>
            <w:proofErr w:type="gramStart"/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see</w:t>
            </w:r>
            <w:proofErr w:type="gramEnd"/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also RDA-F1-01M)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FHIR provides several mechanisms to refer other FHIR resources documenting data; implementers should declare how this is realized; possibly through community FHIR profiles and Implementation Guides.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092E2" w14:textId="77777777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In dependence on FAIR metadata data objects are realized in FHIR (see </w:t>
            </w:r>
            <w:proofErr w:type="gramStart"/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e.g.</w:t>
            </w:r>
            <w:proofErr w:type="gramEnd"/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RDA-F1-01M); different solutions can be adopted in FHIR to refer data objects. This can be done referencing the target FHIR resource, per business identifier or per </w:t>
            </w:r>
            <w:proofErr w:type="spellStart"/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2E49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Implementers should use appropriate FHIR conformance resources to declare how this is done.</w:t>
            </w:r>
          </w:p>
        </w:tc>
      </w:tr>
      <w:tr w:rsidR="002E49C9" w:rsidRPr="00E575BB" w14:paraId="358F3552" w14:textId="77777777" w:rsidTr="002E49C9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545DC86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RDA-F4-01M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6429A1DF" w14:textId="77777777" w:rsidR="002E49C9" w:rsidRPr="002E49C9" w:rsidRDefault="002E49C9" w:rsidP="002E49C9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is offered in such a way that it can be harvested and indexed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2C33D3C3" w14:textId="77777777" w:rsidR="002E49C9" w:rsidRPr="002E49C9" w:rsidRDefault="002E49C9" w:rsidP="002E49C9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2E49C9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F9AF5" w14:textId="77777777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way this is satisfied depends on how FAIR metadata and data objects are represented in HL7 FHIR.  (</w:t>
            </w:r>
            <w:proofErr w:type="gramStart"/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see</w:t>
            </w:r>
            <w:proofErr w:type="gramEnd"/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also RDA-F1-01M)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FHIR provides FHIR metadata datatypes and resource interfaces.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FHIR resources allow the documentation of the data context.</w:t>
            </w:r>
            <w:r w:rsidRPr="002E49C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FHIR resources can be indexed and filtered by a set of data elements.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8EE9" w14:textId="77777777" w:rsidR="002E49C9" w:rsidRPr="002E49C9" w:rsidRDefault="002E49C9" w:rsidP="002E4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23C8BE2E" w14:textId="4514871E" w:rsidR="001835E9" w:rsidRDefault="001835E9" w:rsidP="001835E9">
      <w:pPr>
        <w:rPr>
          <w:lang w:val="en-US"/>
        </w:rPr>
      </w:pPr>
    </w:p>
    <w:p w14:paraId="22CD6A22" w14:textId="7B9BA817" w:rsidR="00E575BB" w:rsidRDefault="00E575BB" w:rsidP="00E575BB">
      <w:pPr>
        <w:pStyle w:val="Titolo3"/>
        <w:rPr>
          <w:lang w:val="en-US"/>
        </w:rPr>
      </w:pPr>
      <w:r>
        <w:rPr>
          <w:lang w:val="en-US"/>
        </w:rPr>
        <w:t>Accessible</w:t>
      </w:r>
    </w:p>
    <w:p w14:paraId="1D8C7743" w14:textId="30C81763" w:rsidR="00E575BB" w:rsidRDefault="00E575BB" w:rsidP="00E575BB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12"/>
        <w:gridCol w:w="1537"/>
        <w:gridCol w:w="4683"/>
        <w:gridCol w:w="1104"/>
        <w:gridCol w:w="3120"/>
        <w:gridCol w:w="2631"/>
      </w:tblGrid>
      <w:tr w:rsidR="000A59FA" w:rsidRPr="000A59FA" w14:paraId="033F3F6D" w14:textId="77777777" w:rsidTr="000A59FA">
        <w:trPr>
          <w:trHeight w:val="315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75ACB425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PRINCIPLE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7D87D33E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INDICATOR_ID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5EBFEFA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0458C1F1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5C14F4D8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Interpretation for HL7 FHIR Data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2B01E873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Notes</w:t>
            </w:r>
          </w:p>
        </w:tc>
      </w:tr>
      <w:tr w:rsidR="000A59FA" w:rsidRPr="000A59FA" w14:paraId="7A50F50E" w14:textId="77777777" w:rsidTr="000A59FA">
        <w:trPr>
          <w:trHeight w:val="182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2C70DC31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0BC01FF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RDA-A1-01M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47A554F9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contains information to enable the user to get access to the data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2CB9BD49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F5CE1" w14:textId="1FAA5F8A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RDA-F3-01M is 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true,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this is true. 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B08E4" w14:textId="74019EC4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objects.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 xml:space="preserve">In the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FHIR REST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architecture the resource identifier can be used to access them; FHIR resource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also provides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mechanisms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to enable the access to non-FHIR data</w:t>
            </w:r>
          </w:p>
        </w:tc>
      </w:tr>
      <w:tr w:rsidR="000A59FA" w:rsidRPr="000A59FA" w14:paraId="6A0AF386" w14:textId="77777777" w:rsidTr="000A59FA">
        <w:trPr>
          <w:trHeight w:val="104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ED61F5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477BF20A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RDA-A1-02M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9014963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can be accessed manually (</w:t>
            </w:r>
            <w:proofErr w:type="gram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i.e.</w:t>
            </w:r>
            <w:proofErr w:type="gramEnd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with human intervention)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4169606A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48952" w14:textId="092E5387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This is not 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related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the FHIR standard, but on the capabilities offered by the system/platform implementing the services. 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4B4D9" w14:textId="7ED202EE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Concerning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the ability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to identify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FAIR metadata as distinct and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identifiable FHIR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resource(s), please refer to item RDA-F1-01M</w:t>
            </w:r>
          </w:p>
        </w:tc>
      </w:tr>
      <w:tr w:rsidR="000A59FA" w:rsidRPr="000A59FA" w14:paraId="336B791F" w14:textId="77777777" w:rsidTr="000A59FA">
        <w:trPr>
          <w:trHeight w:val="104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412D54D7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31C8AEF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RDA-A1-02D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90AA998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can be accessed manually (</w:t>
            </w:r>
            <w:proofErr w:type="gram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i.e.</w:t>
            </w:r>
            <w:proofErr w:type="gramEnd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with human intervention)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291923F5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54299" w14:textId="5395E2EC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This is not 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related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the FHIR standard, but on the capabilities offered by the system/platform implementing the services. 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8C431" w14:textId="341E64B5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Concerning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the ability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to identify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FAIR data as distinct and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identifiable FHIR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resource(s), please refer to item RDA-F1-01D</w:t>
            </w:r>
          </w:p>
        </w:tc>
      </w:tr>
      <w:tr w:rsidR="000A59FA" w:rsidRPr="000A59FA" w14:paraId="080E7F9C" w14:textId="77777777" w:rsidTr="000A59FA">
        <w:trPr>
          <w:trHeight w:val="104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3D1274A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810FA37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RDA-A1-03M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0E5BCC87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identifier resolves to a metadata record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72C20186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17183" w14:textId="0780C1C3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RDA-F1-01M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is true, this 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 true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C5D91" w14:textId="77777777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For the situations where metadata are represented with data in a single or a set of linked resources the implementer should describe how this requirement is going to be realized.</w:t>
            </w:r>
          </w:p>
        </w:tc>
      </w:tr>
      <w:tr w:rsidR="000A59FA" w:rsidRPr="000A59FA" w14:paraId="36FF6D8E" w14:textId="77777777" w:rsidTr="000A59FA">
        <w:trPr>
          <w:trHeight w:val="130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2F4247EF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A1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1CCE6183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RDA-A1-03D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347F8F38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identifier resolves to a digital object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1CA62CC4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01161" w14:textId="1015ADB3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RDA-F1-01D is 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true,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this is true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7763A" w14:textId="2CA208E2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The way a single persistent and unique ID is used to identify the data FAIR data object may depend on the data design.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 xml:space="preserve">For the other situations the implementer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should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describe how this requirement is going to be realized.</w:t>
            </w:r>
          </w:p>
        </w:tc>
      </w:tr>
      <w:tr w:rsidR="000A59FA" w:rsidRPr="000A59FA" w14:paraId="1ACBB7AF" w14:textId="77777777" w:rsidTr="000A59FA">
        <w:trPr>
          <w:trHeight w:val="78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01ABC4D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14:paraId="1CB6960A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RDA-A1-04M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23A6BCBA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Metadata is accessed through </w:t>
            </w:r>
            <w:proofErr w:type="spell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standardised</w:t>
            </w:r>
            <w:proofErr w:type="spellEnd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protocol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4EA2EB2F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54C14" w14:textId="77777777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FHIR specifies standardized mechanisms to access FHIR resources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48B95" w14:textId="42B9D307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0A59FA" w:rsidRPr="000A59FA" w14:paraId="0C39C80C" w14:textId="77777777" w:rsidTr="000A59FA">
        <w:trPr>
          <w:trHeight w:val="78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14528546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14:paraId="3CCF99F5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RDA-A1-04D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03522972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Data is accessible through </w:t>
            </w:r>
            <w:proofErr w:type="spell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standardised</w:t>
            </w:r>
            <w:proofErr w:type="spellEnd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protocol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020C9AF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09639" w14:textId="77777777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FHIR specifies standardized mechanisms to access FHIR resources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FD98E" w14:textId="484211D8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0A59FA" w:rsidRPr="000A59FA" w14:paraId="6A55E7F2" w14:textId="77777777" w:rsidTr="000A59FA">
        <w:trPr>
          <w:trHeight w:val="78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1FBC3553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14:paraId="12567723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RDA-A1-05D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1A254638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can be accessed automatically (</w:t>
            </w:r>
            <w:proofErr w:type="gram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i.e.</w:t>
            </w:r>
            <w:proofErr w:type="gramEnd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by a computer program)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23039748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F5CD4" w14:textId="2CACFD0A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FHIR specifies standardized mechanisms to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automatically access FHIR resources (</w:t>
            </w:r>
            <w:proofErr w:type="gramStart"/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e.g.</w:t>
            </w:r>
            <w:proofErr w:type="gramEnd"/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FHIR API)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90948" w14:textId="03E4460D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0A59FA" w:rsidRPr="000A59FA" w14:paraId="58285DC5" w14:textId="77777777" w:rsidTr="000A59FA">
        <w:trPr>
          <w:trHeight w:val="78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7CB0121E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A1.1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14:paraId="09B3F59F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RDA-A1.1-01M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57E29DD1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is accessible through a free access protocol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2BCD3896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0AE47" w14:textId="77777777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FHIR specifies free access mechanisms to access FHIR resources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2AC730" w14:textId="6BE55AD8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0A59FA" w:rsidRPr="000A59FA" w14:paraId="5C847648" w14:textId="77777777" w:rsidTr="000A59FA">
        <w:trPr>
          <w:trHeight w:val="78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1FA22689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A1.1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14:paraId="2AAD12B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RDA-A1.1-01D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4CB2B743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is accessible through a free access protocol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7F2D708F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41B62" w14:textId="77777777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FHIR specifies free access mechanisms to access FHIR resources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B34C7" w14:textId="6460E795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0A59FA" w:rsidRPr="000A59FA" w14:paraId="3776C3EE" w14:textId="77777777" w:rsidTr="000A59FA">
        <w:trPr>
          <w:trHeight w:val="156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60BA86A4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A1.2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hideMark/>
          </w:tcPr>
          <w:p w14:paraId="6ECC1D4A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RDA-A1.2-01D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278C8650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Data is accessible through an access protocol that supports authentication and </w:t>
            </w:r>
            <w:proofErr w:type="spell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authorisation</w:t>
            </w:r>
            <w:proofErr w:type="spellEnd"/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55096A3A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Useful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D11A1" w14:textId="03742DA5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FHIR is not a security protocol, nor does it define any security related functionality. However, FHIR does define exchange protocols and content models that need to be used with various security protocols defined elsewhere. 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A302B" w14:textId="63CECDAF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0A59FA" w:rsidRPr="000A59FA" w14:paraId="4D724C65" w14:textId="77777777" w:rsidTr="000A59FA">
        <w:trPr>
          <w:trHeight w:val="104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624740EC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6292982A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RDA-A2-01M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2CE47BD2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is guaranteed to remain available after data is no longer available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hideMark/>
          </w:tcPr>
          <w:p w14:paraId="546EE4BB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9B1AD" w14:textId="69F361E6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If RDA-F1-01M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is true, this </w:t>
            </w:r>
            <w:r w:rsidRPr="000A59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is true</w:t>
            </w:r>
          </w:p>
        </w:tc>
        <w:tc>
          <w:tcPr>
            <w:tcW w:w="1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20839" w14:textId="77777777" w:rsidR="000A59FA" w:rsidRPr="000A59FA" w:rsidRDefault="000A59FA" w:rsidP="000A59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For the situations where metadata are represented with data in a single or a set of linked resources the implementer should describe how this requirement is going to be addressed.</w:t>
            </w:r>
          </w:p>
        </w:tc>
      </w:tr>
    </w:tbl>
    <w:p w14:paraId="073606D6" w14:textId="77777777" w:rsidR="00E575BB" w:rsidRPr="00E575BB" w:rsidRDefault="00E575BB" w:rsidP="00E575BB">
      <w:pPr>
        <w:rPr>
          <w:lang w:val="en-US"/>
        </w:rPr>
      </w:pPr>
    </w:p>
    <w:p w14:paraId="3F906DB4" w14:textId="761FE8DA" w:rsidR="00E575BB" w:rsidRDefault="00E575BB" w:rsidP="00E575BB">
      <w:pPr>
        <w:pStyle w:val="Titolo3"/>
        <w:rPr>
          <w:lang w:val="en-US"/>
        </w:rPr>
      </w:pPr>
      <w:r>
        <w:rPr>
          <w:lang w:val="en-US"/>
        </w:rPr>
        <w:t>Interoperable</w:t>
      </w:r>
    </w:p>
    <w:p w14:paraId="52569DCC" w14:textId="2602923D" w:rsidR="00E575BB" w:rsidRDefault="00E575BB" w:rsidP="00E575BB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7"/>
        <w:gridCol w:w="856"/>
        <w:gridCol w:w="627"/>
        <w:gridCol w:w="1559"/>
        <w:gridCol w:w="10418"/>
      </w:tblGrid>
      <w:tr w:rsidR="00C82212" w:rsidRPr="000A59FA" w14:paraId="28B577FB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6E8944B7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INDICATOR_ID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231E106D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INDICATORS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666666" w:fill="666666"/>
            <w:noWrap/>
            <w:vAlign w:val="bottom"/>
            <w:hideMark/>
          </w:tcPr>
          <w:p w14:paraId="5368E775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7A8466BE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Interpretation for HL7 FHIR Data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1155CC" w:fill="1155CC"/>
            <w:noWrap/>
            <w:vAlign w:val="bottom"/>
            <w:hideMark/>
          </w:tcPr>
          <w:p w14:paraId="44666ECD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Notes</w:t>
            </w:r>
          </w:p>
        </w:tc>
      </w:tr>
      <w:tr w:rsidR="00C82212" w:rsidRPr="000A59FA" w14:paraId="6632B662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54C892ED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RDA-I1-01M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2DB97786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Metadata uses knowledge representation expressed in </w:t>
            </w:r>
            <w:proofErr w:type="spell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standardised</w:t>
            </w:r>
            <w:proofErr w:type="spellEnd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format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3F2B18F6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96191" w14:textId="4D1683C6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FHIR provides support for standardized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knowledge representation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ED77" w14:textId="7E92B030" w:rsidR="00A20D87" w:rsidRPr="000A59FA" w:rsidRDefault="00A20D87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C82212" w:rsidRPr="000A59FA" w14:paraId="3B900D8D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428BCABB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RDA-I1-01D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07ED4ED0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Data uses knowledge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lastRenderedPageBreak/>
              <w:t xml:space="preserve">representation expressed in </w:t>
            </w:r>
            <w:proofErr w:type="spell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standardised</w:t>
            </w:r>
            <w:proofErr w:type="spellEnd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format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35F5441A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Important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25850" w14:textId="77F1C8F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FHIR provides support for standardized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lastRenderedPageBreak/>
              <w:t>knowledge representation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B7C0" w14:textId="11B7A0EC" w:rsidR="00A20D87" w:rsidRPr="000A59FA" w:rsidRDefault="00A20D87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C82212" w:rsidRPr="000A59FA" w14:paraId="0ED8B61F" w14:textId="77777777" w:rsidTr="00C82212">
        <w:trPr>
          <w:trHeight w:val="1418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2064BB08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RDA-I1-02M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5367EF75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uses machine-understandable knowledge representation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555A3544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A62C6" w14:textId="4BFF70D2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FHIR provides support for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machine-understandable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standardized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knowledge representation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FD15" w14:textId="2AFC15C6" w:rsidR="00A20D87" w:rsidRPr="000A59FA" w:rsidRDefault="00A20D87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C82212" w:rsidRPr="000A59FA" w14:paraId="4C372741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2ACF77AD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RDA-I1-02D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742EF0B6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uses machine-understandable knowledge representation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47D57BE7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F1FDD" w14:textId="740DB52D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FHIR provides support for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machine-understandable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standardized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knowledge representation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3E0C" w14:textId="4507E239" w:rsidR="00A20D87" w:rsidRPr="000A59FA" w:rsidRDefault="00A20D87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C82212" w:rsidRPr="000A59FA" w14:paraId="41D7F920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7AE9BABB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RDA-I2-01M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73AD9B21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Metadata uses FAIR-compliant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lastRenderedPageBreak/>
              <w:t>vocabularies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66254349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Important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5F55" w14:textId="7E4ACAD7" w:rsidR="00A20D87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FHIR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 provides standardized mechanisms to bind </w:t>
            </w:r>
            <w:proofErr w:type="spellStart"/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codeable</w:t>
            </w:r>
            <w:proofErr w:type="spellEnd"/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 elements to vocabularies.</w:t>
            </w:r>
          </w:p>
          <w:p w14:paraId="3E9342ED" w14:textId="4FC67608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 xml:space="preserve">Communities can enforce the adoption of specific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FAIR-compliant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vocabularies by using FHIR profiles and Implementation Guide.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5E28" w14:textId="30CD2462" w:rsidR="00A20D87" w:rsidRPr="000A59FA" w:rsidRDefault="00A20D87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C82212" w:rsidRPr="000A59FA" w14:paraId="28D3587E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157D1D3D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RDA-I2-01D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7BD7741D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uses FAIR-compliant vocabularies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138E7D44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Useful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2F99B" w14:textId="77777777" w:rsidR="00A20D87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FHIR provides standardized mechanisms to bind </w:t>
            </w:r>
            <w:proofErr w:type="spellStart"/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codeable</w:t>
            </w:r>
            <w:proofErr w:type="spellEnd"/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 elements to vocabularies.</w:t>
            </w:r>
          </w:p>
          <w:p w14:paraId="5C684F93" w14:textId="0F1E784B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Communities can enforce the adoption of specific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FAIR-compliant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vocabularies by using FHIR profiles and Implementation Guide.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AB3F" w14:textId="48F99A4B" w:rsidR="00A20D87" w:rsidRPr="000A59FA" w:rsidRDefault="00A20D87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Please refer to RDA-F1-01M and RDA-F1-01D for the discussion 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distinct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and identifiable metadata and data FAIR objects</w:t>
            </w:r>
          </w:p>
        </w:tc>
      </w:tr>
      <w:tr w:rsidR="00C82212" w:rsidRPr="000A59FA" w14:paraId="7F5CD7E2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4EF6B3FD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6963BF0F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includes references to other metadata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32A58D99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5F6AF" w14:textId="44E96040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FHIR supports </w:t>
            </w:r>
            <w:r w:rsidR="00C82212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different kinds of references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among FHIR resources</w:t>
            </w:r>
            <w:r w:rsidR="00C82212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="00C82212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and also</w:t>
            </w:r>
            <w:proofErr w:type="gramEnd"/>
            <w:r w:rsidR="00C82212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 to non-FHIR objects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51B7" w14:textId="387752B9" w:rsidR="00A20D87" w:rsidRPr="000A59FA" w:rsidRDefault="00A20D87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By using the cross-references </w:t>
            </w:r>
            <w:r w:rsidR="00C82212"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mechanism</w:t>
            </w:r>
            <w:r w:rsid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</w:t>
            </w:r>
            <w:r w:rsidR="00C82212"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it is possible </w:t>
            </w:r>
            <w:r w:rsid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to provide </w:t>
            </w:r>
            <w:r w:rsidR="00C82212"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links with data and metadata</w:t>
            </w:r>
            <w:r w:rsid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, qualifying in some cases also the kind of relationship.</w:t>
            </w:r>
            <w:r w:rsidR="00C82212"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267B9C"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The realization of this requirement </w:t>
            </w:r>
            <w:r w:rsidR="00267B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may depend </w:t>
            </w:r>
            <w:r w:rsidR="00267B9C"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on the </w:t>
            </w:r>
            <w:r w:rsidR="00267B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data and metadata FHIR </w:t>
            </w:r>
            <w:r w:rsidR="00267B9C"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design</w:t>
            </w:r>
            <w:r w:rsidR="00267B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approach</w:t>
            </w:r>
            <w:r w:rsidR="00267B9C"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C82212" w:rsidRPr="000A59FA" w14:paraId="5DC290E7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27D2E36D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RDA-I3-01D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606B9CD8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includ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lastRenderedPageBreak/>
              <w:t>es references to other data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1B6CF8EA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Useful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5F8CF" w14:textId="40939A7A" w:rsidR="00A20D87" w:rsidRPr="000A59FA" w:rsidRDefault="00C82212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E1D6" w14:textId="7C073D58" w:rsidR="00A20D87" w:rsidRPr="000A59FA" w:rsidRDefault="00C82212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</w:tr>
      <w:tr w:rsidR="00C82212" w:rsidRPr="000A59FA" w14:paraId="609A5DFC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C3DD6AC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RDA-I3-02M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3B61356A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includes references to other data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1B4AEE70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Useful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A0ABE" w14:textId="3CC94252" w:rsidR="00A20D87" w:rsidRPr="000A59FA" w:rsidRDefault="00C82212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DC83" w14:textId="10020641" w:rsidR="00A20D87" w:rsidRPr="000A59FA" w:rsidRDefault="00C82212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</w:tr>
      <w:tr w:rsidR="00C82212" w:rsidRPr="000A59FA" w14:paraId="5EDFEE86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1D1488EE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RDA-I3-02D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37D5DA05" w14:textId="77777777" w:rsidR="00A20D87" w:rsidRPr="000A59FA" w:rsidRDefault="00A20D87" w:rsidP="00A20D87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includes qualified references to other data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2219B734" w14:textId="77777777" w:rsidR="00A20D87" w:rsidRPr="000A59FA" w:rsidRDefault="00A20D87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Useful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60102" w14:textId="38B6A383" w:rsidR="00A20D87" w:rsidRPr="000A59FA" w:rsidRDefault="00C82212" w:rsidP="00A20D87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8FA1" w14:textId="51AB9F65" w:rsidR="00A20D87" w:rsidRPr="000A59FA" w:rsidRDefault="00C82212" w:rsidP="00A20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</w:tr>
      <w:tr w:rsidR="00C82212" w:rsidRPr="000A59FA" w14:paraId="4E7577EB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4FCE7F1E" w14:textId="77777777" w:rsidR="00C82212" w:rsidRPr="000A59FA" w:rsidRDefault="00C82212" w:rsidP="00C82212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RDA-I3-03M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3FEF8614" w14:textId="77777777" w:rsidR="00C82212" w:rsidRPr="000A59FA" w:rsidRDefault="00C82212" w:rsidP="00C8221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includes qualified references to other metadata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hideMark/>
          </w:tcPr>
          <w:p w14:paraId="62F7817C" w14:textId="77777777" w:rsidR="00C82212" w:rsidRPr="000A59FA" w:rsidRDefault="00C82212" w:rsidP="00C82212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F522E" w14:textId="0349DB24" w:rsidR="00C82212" w:rsidRPr="000A59FA" w:rsidRDefault="00C82212" w:rsidP="00C82212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8A46" w14:textId="436899FE" w:rsidR="00C82212" w:rsidRPr="000A59FA" w:rsidRDefault="00C82212" w:rsidP="00C8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</w:tr>
      <w:tr w:rsidR="00C82212" w:rsidRPr="000A59FA" w14:paraId="1D376D35" w14:textId="77777777" w:rsidTr="00C82212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D0CECE" w:fill="D0CECE"/>
            <w:hideMark/>
          </w:tcPr>
          <w:p w14:paraId="0B866012" w14:textId="77777777" w:rsidR="00C82212" w:rsidRPr="000A59FA" w:rsidRDefault="00C82212" w:rsidP="00C82212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RDA-I3-04M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3D204305" w14:textId="77777777" w:rsidR="00C82212" w:rsidRPr="000A59FA" w:rsidRDefault="00C82212" w:rsidP="00C8221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include qualified referen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lastRenderedPageBreak/>
              <w:t>ces to other data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19B7DE4D" w14:textId="77777777" w:rsidR="00C82212" w:rsidRPr="000A59FA" w:rsidRDefault="00C82212" w:rsidP="00C82212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Useful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7EE63" w14:textId="55063BA6" w:rsidR="00C82212" w:rsidRPr="000A59FA" w:rsidRDefault="00C82212" w:rsidP="00C82212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u w:val="single"/>
                <w:lang w:val="en-US"/>
              </w:rPr>
            </w:pPr>
            <w:r w:rsidRPr="00C82212">
              <w:rPr>
                <w:rFonts w:ascii="Roboto" w:eastAsia="Times New Roman" w:hAnsi="Roboto" w:cs="Arial"/>
                <w:sz w:val="20"/>
                <w:szCs w:val="20"/>
                <w:u w:val="single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u w:val="single"/>
                <w:lang w:val="en-US"/>
              </w:rPr>
              <w:t>RDA-I3-01M</w:t>
            </w:r>
          </w:p>
        </w:tc>
        <w:tc>
          <w:tcPr>
            <w:tcW w:w="3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3192" w14:textId="6B2B2F6F" w:rsidR="00C82212" w:rsidRPr="000A59FA" w:rsidRDefault="00C82212" w:rsidP="00C8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RDA-I3-01M</w:t>
            </w:r>
          </w:p>
        </w:tc>
      </w:tr>
    </w:tbl>
    <w:p w14:paraId="4BB0FB69" w14:textId="77777777" w:rsidR="000A59FA" w:rsidRDefault="000A59FA" w:rsidP="00E575BB">
      <w:pPr>
        <w:rPr>
          <w:lang w:val="en-US"/>
        </w:rPr>
      </w:pPr>
    </w:p>
    <w:p w14:paraId="565D0E69" w14:textId="72654273" w:rsidR="00E575BB" w:rsidRDefault="00E575BB" w:rsidP="00E575BB">
      <w:pPr>
        <w:pStyle w:val="Titolo3"/>
        <w:rPr>
          <w:lang w:val="en-US"/>
        </w:rPr>
      </w:pPr>
      <w:r>
        <w:rPr>
          <w:lang w:val="en-US"/>
        </w:rPr>
        <w:t>Reusable</w:t>
      </w:r>
    </w:p>
    <w:p w14:paraId="31B31876" w14:textId="3EBE22E3" w:rsidR="000A59FA" w:rsidRDefault="000A59FA" w:rsidP="000A59FA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49"/>
        <w:gridCol w:w="752"/>
        <w:gridCol w:w="5405"/>
        <w:gridCol w:w="6059"/>
      </w:tblGrid>
      <w:tr w:rsidR="008732F0" w:rsidRPr="000A59FA" w14:paraId="473CB597" w14:textId="77777777" w:rsidTr="008732F0">
        <w:trPr>
          <w:trHeight w:val="315"/>
        </w:trPr>
        <w:tc>
          <w:tcPr>
            <w:tcW w:w="354" w:type="pct"/>
            <w:shd w:val="clear" w:color="666666" w:fill="666666"/>
            <w:noWrap/>
            <w:vAlign w:val="bottom"/>
            <w:hideMark/>
          </w:tcPr>
          <w:p w14:paraId="491DBFCB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INDICATOR_ID</w:t>
            </w:r>
          </w:p>
        </w:tc>
        <w:tc>
          <w:tcPr>
            <w:tcW w:w="367" w:type="pct"/>
            <w:shd w:val="clear" w:color="666666" w:fill="666666"/>
            <w:noWrap/>
            <w:vAlign w:val="bottom"/>
            <w:hideMark/>
          </w:tcPr>
          <w:p w14:paraId="1553B78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INDICATORS</w:t>
            </w:r>
          </w:p>
        </w:tc>
        <w:tc>
          <w:tcPr>
            <w:tcW w:w="263" w:type="pct"/>
            <w:shd w:val="clear" w:color="666666" w:fill="666666"/>
            <w:noWrap/>
            <w:vAlign w:val="bottom"/>
            <w:hideMark/>
          </w:tcPr>
          <w:p w14:paraId="47B35A6E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93" w:type="pct"/>
            <w:shd w:val="clear" w:color="1155CC" w:fill="1155CC"/>
            <w:noWrap/>
            <w:vAlign w:val="bottom"/>
            <w:hideMark/>
          </w:tcPr>
          <w:p w14:paraId="46A0F8E4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Interpretation for HL7 FHIR Data</w:t>
            </w:r>
          </w:p>
        </w:tc>
        <w:tc>
          <w:tcPr>
            <w:tcW w:w="2122" w:type="pct"/>
            <w:shd w:val="clear" w:color="1155CC" w:fill="1155CC"/>
            <w:noWrap/>
            <w:vAlign w:val="bottom"/>
            <w:hideMark/>
          </w:tcPr>
          <w:p w14:paraId="28790EE2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b/>
                <w:bCs/>
                <w:color w:val="FFFFFF"/>
                <w:sz w:val="20"/>
                <w:szCs w:val="20"/>
                <w:lang w:val="en-US"/>
              </w:rPr>
              <w:t>Notes</w:t>
            </w:r>
          </w:p>
        </w:tc>
      </w:tr>
      <w:tr w:rsidR="008732F0" w:rsidRPr="000A59FA" w14:paraId="50F40295" w14:textId="77777777" w:rsidTr="008732F0">
        <w:trPr>
          <w:trHeight w:val="315"/>
        </w:trPr>
        <w:tc>
          <w:tcPr>
            <w:tcW w:w="354" w:type="pct"/>
            <w:shd w:val="clear" w:color="D0CECE" w:fill="D0CECE"/>
            <w:hideMark/>
          </w:tcPr>
          <w:p w14:paraId="7F0F324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RDA-R1-01M</w:t>
            </w:r>
          </w:p>
        </w:tc>
        <w:tc>
          <w:tcPr>
            <w:tcW w:w="367" w:type="pct"/>
            <w:shd w:val="clear" w:color="93C47D" w:fill="93C47D"/>
            <w:hideMark/>
          </w:tcPr>
          <w:p w14:paraId="0507BDA3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Plurality of accurate and relevant attributes are provided to allow reuse</w:t>
            </w:r>
          </w:p>
        </w:tc>
        <w:tc>
          <w:tcPr>
            <w:tcW w:w="263" w:type="pct"/>
            <w:shd w:val="clear" w:color="93C47D" w:fill="93C47D"/>
            <w:hideMark/>
          </w:tcPr>
          <w:p w14:paraId="1502B769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893" w:type="pct"/>
            <w:shd w:val="clear" w:color="auto" w:fill="auto"/>
            <w:hideMark/>
          </w:tcPr>
          <w:p w14:paraId="5089F461" w14:textId="2B50BC93" w:rsidR="008732F0" w:rsidRDefault="008732F0" w:rsidP="008732F0">
            <w:pPr>
              <w:rPr>
                <w:lang w:val="en-US"/>
              </w:rPr>
            </w:pPr>
            <w:r w:rsidRPr="008732F0">
              <w:rPr>
                <w:lang w:val="en-US"/>
              </w:rPr>
              <w:t xml:space="preserve">Each HL7 FHIR resource includes a rich set of attributes </w:t>
            </w:r>
            <w:r>
              <w:rPr>
                <w:lang w:val="en-US"/>
              </w:rPr>
              <w:t xml:space="preserve">describing </w:t>
            </w:r>
            <w:r w:rsidRPr="008732F0">
              <w:rPr>
                <w:lang w:val="en-US"/>
              </w:rPr>
              <w:t>most relevant data and metadata</w:t>
            </w:r>
            <w:r>
              <w:rPr>
                <w:lang w:val="en-US"/>
              </w:rPr>
              <w:t>.</w:t>
            </w:r>
          </w:p>
          <w:p w14:paraId="1DE511AB" w14:textId="77777777" w:rsidR="000A59FA" w:rsidRDefault="008732F0" w:rsidP="008732F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732F0">
              <w:rPr>
                <w:lang w:val="en-US"/>
              </w:rPr>
              <w:t xml:space="preserve"> formal extension mechanism is also specified by that standard to cover additional requirements.</w:t>
            </w:r>
          </w:p>
          <w:p w14:paraId="2442FC88" w14:textId="77E38B15" w:rsidR="008732F0" w:rsidRPr="000A59FA" w:rsidRDefault="008732F0" w:rsidP="008732F0">
            <w:pPr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Implementers may define community profiles and implementation guide to enforce this requirement.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38DEA887" w14:textId="6F5BAD25" w:rsidR="000A59FA" w:rsidRPr="000A59FA" w:rsidRDefault="000A59FA" w:rsidP="000A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32F0" w:rsidRPr="000A59FA" w14:paraId="43181B1B" w14:textId="77777777" w:rsidTr="008732F0">
        <w:trPr>
          <w:trHeight w:val="315"/>
        </w:trPr>
        <w:tc>
          <w:tcPr>
            <w:tcW w:w="354" w:type="pct"/>
            <w:shd w:val="clear" w:color="D0CECE" w:fill="D0CECE"/>
            <w:hideMark/>
          </w:tcPr>
          <w:p w14:paraId="3C13E92B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RDA-R1.1-01M</w:t>
            </w:r>
          </w:p>
        </w:tc>
        <w:tc>
          <w:tcPr>
            <w:tcW w:w="367" w:type="pct"/>
            <w:shd w:val="clear" w:color="93C47D" w:fill="93C47D"/>
            <w:hideMark/>
          </w:tcPr>
          <w:p w14:paraId="62E4E4B2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Metadata includes information about the </w:t>
            </w:r>
            <w:proofErr w:type="spell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licence</w:t>
            </w:r>
            <w:proofErr w:type="spellEnd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under which the data can be reused</w:t>
            </w:r>
          </w:p>
        </w:tc>
        <w:tc>
          <w:tcPr>
            <w:tcW w:w="263" w:type="pct"/>
            <w:shd w:val="clear" w:color="93C47D" w:fill="93C47D"/>
            <w:hideMark/>
          </w:tcPr>
          <w:p w14:paraId="022664D9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893" w:type="pct"/>
            <w:shd w:val="clear" w:color="auto" w:fill="auto"/>
            <w:hideMark/>
          </w:tcPr>
          <w:p w14:paraId="15F786B1" w14:textId="0BEA48E6" w:rsidR="000A59FA" w:rsidRPr="000A59FA" w:rsidRDefault="00C82212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FHIR provides means to specify the </w:t>
            </w:r>
            <w:r w:rsidR="00267B9C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license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 </w:t>
            </w:r>
            <w:r w:rsidR="00267B9C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that applies to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a set of resources. </w:t>
            </w:r>
            <w:r w:rsidR="00267B9C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Implementers may define community profiles and implementation guide to enforce this requirement.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53F6EE12" w14:textId="26D66709" w:rsidR="000A59FA" w:rsidRPr="000A59FA" w:rsidRDefault="00C82212" w:rsidP="000A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The realization of this requirement </w:t>
            </w:r>
            <w:r w:rsidR="00267B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may depend </w:t>
            </w: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on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data and metadata FHIR </w:t>
            </w: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design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267B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approach. (</w:t>
            </w:r>
            <w:proofErr w:type="gramStart"/>
            <w:r w:rsidR="00267B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see</w:t>
            </w:r>
            <w:proofErr w:type="gramEnd"/>
            <w:r w:rsidR="00267B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also </w:t>
            </w:r>
            <w:r w:rsidR="00267B9C"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RDA-F1-01M and RDA-F1-01D</w:t>
            </w:r>
            <w:r w:rsidR="00267B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8732F0" w:rsidRPr="000A59FA" w14:paraId="6C3EC6B0" w14:textId="77777777" w:rsidTr="008732F0">
        <w:trPr>
          <w:trHeight w:val="315"/>
        </w:trPr>
        <w:tc>
          <w:tcPr>
            <w:tcW w:w="354" w:type="pct"/>
            <w:shd w:val="clear" w:color="D0CECE" w:fill="D0CECE"/>
            <w:hideMark/>
          </w:tcPr>
          <w:p w14:paraId="0ED4AA3C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RDA-R1.1-02M</w:t>
            </w:r>
          </w:p>
        </w:tc>
        <w:tc>
          <w:tcPr>
            <w:tcW w:w="367" w:type="pct"/>
            <w:shd w:val="clear" w:color="B6D7A8" w:fill="B6D7A8"/>
            <w:hideMark/>
          </w:tcPr>
          <w:p w14:paraId="0F9387F5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Metadata refers to a standard reuse </w:t>
            </w:r>
            <w:proofErr w:type="spell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licence</w:t>
            </w:r>
            <w:proofErr w:type="spellEnd"/>
          </w:p>
        </w:tc>
        <w:tc>
          <w:tcPr>
            <w:tcW w:w="263" w:type="pct"/>
            <w:shd w:val="clear" w:color="B6D7A8" w:fill="B6D7A8"/>
            <w:hideMark/>
          </w:tcPr>
          <w:p w14:paraId="29D37269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1893" w:type="pct"/>
            <w:shd w:val="clear" w:color="auto" w:fill="auto"/>
            <w:hideMark/>
          </w:tcPr>
          <w:p w14:paraId="2FD8E6A9" w14:textId="2AAEB88A" w:rsidR="000A59FA" w:rsidRPr="000A59FA" w:rsidRDefault="00267B9C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RDA-R1.1-01M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2F15A3EF" w14:textId="771967DC" w:rsidR="000A59FA" w:rsidRPr="000A59FA" w:rsidRDefault="00267B9C" w:rsidP="000A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RDA-R1.1-01M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. </w:t>
            </w:r>
          </w:p>
        </w:tc>
      </w:tr>
      <w:tr w:rsidR="008732F0" w:rsidRPr="000A59FA" w14:paraId="02B6A8FC" w14:textId="77777777" w:rsidTr="008732F0">
        <w:trPr>
          <w:trHeight w:val="315"/>
        </w:trPr>
        <w:tc>
          <w:tcPr>
            <w:tcW w:w="354" w:type="pct"/>
            <w:shd w:val="clear" w:color="D0CECE" w:fill="D0CECE"/>
            <w:hideMark/>
          </w:tcPr>
          <w:p w14:paraId="3F5936FD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RDA-R1.1-03M</w:t>
            </w:r>
          </w:p>
        </w:tc>
        <w:tc>
          <w:tcPr>
            <w:tcW w:w="367" w:type="pct"/>
            <w:shd w:val="clear" w:color="B6D7A8" w:fill="B6D7A8"/>
            <w:hideMark/>
          </w:tcPr>
          <w:p w14:paraId="5C9F54DC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Metadata refers to a machine-understandable reuse </w:t>
            </w:r>
            <w:proofErr w:type="spellStart"/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licence</w:t>
            </w:r>
            <w:proofErr w:type="spellEnd"/>
          </w:p>
        </w:tc>
        <w:tc>
          <w:tcPr>
            <w:tcW w:w="263" w:type="pct"/>
            <w:shd w:val="clear" w:color="B6D7A8" w:fill="B6D7A8"/>
            <w:hideMark/>
          </w:tcPr>
          <w:p w14:paraId="67876AAA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1893" w:type="pct"/>
            <w:shd w:val="clear" w:color="auto" w:fill="auto"/>
            <w:hideMark/>
          </w:tcPr>
          <w:p w14:paraId="5113E76E" w14:textId="0166BA56" w:rsidR="000A59FA" w:rsidRPr="000A59FA" w:rsidRDefault="00267B9C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RDA-R1.1-01M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03A2417A" w14:textId="7E47E736" w:rsidR="000A59FA" w:rsidRPr="000A59FA" w:rsidRDefault="00267B9C" w:rsidP="000A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RDA-R1.1-01M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.</w:t>
            </w:r>
          </w:p>
        </w:tc>
      </w:tr>
      <w:tr w:rsidR="008732F0" w:rsidRPr="000A59FA" w14:paraId="0BD003C8" w14:textId="77777777" w:rsidTr="008732F0">
        <w:trPr>
          <w:trHeight w:val="315"/>
        </w:trPr>
        <w:tc>
          <w:tcPr>
            <w:tcW w:w="354" w:type="pct"/>
            <w:shd w:val="clear" w:color="D0CECE" w:fill="D0CECE"/>
            <w:hideMark/>
          </w:tcPr>
          <w:p w14:paraId="347D7FD9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RDA-R1.2-01M</w:t>
            </w:r>
          </w:p>
        </w:tc>
        <w:tc>
          <w:tcPr>
            <w:tcW w:w="367" w:type="pct"/>
            <w:shd w:val="clear" w:color="B6D7A8" w:fill="B6D7A8"/>
            <w:hideMark/>
          </w:tcPr>
          <w:p w14:paraId="4D9E796E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includes provenance information according to community-specific standards</w:t>
            </w:r>
          </w:p>
        </w:tc>
        <w:tc>
          <w:tcPr>
            <w:tcW w:w="263" w:type="pct"/>
            <w:shd w:val="clear" w:color="B6D7A8" w:fill="B6D7A8"/>
            <w:hideMark/>
          </w:tcPr>
          <w:p w14:paraId="53A55A62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1893" w:type="pct"/>
            <w:shd w:val="clear" w:color="auto" w:fill="auto"/>
            <w:hideMark/>
          </w:tcPr>
          <w:p w14:paraId="6B8673BA" w14:textId="77777777" w:rsidR="000A59FA" w:rsidRDefault="00267B9C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FHIR includes a Provence resource enabling the recording of information sources and of the actions applied to them. </w:t>
            </w:r>
          </w:p>
          <w:p w14:paraId="09895140" w14:textId="64CA3D13" w:rsidR="00267B9C" w:rsidRPr="000A59FA" w:rsidRDefault="00267B9C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Implementers may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adopt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 community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or cross-community </w:t>
            </w: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profiles and implementation guide to enforce this requirement.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73FEAA16" w14:textId="08B509C6" w:rsidR="000A59FA" w:rsidRPr="000A59FA" w:rsidRDefault="00267B9C" w:rsidP="000A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The realization of this requirement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may depend </w:t>
            </w: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on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data and metadata FHIR </w:t>
            </w: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design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approach. 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also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RDA-F1-01M and RDA-F1-01D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8732F0" w:rsidRPr="000A59FA" w14:paraId="4262B5BC" w14:textId="77777777" w:rsidTr="008732F0">
        <w:trPr>
          <w:trHeight w:val="315"/>
        </w:trPr>
        <w:tc>
          <w:tcPr>
            <w:tcW w:w="354" w:type="pct"/>
            <w:shd w:val="clear" w:color="D0CECE" w:fill="D0CECE"/>
            <w:hideMark/>
          </w:tcPr>
          <w:p w14:paraId="462DD7D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RDA-R1.2-02M</w:t>
            </w:r>
          </w:p>
        </w:tc>
        <w:tc>
          <w:tcPr>
            <w:tcW w:w="367" w:type="pct"/>
            <w:shd w:val="clear" w:color="D9EAD3" w:fill="D9EAD3"/>
            <w:hideMark/>
          </w:tcPr>
          <w:p w14:paraId="67BD1D54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includes provenance information according to a cross-community language</w:t>
            </w:r>
          </w:p>
        </w:tc>
        <w:tc>
          <w:tcPr>
            <w:tcW w:w="263" w:type="pct"/>
            <w:shd w:val="clear" w:color="D9EAD3" w:fill="D9EAD3"/>
            <w:hideMark/>
          </w:tcPr>
          <w:p w14:paraId="5D1B0664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Useful</w:t>
            </w:r>
          </w:p>
        </w:tc>
        <w:tc>
          <w:tcPr>
            <w:tcW w:w="1893" w:type="pct"/>
            <w:shd w:val="clear" w:color="auto" w:fill="auto"/>
            <w:hideMark/>
          </w:tcPr>
          <w:p w14:paraId="70D1133A" w14:textId="4858918F" w:rsidR="000A59FA" w:rsidRPr="000A59FA" w:rsidRDefault="00267B9C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RDA-R1.2-01M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1FDB7D4D" w14:textId="4D3A32E3" w:rsidR="000A59FA" w:rsidRPr="000A59FA" w:rsidRDefault="00267B9C" w:rsidP="000A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RDA-R1.2-01M</w:t>
            </w:r>
          </w:p>
        </w:tc>
      </w:tr>
      <w:tr w:rsidR="008732F0" w:rsidRPr="000A59FA" w14:paraId="00FAD8FD" w14:textId="77777777" w:rsidTr="008732F0">
        <w:trPr>
          <w:trHeight w:val="315"/>
        </w:trPr>
        <w:tc>
          <w:tcPr>
            <w:tcW w:w="354" w:type="pct"/>
            <w:shd w:val="clear" w:color="D0CECE" w:fill="D0CECE"/>
            <w:hideMark/>
          </w:tcPr>
          <w:p w14:paraId="5FE2C111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RDA-R1.3-01M</w:t>
            </w:r>
          </w:p>
        </w:tc>
        <w:tc>
          <w:tcPr>
            <w:tcW w:w="367" w:type="pct"/>
            <w:shd w:val="clear" w:color="93C47D" w:fill="93C47D"/>
            <w:hideMark/>
          </w:tcPr>
          <w:p w14:paraId="191585DD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Metadata complies with a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lastRenderedPageBreak/>
              <w:t>community standard</w:t>
            </w:r>
          </w:p>
        </w:tc>
        <w:tc>
          <w:tcPr>
            <w:tcW w:w="263" w:type="pct"/>
            <w:shd w:val="clear" w:color="93C47D" w:fill="93C47D"/>
            <w:hideMark/>
          </w:tcPr>
          <w:p w14:paraId="69BD3D35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lastRenderedPageBreak/>
              <w:t>Essential</w:t>
            </w:r>
          </w:p>
        </w:tc>
        <w:tc>
          <w:tcPr>
            <w:tcW w:w="1893" w:type="pct"/>
            <w:shd w:val="clear" w:color="auto" w:fill="auto"/>
            <w:hideMark/>
          </w:tcPr>
          <w:p w14:paraId="348D48FA" w14:textId="66552905" w:rsidR="000A59FA" w:rsidRDefault="00040B25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FHIR is a standard that can be used to represent human and machine-readable metadata and data information.</w:t>
            </w:r>
          </w:p>
          <w:p w14:paraId="1BE216DD" w14:textId="36E246BD" w:rsidR="00040B25" w:rsidRPr="000A59FA" w:rsidRDefault="00040B25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It defines formal profiling mechanisms to specify </w:t>
            </w: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community</w:t>
            </w:r>
            <w:r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 xml:space="preserve"> agreed rules.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4B93D262" w14:textId="74C0329C" w:rsidR="000A59FA" w:rsidRPr="000A59FA" w:rsidRDefault="00040B25" w:rsidP="000A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The realization of this requirement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may depend </w:t>
            </w: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on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data and metadata FHIR </w:t>
            </w:r>
            <w:r w:rsidRPr="00C822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design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approach. 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also </w:t>
            </w:r>
            <w:r w:rsidRPr="000A59F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RDA-F1-01M and RDA-F1-01D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8732F0" w:rsidRPr="000A59FA" w14:paraId="441590C6" w14:textId="77777777" w:rsidTr="008732F0">
        <w:trPr>
          <w:trHeight w:val="315"/>
        </w:trPr>
        <w:tc>
          <w:tcPr>
            <w:tcW w:w="354" w:type="pct"/>
            <w:shd w:val="clear" w:color="D0CECE" w:fill="D0CECE"/>
            <w:hideMark/>
          </w:tcPr>
          <w:p w14:paraId="32631E27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RDA-R1.3-01D</w:t>
            </w:r>
          </w:p>
        </w:tc>
        <w:tc>
          <w:tcPr>
            <w:tcW w:w="367" w:type="pct"/>
            <w:shd w:val="clear" w:color="93C47D" w:fill="93C47D"/>
            <w:hideMark/>
          </w:tcPr>
          <w:p w14:paraId="1F889982" w14:textId="77777777" w:rsidR="000A59FA" w:rsidRPr="000A59FA" w:rsidRDefault="000A59FA" w:rsidP="000A59FA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complies with a community standard</w:t>
            </w:r>
          </w:p>
        </w:tc>
        <w:tc>
          <w:tcPr>
            <w:tcW w:w="263" w:type="pct"/>
            <w:shd w:val="clear" w:color="93C47D" w:fill="93C47D"/>
            <w:hideMark/>
          </w:tcPr>
          <w:p w14:paraId="5675DF50" w14:textId="77777777" w:rsidR="000A59FA" w:rsidRPr="000A59FA" w:rsidRDefault="000A59FA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893" w:type="pct"/>
            <w:shd w:val="clear" w:color="auto" w:fill="auto"/>
            <w:hideMark/>
          </w:tcPr>
          <w:p w14:paraId="0304E269" w14:textId="5307F69B" w:rsidR="000A59FA" w:rsidRPr="000A59FA" w:rsidRDefault="00040B25" w:rsidP="000A59FA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RDA-R1.3-01M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6D6E85F2" w14:textId="5EB803A1" w:rsidR="000A59FA" w:rsidRPr="000A59FA" w:rsidRDefault="008732F0" w:rsidP="000A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RDA-R1.3-01M</w:t>
            </w:r>
          </w:p>
        </w:tc>
      </w:tr>
      <w:tr w:rsidR="008732F0" w:rsidRPr="000A59FA" w14:paraId="2B9BAB7F" w14:textId="77777777" w:rsidTr="008732F0">
        <w:trPr>
          <w:trHeight w:val="1060"/>
        </w:trPr>
        <w:tc>
          <w:tcPr>
            <w:tcW w:w="354" w:type="pct"/>
            <w:shd w:val="clear" w:color="D0CECE" w:fill="D0CECE"/>
            <w:hideMark/>
          </w:tcPr>
          <w:p w14:paraId="0A5FD014" w14:textId="77777777" w:rsidR="008732F0" w:rsidRPr="000A59FA" w:rsidRDefault="008732F0" w:rsidP="008732F0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RDA-R1.3-02M</w:t>
            </w:r>
          </w:p>
        </w:tc>
        <w:tc>
          <w:tcPr>
            <w:tcW w:w="367" w:type="pct"/>
            <w:shd w:val="clear" w:color="93C47D" w:fill="93C47D"/>
            <w:hideMark/>
          </w:tcPr>
          <w:p w14:paraId="18BE4212" w14:textId="77777777" w:rsidR="008732F0" w:rsidRPr="000A59FA" w:rsidRDefault="008732F0" w:rsidP="008732F0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Metadata is expressed in compliance with a machine-understandable community standard</w:t>
            </w:r>
          </w:p>
        </w:tc>
        <w:tc>
          <w:tcPr>
            <w:tcW w:w="263" w:type="pct"/>
            <w:shd w:val="clear" w:color="93C47D" w:fill="93C47D"/>
            <w:hideMark/>
          </w:tcPr>
          <w:p w14:paraId="55F965DC" w14:textId="77777777" w:rsidR="008732F0" w:rsidRPr="000A59FA" w:rsidRDefault="008732F0" w:rsidP="008732F0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Essential</w:t>
            </w:r>
          </w:p>
        </w:tc>
        <w:tc>
          <w:tcPr>
            <w:tcW w:w="1893" w:type="pct"/>
            <w:shd w:val="clear" w:color="auto" w:fill="auto"/>
            <w:hideMark/>
          </w:tcPr>
          <w:p w14:paraId="5BC58109" w14:textId="32259419" w:rsidR="008732F0" w:rsidRPr="000A59FA" w:rsidRDefault="008732F0" w:rsidP="008732F0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RDA-R1.3-01M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42F4277C" w14:textId="66AF5F51" w:rsidR="008732F0" w:rsidRPr="000A59FA" w:rsidRDefault="008732F0" w:rsidP="0087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RDA-R1.3-01M</w:t>
            </w:r>
          </w:p>
        </w:tc>
      </w:tr>
      <w:tr w:rsidR="008732F0" w:rsidRPr="000A59FA" w14:paraId="1C4F4D9B" w14:textId="77777777" w:rsidTr="008732F0">
        <w:trPr>
          <w:trHeight w:val="795"/>
        </w:trPr>
        <w:tc>
          <w:tcPr>
            <w:tcW w:w="354" w:type="pct"/>
            <w:shd w:val="clear" w:color="D0CECE" w:fill="D0CECE"/>
            <w:hideMark/>
          </w:tcPr>
          <w:p w14:paraId="0E0EECC0" w14:textId="77777777" w:rsidR="008732F0" w:rsidRPr="000A59FA" w:rsidRDefault="008732F0" w:rsidP="008732F0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RDA-R1.3-02D</w:t>
            </w:r>
          </w:p>
        </w:tc>
        <w:tc>
          <w:tcPr>
            <w:tcW w:w="367" w:type="pct"/>
            <w:shd w:val="clear" w:color="B6D7A8" w:fill="B6D7A8"/>
            <w:hideMark/>
          </w:tcPr>
          <w:p w14:paraId="6D9D2B68" w14:textId="77777777" w:rsidR="008732F0" w:rsidRPr="000A59FA" w:rsidRDefault="008732F0" w:rsidP="008732F0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color w:val="000000"/>
                <w:sz w:val="20"/>
                <w:szCs w:val="20"/>
                <w:lang w:val="en-US"/>
              </w:rPr>
              <w:t>Data is expressed in compliance with a machine-understandable community standard</w:t>
            </w:r>
          </w:p>
        </w:tc>
        <w:tc>
          <w:tcPr>
            <w:tcW w:w="263" w:type="pct"/>
            <w:shd w:val="clear" w:color="B6D7A8" w:fill="B6D7A8"/>
            <w:hideMark/>
          </w:tcPr>
          <w:p w14:paraId="419734AF" w14:textId="77777777" w:rsidR="008732F0" w:rsidRPr="000A59FA" w:rsidRDefault="008732F0" w:rsidP="008732F0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1893" w:type="pct"/>
            <w:shd w:val="clear" w:color="auto" w:fill="auto"/>
            <w:hideMark/>
          </w:tcPr>
          <w:p w14:paraId="60CCF9CF" w14:textId="45691263" w:rsidR="008732F0" w:rsidRPr="000A59FA" w:rsidRDefault="008732F0" w:rsidP="008732F0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RDA-R1.3-01M</w:t>
            </w:r>
          </w:p>
        </w:tc>
        <w:tc>
          <w:tcPr>
            <w:tcW w:w="2122" w:type="pct"/>
            <w:shd w:val="clear" w:color="auto" w:fill="auto"/>
            <w:noWrap/>
            <w:vAlign w:val="bottom"/>
            <w:hideMark/>
          </w:tcPr>
          <w:p w14:paraId="32986B0B" w14:textId="6AF3306F" w:rsidR="008732F0" w:rsidRPr="000A59FA" w:rsidRDefault="008732F0" w:rsidP="0087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 xml:space="preserve">See </w:t>
            </w:r>
            <w:r w:rsidRPr="000A59FA">
              <w:rPr>
                <w:rFonts w:ascii="Roboto" w:eastAsia="Times New Roman" w:hAnsi="Roboto" w:cs="Arial"/>
                <w:sz w:val="20"/>
                <w:szCs w:val="20"/>
                <w:lang w:val="en-US"/>
              </w:rPr>
              <w:t>RDA-R1.3-01M</w:t>
            </w:r>
          </w:p>
        </w:tc>
      </w:tr>
    </w:tbl>
    <w:p w14:paraId="1F4D24E6" w14:textId="77777777" w:rsidR="000A59FA" w:rsidRPr="000A59FA" w:rsidRDefault="000A59FA" w:rsidP="000A59FA">
      <w:pPr>
        <w:rPr>
          <w:lang w:val="en-US"/>
        </w:rPr>
      </w:pPr>
    </w:p>
    <w:sectPr w:rsidR="000A59FA" w:rsidRPr="000A59FA" w:rsidSect="001835E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0B25"/>
    <w:rsid w:val="00041908"/>
    <w:rsid w:val="000519BB"/>
    <w:rsid w:val="00053900"/>
    <w:rsid w:val="00061795"/>
    <w:rsid w:val="00090A9B"/>
    <w:rsid w:val="00090D2C"/>
    <w:rsid w:val="00092337"/>
    <w:rsid w:val="00095595"/>
    <w:rsid w:val="000A59FA"/>
    <w:rsid w:val="000C47B3"/>
    <w:rsid w:val="001011BD"/>
    <w:rsid w:val="001242CD"/>
    <w:rsid w:val="00126888"/>
    <w:rsid w:val="00165320"/>
    <w:rsid w:val="001767E5"/>
    <w:rsid w:val="001835E9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67B9C"/>
    <w:rsid w:val="00270D11"/>
    <w:rsid w:val="002A7595"/>
    <w:rsid w:val="002C0E23"/>
    <w:rsid w:val="002D2BAC"/>
    <w:rsid w:val="002E49C9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5030A"/>
    <w:rsid w:val="00470E36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732F0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97B28"/>
    <w:rsid w:val="009B5592"/>
    <w:rsid w:val="009D1FE1"/>
    <w:rsid w:val="00A20D87"/>
    <w:rsid w:val="00A40FA0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27ABB"/>
    <w:rsid w:val="00C428BF"/>
    <w:rsid w:val="00C8070D"/>
    <w:rsid w:val="00C82212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575BB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79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DAMetric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11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170</cp:revision>
  <dcterms:created xsi:type="dcterms:W3CDTF">2020-04-05T12:56:00Z</dcterms:created>
  <dcterms:modified xsi:type="dcterms:W3CDTF">2021-06-21T16:40:00Z</dcterms:modified>
</cp:coreProperties>
</file>