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7566809C"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r w:rsidRPr="00B7397C">
        <w:t>Findable</w:t>
      </w:r>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192"/>
        <w:gridCol w:w="1501"/>
        <w:gridCol w:w="3876"/>
        <w:gridCol w:w="4788"/>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873F41"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77777777"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77777777"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Depending on the usage context and on the kind of metadata to deal with, implementers may choose different means ,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77777777"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Pr="00B7397C">
                <w:rPr>
                  <w:rStyle w:val="Collegamentoipertestuale"/>
                  <w:rFonts w:eastAsiaTheme="majorEastAsia"/>
                  <w:color w:val="0052CC"/>
                  <w:lang w:val="en-US"/>
                </w:rPr>
                <w:t>Metadata and data</w:t>
              </w:r>
            </w:hyperlink>
            <w:r w:rsidRPr="00B7397C">
              <w:rPr>
                <w:lang w:val="en-US"/>
              </w:rPr>
              <w:t> ).</w:t>
            </w:r>
          </w:p>
          <w:p w14:paraId="3BCBFDC9" w14:textId="77777777"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but more complex is to turn this definition in the reality with a clear distinction between data and metadata. In fact, what is “data” and what is “metadata” is a matter of perspective: based on the context, the same information can be 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2AD4635D" w14:textId="77777777" w:rsidR="00B7397C" w:rsidRPr="00B7397C"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requirement,  determining case by case, and in dependence of the type of data (study level or </w:t>
            </w:r>
            <w:r w:rsidRPr="00B7397C">
              <w:rPr>
                <w:lang w:val="en-US"/>
              </w:rPr>
              <w:lastRenderedPageBreak/>
              <w:t>subject level data), what are the actual information to label as metadata, that should and can be distinguished by the associated data. Assuming that other information, that could be considered as well as metadata might be recorded in the same object , recording the data.</w:t>
            </w:r>
          </w:p>
        </w:tc>
      </w:tr>
      <w:tr w:rsidR="00B7397C" w:rsidRPr="00873F41"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r>
              <w:rPr>
                <w:u w:val="single"/>
              </w:rP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r>
              <w:t>See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r>
              <w:rPr>
                <w:color w:val="333333"/>
              </w:rPr>
              <w:t>See</w:t>
            </w:r>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r>
              <w:t>See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r>
              <w:rPr>
                <w:color w:val="333333"/>
              </w:rPr>
              <w:t>See</w:t>
            </w:r>
            <w:r>
              <w:t> RDA-F1-01D.</w:t>
            </w:r>
          </w:p>
        </w:tc>
      </w:tr>
      <w:tr w:rsidR="00B7397C" w:rsidRPr="00873F41"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Moreover through FHIR profiling </w:t>
            </w:r>
            <w:r w:rsidRPr="00B7397C">
              <w:rPr>
                <w:lang w:val="en-US"/>
              </w:rPr>
              <w:lastRenderedPageBreak/>
              <w:t>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metadata, </w:t>
            </w:r>
            <w:r w:rsidRPr="00B7397C">
              <w:rPr>
                <w:lang w:val="en-US"/>
              </w:rPr>
              <w:lastRenderedPageBreak/>
              <w:t>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77777777"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Pr="00B7397C">
                <w:rPr>
                  <w:rStyle w:val="Collegamentoipertestuale"/>
                  <w:rFonts w:eastAsiaTheme="majorEastAsia"/>
                  <w:color w:val="0052CC"/>
                  <w:lang w:val="en-US"/>
                </w:rPr>
                <w:t>Metadata and data</w:t>
              </w:r>
            </w:hyperlink>
            <w:r w:rsidRPr="00B7397C">
              <w:rPr>
                <w:lang w:val="en-US"/>
              </w:rPr>
              <w:t> 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77777777" w:rsidR="00B7397C" w:rsidRPr="00B7397C" w:rsidRDefault="00B7397C">
            <w:pPr>
              <w:pStyle w:val="NormaleWeb"/>
              <w:spacing w:before="150" w:beforeAutospacing="0" w:after="0" w:afterAutospacing="0"/>
              <w:rPr>
                <w:lang w:val="en-US"/>
              </w:rPr>
            </w:pPr>
            <w:r w:rsidRPr="00B7397C">
              <w:rPr>
                <w:lang w:val="en-US"/>
              </w:rPr>
              <w:t>Communities should define what is meant with "rich" metadata for the use cases they need to cover ;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873F41"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data; implementers </w:t>
            </w:r>
            <w:r w:rsidRPr="00B7397C">
              <w:rPr>
                <w:lang w:val="en-US"/>
              </w:rPr>
              <w:lastRenderedPageBreak/>
              <w:t>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FHIR resource, per business identifier or per url. </w:t>
            </w:r>
            <w:r w:rsidRPr="00B7397C">
              <w:rPr>
                <w:lang w:val="en-US"/>
              </w:rPr>
              <w:lastRenderedPageBreak/>
              <w:t>Implementers should use appropriate FHIR conformance resources to declare how this is done.</w:t>
            </w:r>
          </w:p>
        </w:tc>
      </w:tr>
      <w:tr w:rsidR="00B7397C" w:rsidRPr="00873F41"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r w:rsidRPr="00B7397C">
              <w:rPr>
                <w:color w:val="172B4D"/>
                <w:lang w:val="en-US"/>
              </w:rPr>
              <w:t>In order to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can be used. The extent of data and metadata that have to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Each community should define what are the relevant metadata and data that have to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Implementers should look for specific FHIR Conformance resources and/or Implementation Guides that describe the metadata and data elements that shall or should be provided to a FHIR server for the use case in question and registered or indexed by that server. HL7 FHIR CapabilityStatement, SearchParameter, StructureDefiniton ,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r>
        <w:rPr>
          <w:rStyle w:val="inline-comment-marker"/>
          <w:rFonts w:ascii="Segoe UI" w:hAnsi="Segoe UI" w:cs="Segoe UI"/>
          <w:color w:val="172B4D"/>
          <w:spacing w:val="-1"/>
        </w:rPr>
        <w:t>Accessible</w:t>
      </w:r>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284"/>
        <w:gridCol w:w="1501"/>
        <w:gridCol w:w="3087"/>
        <w:gridCol w:w="5312"/>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873F41"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by 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Depending on the FAIR data design, different FHIR mechanisms can be used to refer the FAIR data, e.g. by using direct or reverse references to other FHIR resources, or referring data business identifiers. FHIR also provides mechanisms to enable the access to non-FHIR data.</w:t>
            </w:r>
          </w:p>
          <w:p w14:paraId="20BA125F" w14:textId="46898BA4" w:rsidR="007221D6" w:rsidRPr="00873F41" w:rsidRDefault="007221D6" w:rsidP="00873F41">
            <w:pPr>
              <w:pStyle w:val="NormaleWeb"/>
              <w:spacing w:before="150" w:beforeAutospacing="0" w:after="0" w:afterAutospacing="0"/>
              <w:rPr>
                <w:lang w:val="en-US"/>
              </w:rPr>
            </w:pPr>
            <w:r w:rsidRPr="007221D6">
              <w:rPr>
                <w:lang w:val="en-US"/>
              </w:rPr>
              <w:t>The solution architecture should ensure that the metadata FHIR resource includes a reference to the actual data or information on how to access it directly or indirectly.</w:t>
            </w:r>
          </w:p>
        </w:tc>
      </w:tr>
      <w:tr w:rsidR="007221D6" w:rsidRPr="00873F41"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r>
              <w:t>See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r>
              <w:t>See RDA-A1-02M</w:t>
            </w:r>
          </w:p>
        </w:tc>
      </w:tr>
      <w:tr w:rsidR="007221D6" w:rsidRPr="00873F41"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Metadata identifier resolves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metadata.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873F41"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lastRenderedPageBreak/>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873F41"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Metadata is accessed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873F41"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Data is accessible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873F41"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lastRenderedPageBreak/>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Data can be accessed automatically (i.e.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(e.g.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873F41"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873F41"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873F41"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Data is accessible through an access protocol that supports authentication and authorisation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21C00" w14:textId="77777777" w:rsidR="007221D6" w:rsidRPr="007221D6" w:rsidRDefault="007221D6">
            <w:pPr>
              <w:pStyle w:val="NormaleWeb"/>
              <w:spacing w:before="0" w:beforeAutospacing="0" w:after="0" w:afterAutospacing="0"/>
              <w:rPr>
                <w:lang w:val="en-US"/>
              </w:rPr>
            </w:pPr>
            <w:r w:rsidRPr="007221D6">
              <w:rPr>
                <w:lang w:val="en-US"/>
              </w:rPr>
              <w:t>FHIR is not a security protocol, nor does it define any security related functionality.</w:t>
            </w:r>
          </w:p>
          <w:p w14:paraId="5C591BA4" w14:textId="77777777" w:rsidR="007221D6" w:rsidRPr="007221D6" w:rsidRDefault="007221D6">
            <w:pPr>
              <w:pStyle w:val="NormaleWeb"/>
              <w:spacing w:before="150" w:beforeAutospacing="0" w:after="0" w:afterAutospacing="0"/>
              <w:rPr>
                <w:lang w:val="en-US"/>
              </w:rPr>
            </w:pPr>
            <w:r w:rsidRPr="007221D6">
              <w:rPr>
                <w:lang w:val="en-US"/>
              </w:rPr>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873F41"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 xml:space="preserve">Metadata is guaranteed to remain available </w:t>
            </w:r>
            <w:r w:rsidRPr="007221D6">
              <w:rPr>
                <w:lang w:val="en-US"/>
              </w:rPr>
              <w:lastRenderedPageBreak/>
              <w:t>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r>
              <w:lastRenderedPageBreak/>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 xml:space="preserve">FHIR provides mean to fulfils this requirements, excepting for the metadata information that are </w:t>
            </w:r>
            <w:r w:rsidRPr="007221D6">
              <w:rPr>
                <w:lang w:val="en-US"/>
              </w:rPr>
              <w:lastRenderedPageBreak/>
              <w:t>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lastRenderedPageBreak/>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Clinical data and associated metadata can be stored on 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To maintain FAIR compliance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r>
        <w:t>Interoperable</w:t>
      </w:r>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lastRenderedPageBreak/>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873F41"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Metadata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O1D,  O2M, O2D) indicators are </w:t>
            </w:r>
            <w:r w:rsidRPr="00B7397C">
              <w:rPr>
                <w:color w:val="172B4D"/>
                <w:lang w:val="en-US"/>
              </w:rPr>
              <w:t>in general </w:t>
            </w:r>
            <w:r w:rsidRPr="00B7397C">
              <w:rPr>
                <w:lang w:val="en-US"/>
              </w:rPr>
              <w:t>covered by virtue of using HL7 FHIR, however, to strive to semantic computable interoperability, communities should agreed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There are different ways to interpret 'knowledge representation expressed in standardised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have a machine readable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represent and formalize healthcare models and data;</w:t>
            </w:r>
          </w:p>
          <w:p w14:paraId="46D3731C" w14:textId="77777777" w:rsidR="00B7397C" w:rsidRDefault="00B7397C" w:rsidP="00B7397C">
            <w:pPr>
              <w:numPr>
                <w:ilvl w:val="0"/>
                <w:numId w:val="16"/>
              </w:numPr>
              <w:spacing w:before="100" w:beforeAutospacing="1" w:after="100" w:afterAutospacing="1" w:line="240" w:lineRule="auto"/>
            </w:pPr>
            <w:r>
              <w:t>share clinical knowledge artifacts;</w:t>
            </w:r>
          </w:p>
          <w:p w14:paraId="38F3D350" w14:textId="77777777" w:rsidR="00B7397C" w:rsidRDefault="00B7397C" w:rsidP="00B7397C">
            <w:pPr>
              <w:numPr>
                <w:ilvl w:val="0"/>
                <w:numId w:val="16"/>
              </w:numPr>
              <w:spacing w:before="100" w:beforeAutospacing="1" w:after="100" w:afterAutospacing="1" w:line="240" w:lineRule="auto"/>
            </w:pPr>
            <w:r>
              <w:t>provide an expression logic</w:t>
            </w:r>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(i.e.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w:t>
            </w:r>
            <w:r w:rsidRPr="00B7397C">
              <w:rPr>
                <w:lang w:val="en-US"/>
              </w:rPr>
              <w:lastRenderedPageBreak/>
              <w:t>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w:t>
            </w:r>
            <w:r w:rsidRPr="00B7397C">
              <w:rPr>
                <w:lang w:val="en-US"/>
              </w:rPr>
              <w:lastRenderedPageBreak/>
              <w:t>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r>
              <w:t>See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r>
              <w:t>See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r>
              <w:t>See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r>
              <w:t>See RDA-I1-01M</w:t>
            </w:r>
          </w:p>
        </w:tc>
      </w:tr>
      <w:tr w:rsidR="00B7397C" w:rsidRPr="00873F41"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codeable elements with vocabularies (intended as terminologies), but with very </w:t>
            </w:r>
            <w:r w:rsidRPr="00B7397C">
              <w:rPr>
                <w:lang w:val="en-US"/>
              </w:rPr>
              <w:lastRenderedPageBreak/>
              <w:t>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Communities should select FAIR-compliant vocabularies, preferably managed through FHIR  terminology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This choice should be formalized  through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lastRenderedPageBreak/>
              <w:t>HL7 FHIR provides a formal way to bind codeable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(e.g.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To satisfy this principle FHIR implementers should make an assessment of the FAIRness of the terminologies to be used and  enforce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r>
              <w:t>See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r>
              <w:t>See RDA-I2-01M</w:t>
            </w:r>
          </w:p>
        </w:tc>
      </w:tr>
      <w:tr w:rsidR="00B7397C" w:rsidRPr="00873F41"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FHIR supports different kinds of (qualified) references among FHIR resources and also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 xml:space="preserve">that are needed to provide a sufficient contextual knowledge for the scope of their </w:t>
            </w:r>
            <w:r w:rsidRPr="00B7397C">
              <w:rPr>
                <w:color w:val="333333"/>
                <w:lang w:val="en-US"/>
              </w:rPr>
              <w:lastRenderedPageBreak/>
              <w:t>community. </w:t>
            </w:r>
            <w:r w:rsidRPr="00B7397C">
              <w:rPr>
                <w:lang w:val="en-US"/>
              </w:rPr>
              <w:t>This should be formalized  through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lastRenderedPageBreak/>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HL7 FHIR technically supports different kinds of (qualified) references among FHIR resources and also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lastRenderedPageBreak/>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 .</w:t>
            </w:r>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r>
              <w:t>See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r>
              <w:t>See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 xml:space="preserve">Data includes qualified </w:t>
            </w:r>
            <w:r w:rsidRPr="00B7397C">
              <w:rPr>
                <w:lang w:val="en-US"/>
              </w:rPr>
              <w:lastRenderedPageBreak/>
              <w:t>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r>
              <w:lastRenderedPageBreak/>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r>
              <w:t>See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r>
              <w:t>See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r>
              <w:t>See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r>
        <w:t>Reusable</w:t>
      </w:r>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873F41"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w:t>
            </w:r>
            <w:r w:rsidRPr="00B7397C">
              <w:rPr>
                <w:lang w:val="en-US"/>
              </w:rPr>
              <w:lastRenderedPageBreak/>
              <w:t>use; therefore, depending on the use case, implementers should identify what are the minimal, recommended and suggested intrinsic and contextual information that should be returned to describe the data and make them actually USEFUL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(e.g. hybrid approaches with some metadata represented using non-FHIR technologies).</w:t>
            </w:r>
          </w:p>
        </w:tc>
      </w:tr>
      <w:tr w:rsidR="00B7397C" w:rsidRPr="00873F41"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r>
            <w:r w:rsidRPr="00B7397C">
              <w:rPr>
                <w:lang w:val="en-US"/>
              </w:rPr>
              <w:lastRenderedPageBreak/>
              <w:t>Communities should specify in appropriate FHIR implementation guides  -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 xml:space="preserve">specific security metadata by using the security labels, enabling </w:t>
            </w:r>
            <w:r w:rsidRPr="00B7397C">
              <w:rPr>
                <w:color w:val="333333"/>
                <w:lang w:val="en-US"/>
              </w:rPr>
              <w:lastRenderedPageBreak/>
              <w:t>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r>
              <w:t>See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w:t>
            </w:r>
            <w:r w:rsidRPr="00B7397C">
              <w:rPr>
                <w:lang w:val="en-US"/>
              </w:rPr>
              <w:lastRenderedPageBreak/>
              <w:t>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r>
              <w:lastRenderedPageBreak/>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r>
              <w:t>See RDA-R1.1-01M.</w:t>
            </w:r>
          </w:p>
        </w:tc>
      </w:tr>
      <w:tr w:rsidR="00B7397C" w:rsidRPr="00873F41"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Other resources, as the Citation, could be used for capturing instead publication related infos.</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Other kinds of resources, e.g. the Citation, could be used for capturing instead publication related infos.</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As for some other principles, HL7 FHIR can technically support the data FAIRness,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 xml:space="preserve">Metadata includes provenance </w:t>
            </w:r>
            <w:r w:rsidRPr="00B7397C">
              <w:rPr>
                <w:lang w:val="en-US"/>
              </w:rPr>
              <w:lastRenderedPageBreak/>
              <w:t>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r>
              <w:lastRenderedPageBreak/>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r>
              <w:t>See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r>
              <w:t>See RDA-R1.2-01M</w:t>
            </w:r>
          </w:p>
        </w:tc>
      </w:tr>
      <w:tr w:rsidR="00B7397C" w:rsidRPr="00873F41"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HL7 FHIR can be considered it self a 'domain-relevant community standard' ,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(e.g.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r>
              <w:t>See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lastRenderedPageBreak/>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r>
              <w:t>See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r>
              <w:t>See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D31D7"/>
    <w:multiLevelType w:val="hybridMultilevel"/>
    <w:tmpl w:val="695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3"/>
  </w:num>
  <w:num w:numId="5">
    <w:abstractNumId w:val="5"/>
  </w:num>
  <w:num w:numId="6">
    <w:abstractNumId w:val="12"/>
  </w:num>
  <w:num w:numId="7">
    <w:abstractNumId w:val="1"/>
  </w:num>
  <w:num w:numId="8">
    <w:abstractNumId w:val="11"/>
  </w:num>
  <w:num w:numId="9">
    <w:abstractNumId w:val="15"/>
  </w:num>
  <w:num w:numId="10">
    <w:abstractNumId w:val="6"/>
  </w:num>
  <w:num w:numId="11">
    <w:abstractNumId w:val="16"/>
  </w:num>
  <w:num w:numId="12">
    <w:abstractNumId w:val="14"/>
  </w:num>
  <w:num w:numId="13">
    <w:abstractNumId w:val="10"/>
  </w:num>
  <w:num w:numId="14">
    <w:abstractNumId w:val="17"/>
  </w:num>
  <w:num w:numId="15">
    <w:abstractNumId w:val="2"/>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73F41"/>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hl7.org/display/SOA/HL7+FHIR+and+FAIR+principles" TargetMode="External"/><Relationship Id="rId13" Type="http://schemas.openxmlformats.org/officeDocument/2006/relationships/hyperlink" Target="https://www.hl7.org/fhir/search.html" TargetMode="External"/><Relationship Id="rId3" Type="http://schemas.openxmlformats.org/officeDocument/2006/relationships/styles" Target="styles.xml"/><Relationship Id="rId7" Type="http://schemas.openxmlformats.org/officeDocument/2006/relationships/hyperlink" Target="https://confluence.hl7.org/pages/createpage.action?spaceKey=SOA&amp;title=RDAMetrics.html&amp;linkCreation=true&amp;fromPageId=104570030" TargetMode="External"/><Relationship Id="rId12" Type="http://schemas.openxmlformats.org/officeDocument/2006/relationships/hyperlink" Target="https://confluence.hl7.org/display/SOA/Metadata+and+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fluence.hl7.org/display/SOA/HL7+FHIR+and+FAIR+principles" TargetMode="External"/><Relationship Id="rId11" Type="http://schemas.openxmlformats.org/officeDocument/2006/relationships/hyperlink" Target="https://confluence.hl7.org/display/SOA/Metadata+and+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fluence.hl7.org/display/SOA/Metadata+and+data" TargetMode="External"/><Relationship Id="rId4" Type="http://schemas.openxmlformats.org/officeDocument/2006/relationships/settings" Target="settings.xml"/><Relationship Id="rId9" Type="http://schemas.openxmlformats.org/officeDocument/2006/relationships/hyperlink" Target="https://confluence.hl7.org/display/SOA/FHIR+identifiers+and+FAIR+principles+on+ID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20</Pages>
  <Words>4186</Words>
  <Characters>23864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289</cp:revision>
  <dcterms:created xsi:type="dcterms:W3CDTF">2020-04-05T12:56:00Z</dcterms:created>
  <dcterms:modified xsi:type="dcterms:W3CDTF">2021-09-28T10:27:00Z</dcterms:modified>
</cp:coreProperties>
</file>