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66EA" w14:textId="77777777" w:rsidR="00E5007A" w:rsidRPr="00E5007A" w:rsidRDefault="00E5007A" w:rsidP="00E5007A">
      <w:pPr>
        <w:pStyle w:val="Titolo3"/>
        <w:rPr>
          <w:lang w:val="en-US"/>
        </w:rPr>
      </w:pPr>
      <w:r w:rsidRPr="00E5007A">
        <w:rPr>
          <w:lang w:val="en-US"/>
        </w:rPr>
        <w:t>Overview</w:t>
      </w:r>
    </w:p>
    <w:p w14:paraId="63ADC525" w14:textId="77777777" w:rsidR="00E5007A" w:rsidRPr="00E5007A" w:rsidRDefault="00E5007A" w:rsidP="003807CC">
      <w:pPr>
        <w:pStyle w:val="Titolo4"/>
        <w:rPr>
          <w:b/>
          <w:bCs/>
          <w:lang w:val="en-US"/>
        </w:rPr>
      </w:pPr>
      <w:proofErr w:type="spellStart"/>
      <w:r w:rsidRPr="003807CC">
        <w:rPr>
          <w:rStyle w:val="Enfasigrassetto"/>
          <w:b w:val="0"/>
          <w:bCs w:val="0"/>
        </w:rPr>
        <w:t>Introduction</w:t>
      </w:r>
      <w:proofErr w:type="spellEnd"/>
      <w:r w:rsidRPr="00E5007A">
        <w:rPr>
          <w:rStyle w:val="Enfasigrassetto"/>
          <w:rFonts w:ascii="Segoe UI" w:hAnsi="Segoe UI" w:cs="Segoe UI"/>
          <w:b w:val="0"/>
          <w:bCs w:val="0"/>
          <w:color w:val="172B4D"/>
          <w:spacing w:val="-1"/>
          <w:sz w:val="24"/>
          <w:szCs w:val="24"/>
          <w:lang w:val="en-US"/>
        </w:rPr>
        <w:t>:</w:t>
      </w:r>
    </w:p>
    <w:p w14:paraId="1C7107BE" w14:textId="5200FABD" w:rsidR="00E5007A" w:rsidRDefault="00E5007A" w:rsidP="00362B82">
      <w:pPr>
        <w:rPr>
          <w:lang w:val="en-US"/>
        </w:rPr>
      </w:pPr>
      <w:r w:rsidRPr="00E5007A">
        <w:rPr>
          <w:lang w:val="en-US"/>
        </w:rPr>
        <w:t>The Immunology Database and Analysis Portal (</w:t>
      </w:r>
      <w:proofErr w:type="spellStart"/>
      <w:r w:rsidRPr="00E5007A">
        <w:rPr>
          <w:lang w:val="en-US"/>
        </w:rPr>
        <w:t>ImmPort</w:t>
      </w:r>
      <w:proofErr w:type="spellEnd"/>
      <w:r w:rsidRPr="00E5007A">
        <w:rPr>
          <w:lang w:val="en-US"/>
        </w:rPr>
        <w:t>)( </w:t>
      </w:r>
      <w:hyperlink r:id="rId6" w:history="1">
        <w:r w:rsidRPr="00E5007A">
          <w:rPr>
            <w:rStyle w:val="Collegamentoipertestuale"/>
            <w:rFonts w:ascii="Segoe UI" w:hAnsi="Segoe UI" w:cs="Segoe UI"/>
            <w:color w:val="0052CC"/>
            <w:sz w:val="21"/>
            <w:szCs w:val="21"/>
            <w:lang w:val="en-US"/>
          </w:rPr>
          <w:t>https://www.immport.org/home</w:t>
        </w:r>
      </w:hyperlink>
      <w:r w:rsidRPr="00E5007A">
        <w:rPr>
          <w:lang w:val="en-US"/>
        </w:rPr>
        <w:t xml:space="preserve">) repository aims to be a trustworthy data resources as an essential component of the research enterprise focusing on immunological research.  </w:t>
      </w:r>
      <w:proofErr w:type="spellStart"/>
      <w:r w:rsidRPr="00E5007A">
        <w:rPr>
          <w:lang w:val="en-US"/>
        </w:rPr>
        <w:t>ImmPort</w:t>
      </w:r>
      <w:proofErr w:type="spellEnd"/>
      <w:r w:rsidRPr="00E5007A">
        <w:rPr>
          <w:lang w:val="en-US"/>
        </w:rPr>
        <w:t xml:space="preserve"> offers support to the community by providing resources including secure, reliable, and scalable computing systems and infrastructure to operate the data repository; long term archival and data preservation; integration and curation of disparate data sets and data types in specific domains and across clinical, laboratory and computational areas; data sharing, data management, and dissemination following the FAIR Data Principles - Findability, Accessibility, Interoperability and Reusability; development of and adherence to standards and best practices for data collection, presentation and exchange; and training in deposition and use of data and tools. To achieve its mandate of FAIR data sharing, </w:t>
      </w:r>
      <w:proofErr w:type="spellStart"/>
      <w:r w:rsidRPr="00E5007A">
        <w:rPr>
          <w:lang w:val="en-US"/>
        </w:rPr>
        <w:t>ImmPort</w:t>
      </w:r>
      <w:proofErr w:type="spellEnd"/>
      <w:r w:rsidRPr="00E5007A">
        <w:rPr>
          <w:lang w:val="en-US"/>
        </w:rPr>
        <w:t xml:space="preserve"> transforms the shared data into a more user-friendly resource to enable reuse of the data to gain new insights and findings to advance immunology research. To date, </w:t>
      </w:r>
      <w:proofErr w:type="spellStart"/>
      <w:r w:rsidRPr="00E5007A">
        <w:rPr>
          <w:lang w:val="en-US"/>
        </w:rPr>
        <w:t>ImmPort</w:t>
      </w:r>
      <w:proofErr w:type="spellEnd"/>
      <w:r w:rsidRPr="00E5007A">
        <w:rPr>
          <w:lang w:val="en-US"/>
        </w:rPr>
        <w:t xml:space="preserve"> has shared 482 studies encompassing various data types and organisms. Further, </w:t>
      </w:r>
      <w:proofErr w:type="spellStart"/>
      <w:r w:rsidRPr="00E5007A">
        <w:rPr>
          <w:lang w:val="en-US"/>
        </w:rPr>
        <w:t>ImmPort</w:t>
      </w:r>
      <w:proofErr w:type="spellEnd"/>
      <w:r w:rsidRPr="00E5007A">
        <w:rPr>
          <w:lang w:val="en-US"/>
        </w:rPr>
        <w:t xml:space="preserve"> repository has participant level data from 145 clinical trials that are openly available for reuse (</w:t>
      </w:r>
      <w:hyperlink r:id="rId7" w:history="1">
        <w:r w:rsidRPr="00E5007A">
          <w:rPr>
            <w:rStyle w:val="Collegamentoipertestuale"/>
            <w:rFonts w:ascii="Segoe UI" w:hAnsi="Segoe UI" w:cs="Segoe UI"/>
            <w:color w:val="0052CC"/>
            <w:sz w:val="21"/>
            <w:szCs w:val="21"/>
            <w:lang w:val="en-US"/>
          </w:rPr>
          <w:t>https://immport.org/shared/search?filters=clinical_trial:Y</w:t>
        </w:r>
      </w:hyperlink>
      <w:r w:rsidRPr="00E5007A">
        <w:rPr>
          <w:lang w:val="en-US"/>
        </w:rPr>
        <w:t>).</w:t>
      </w:r>
    </w:p>
    <w:p w14:paraId="0AA016A1" w14:textId="77777777" w:rsidR="003807CC" w:rsidRPr="00E5007A" w:rsidRDefault="003807CC" w:rsidP="00E5007A">
      <w:pPr>
        <w:pStyle w:val="Normale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</w:p>
    <w:p w14:paraId="3742C729" w14:textId="77777777" w:rsidR="00E5007A" w:rsidRPr="003807CC" w:rsidRDefault="00E5007A" w:rsidP="003807CC">
      <w:pPr>
        <w:pStyle w:val="Titolo4"/>
      </w:pPr>
      <w:proofErr w:type="spellStart"/>
      <w:r w:rsidRPr="003807CC">
        <w:rPr>
          <w:rStyle w:val="Enfasigrassetto"/>
          <w:b w:val="0"/>
          <w:bCs w:val="0"/>
        </w:rPr>
        <w:t>Clinical</w:t>
      </w:r>
      <w:proofErr w:type="spellEnd"/>
      <w:r w:rsidRPr="003807CC">
        <w:rPr>
          <w:rStyle w:val="Enfasigrassetto"/>
          <w:b w:val="0"/>
          <w:bCs w:val="0"/>
        </w:rPr>
        <w:t xml:space="preserve"> trial data for use:</w:t>
      </w:r>
    </w:p>
    <w:p w14:paraId="17DF4025" w14:textId="77777777" w:rsidR="00E5007A" w:rsidRPr="003807CC" w:rsidRDefault="00E5007A" w:rsidP="003807CC">
      <w:pPr>
        <w:pStyle w:val="Paragrafoelenco"/>
        <w:numPr>
          <w:ilvl w:val="0"/>
          <w:numId w:val="16"/>
        </w:numPr>
        <w:rPr>
          <w:lang w:val="en-US"/>
        </w:rPr>
      </w:pPr>
      <w:r w:rsidRPr="003807CC">
        <w:rPr>
          <w:lang w:val="en-US"/>
        </w:rPr>
        <w:t>Latest study listed under clinical trials: </w:t>
      </w:r>
      <w:hyperlink r:id="rId8" w:history="1">
        <w:r w:rsidRPr="003807CC">
          <w:rPr>
            <w:rStyle w:val="Collegamentoipertestuale"/>
            <w:rFonts w:ascii="Segoe UI" w:hAnsi="Segoe UI" w:cs="Segoe UI"/>
            <w:color w:val="0052CC"/>
            <w:sz w:val="21"/>
            <w:szCs w:val="21"/>
            <w:lang w:val="en-US"/>
          </w:rPr>
          <w:t>https://www.immport.org/shared/study/SDY472</w:t>
        </w:r>
      </w:hyperlink>
    </w:p>
    <w:p w14:paraId="6AAC9385" w14:textId="77777777" w:rsidR="00E5007A" w:rsidRDefault="00E5007A" w:rsidP="003807CC">
      <w:pPr>
        <w:pStyle w:val="Paragrafoelenco"/>
        <w:numPr>
          <w:ilvl w:val="0"/>
          <w:numId w:val="16"/>
        </w:numPr>
      </w:pPr>
      <w:r>
        <w:t xml:space="preserve">Associated </w:t>
      </w:r>
      <w:proofErr w:type="spellStart"/>
      <w:r>
        <w:t>publication</w:t>
      </w:r>
      <w:proofErr w:type="spellEnd"/>
      <w:r>
        <w:t>: </w:t>
      </w:r>
      <w:hyperlink r:id="rId9" w:history="1">
        <w:r w:rsidRPr="003807CC">
          <w:rPr>
            <w:rStyle w:val="Collegamentoipertestuale"/>
            <w:rFonts w:ascii="Segoe UI" w:hAnsi="Segoe UI" w:cs="Segoe UI"/>
            <w:color w:val="0052CC"/>
            <w:sz w:val="21"/>
            <w:szCs w:val="21"/>
          </w:rPr>
          <w:t>https://pubmed.ncbi.nlm.nih.gov/31636302/</w:t>
        </w:r>
      </w:hyperlink>
      <w:r>
        <w:t> (open access)</w:t>
      </w:r>
    </w:p>
    <w:p w14:paraId="79A44B7A" w14:textId="77777777" w:rsidR="00E5007A" w:rsidRPr="003807CC" w:rsidRDefault="00E5007A" w:rsidP="003807CC">
      <w:pPr>
        <w:pStyle w:val="Paragrafoelenco"/>
        <w:numPr>
          <w:ilvl w:val="0"/>
          <w:numId w:val="16"/>
        </w:numPr>
        <w:rPr>
          <w:lang w:val="en-US"/>
        </w:rPr>
      </w:pPr>
      <w:r w:rsidRPr="003807CC">
        <w:rPr>
          <w:lang w:val="en-US"/>
        </w:rPr>
        <w:t>Dataset has demographic and clinical information along with mechanistic study files.</w:t>
      </w:r>
    </w:p>
    <w:p w14:paraId="5DEA478D" w14:textId="77777777" w:rsidR="003807CC" w:rsidRDefault="003807CC" w:rsidP="00E5007A">
      <w:pPr>
        <w:pStyle w:val="Normale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</w:p>
    <w:p w14:paraId="2EF07252" w14:textId="2D883872" w:rsidR="00E5007A" w:rsidRPr="003807CC" w:rsidRDefault="00E5007A" w:rsidP="003807CC">
      <w:pPr>
        <w:pStyle w:val="Nessunaspaziatura"/>
        <w:rPr>
          <w:lang w:val="en-US"/>
        </w:rPr>
      </w:pPr>
      <w:r w:rsidRPr="00E5007A">
        <w:rPr>
          <w:lang w:val="en-US"/>
        </w:rPr>
        <w:t xml:space="preserve">Machine readable data is available via </w:t>
      </w:r>
      <w:proofErr w:type="spellStart"/>
      <w:r w:rsidRPr="00E5007A">
        <w:rPr>
          <w:lang w:val="en-US"/>
        </w:rPr>
        <w:t>ImmPort</w:t>
      </w:r>
      <w:proofErr w:type="spellEnd"/>
      <w:r w:rsidRPr="00E5007A">
        <w:rPr>
          <w:lang w:val="en-US"/>
        </w:rPr>
        <w:t xml:space="preserve"> API: </w:t>
      </w:r>
      <w:hyperlink r:id="rId10" w:anchor="API/DataQueryAPI/dataqueryapi/" w:history="1">
        <w:r w:rsidRPr="00E5007A">
          <w:rPr>
            <w:rStyle w:val="Collegamentoipertestuale"/>
            <w:rFonts w:ascii="Segoe UI" w:hAnsi="Segoe UI" w:cs="Segoe UI"/>
            <w:color w:val="0052CC"/>
            <w:sz w:val="21"/>
            <w:szCs w:val="21"/>
            <w:lang w:val="en-US"/>
          </w:rPr>
          <w:t>https://docs.immport.org/#API/DataQueryAPI/dataqueryapi/</w:t>
        </w:r>
      </w:hyperlink>
    </w:p>
    <w:p w14:paraId="12A77A04" w14:textId="77777777" w:rsidR="003807CC" w:rsidRPr="00E5007A" w:rsidRDefault="003807CC" w:rsidP="00E5007A">
      <w:pPr>
        <w:pStyle w:val="Normale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</w:p>
    <w:p w14:paraId="595E75F3" w14:textId="77777777" w:rsidR="00E5007A" w:rsidRPr="003807CC" w:rsidRDefault="00E5007A" w:rsidP="003807CC">
      <w:pPr>
        <w:pStyle w:val="Titolo4"/>
      </w:pPr>
      <w:r w:rsidRPr="003807CC">
        <w:rPr>
          <w:rStyle w:val="Enfasigrassetto"/>
          <w:b w:val="0"/>
          <w:bCs w:val="0"/>
        </w:rPr>
        <w:t>Scenario:</w:t>
      </w:r>
    </w:p>
    <w:p w14:paraId="17DFD408" w14:textId="77777777" w:rsidR="00E5007A" w:rsidRPr="00E5007A" w:rsidRDefault="00E5007A" w:rsidP="003807CC">
      <w:pPr>
        <w:pStyle w:val="Nessunaspaziatura"/>
        <w:numPr>
          <w:ilvl w:val="0"/>
          <w:numId w:val="17"/>
        </w:numPr>
        <w:rPr>
          <w:lang w:val="en-US"/>
        </w:rPr>
      </w:pPr>
      <w:r w:rsidRPr="00E5007A">
        <w:rPr>
          <w:lang w:val="en-US"/>
        </w:rPr>
        <w:t xml:space="preserve">Retrieve study metadata and associated data via API or from </w:t>
      </w:r>
      <w:proofErr w:type="gramStart"/>
      <w:r w:rsidRPr="00E5007A">
        <w:rPr>
          <w:lang w:val="en-US"/>
        </w:rPr>
        <w:t>website</w:t>
      </w:r>
      <w:proofErr w:type="gramEnd"/>
    </w:p>
    <w:p w14:paraId="00D5E7D7" w14:textId="77777777" w:rsidR="00E5007A" w:rsidRPr="00E5007A" w:rsidRDefault="00E5007A" w:rsidP="003807CC">
      <w:pPr>
        <w:pStyle w:val="Nessunaspaziatura"/>
        <w:numPr>
          <w:ilvl w:val="0"/>
          <w:numId w:val="17"/>
        </w:numPr>
        <w:rPr>
          <w:lang w:val="en-US"/>
        </w:rPr>
      </w:pPr>
      <w:r w:rsidRPr="00E5007A">
        <w:rPr>
          <w:lang w:val="en-US"/>
        </w:rPr>
        <w:t xml:space="preserve">All </w:t>
      </w:r>
      <w:proofErr w:type="spellStart"/>
      <w:r w:rsidRPr="00E5007A">
        <w:rPr>
          <w:lang w:val="en-US"/>
        </w:rPr>
        <w:t>Immport</w:t>
      </w:r>
      <w:proofErr w:type="spellEnd"/>
      <w:r w:rsidRPr="00E5007A">
        <w:rPr>
          <w:lang w:val="en-US"/>
        </w:rPr>
        <w:t xml:space="preserve"> studies are searchable using study metadata </w:t>
      </w:r>
      <w:proofErr w:type="gramStart"/>
      <w:r w:rsidRPr="00E5007A">
        <w:rPr>
          <w:lang w:val="en-US"/>
        </w:rPr>
        <w:t>API</w:t>
      </w:r>
      <w:proofErr w:type="gramEnd"/>
    </w:p>
    <w:p w14:paraId="292BC7AC" w14:textId="77777777" w:rsidR="00E5007A" w:rsidRPr="00E5007A" w:rsidRDefault="00E5007A" w:rsidP="003807CC">
      <w:pPr>
        <w:pStyle w:val="Nessunaspaziatura"/>
        <w:numPr>
          <w:ilvl w:val="0"/>
          <w:numId w:val="17"/>
        </w:numPr>
        <w:rPr>
          <w:lang w:val="en-US"/>
        </w:rPr>
      </w:pPr>
      <w:r w:rsidRPr="00E5007A">
        <w:rPr>
          <w:lang w:val="en-US"/>
        </w:rPr>
        <w:t xml:space="preserve">Assess </w:t>
      </w:r>
      <w:proofErr w:type="spellStart"/>
      <w:r w:rsidRPr="00E5007A">
        <w:rPr>
          <w:lang w:val="en-US"/>
        </w:rPr>
        <w:t>FAIRness</w:t>
      </w:r>
      <w:proofErr w:type="spellEnd"/>
      <w:r w:rsidRPr="00E5007A">
        <w:rPr>
          <w:lang w:val="en-US"/>
        </w:rPr>
        <w:t xml:space="preserve"> of the metadata/data using the RDA FAIR data maturity </w:t>
      </w:r>
      <w:proofErr w:type="gramStart"/>
      <w:r w:rsidRPr="00E5007A">
        <w:rPr>
          <w:lang w:val="en-US"/>
        </w:rPr>
        <w:t>Indicators</w:t>
      </w:r>
      <w:proofErr w:type="gramEnd"/>
    </w:p>
    <w:p w14:paraId="0F97DD8B" w14:textId="77777777" w:rsidR="00E5007A" w:rsidRDefault="00E5007A" w:rsidP="003807CC">
      <w:pPr>
        <w:pStyle w:val="Nessunaspaziatura"/>
        <w:numPr>
          <w:ilvl w:val="0"/>
          <w:numId w:val="17"/>
        </w:numPr>
      </w:pPr>
      <w:proofErr w:type="spellStart"/>
      <w:r>
        <w:t>Convert</w:t>
      </w:r>
      <w:proofErr w:type="spellEnd"/>
      <w:r>
        <w:t xml:space="preserve"> metadata/data </w:t>
      </w:r>
      <w:proofErr w:type="spellStart"/>
      <w:r>
        <w:t>into</w:t>
      </w:r>
      <w:proofErr w:type="spellEnd"/>
      <w:r>
        <w:t xml:space="preserve"> FHIR standard</w:t>
      </w:r>
    </w:p>
    <w:p w14:paraId="501AC41F" w14:textId="77777777" w:rsidR="00E5007A" w:rsidRPr="00E5007A" w:rsidRDefault="00E5007A" w:rsidP="003807CC">
      <w:pPr>
        <w:pStyle w:val="Nessunaspaziatura"/>
        <w:numPr>
          <w:ilvl w:val="0"/>
          <w:numId w:val="17"/>
        </w:numPr>
        <w:rPr>
          <w:lang w:val="en-US"/>
        </w:rPr>
      </w:pPr>
      <w:r w:rsidRPr="00E5007A">
        <w:rPr>
          <w:lang w:val="en-US"/>
        </w:rPr>
        <w:t xml:space="preserve">Assess </w:t>
      </w:r>
      <w:proofErr w:type="spellStart"/>
      <w:r w:rsidRPr="00E5007A">
        <w:rPr>
          <w:lang w:val="en-US"/>
        </w:rPr>
        <w:t>FAIRness</w:t>
      </w:r>
      <w:proofErr w:type="spellEnd"/>
      <w:r w:rsidRPr="00E5007A">
        <w:rPr>
          <w:lang w:val="en-US"/>
        </w:rPr>
        <w:t xml:space="preserve"> of the metadata/data again using the RDA FAIR data maturity </w:t>
      </w:r>
      <w:proofErr w:type="gramStart"/>
      <w:r w:rsidRPr="00E5007A">
        <w:rPr>
          <w:lang w:val="en-US"/>
        </w:rPr>
        <w:t>Indicators</w:t>
      </w:r>
      <w:proofErr w:type="gramEnd"/>
    </w:p>
    <w:p w14:paraId="2DE2B84F" w14:textId="77777777" w:rsidR="00E5007A" w:rsidRPr="00E5007A" w:rsidRDefault="00E5007A" w:rsidP="003807CC">
      <w:pPr>
        <w:pStyle w:val="Nessunaspaziatura"/>
        <w:numPr>
          <w:ilvl w:val="0"/>
          <w:numId w:val="17"/>
        </w:numPr>
        <w:rPr>
          <w:lang w:val="en-US"/>
        </w:rPr>
      </w:pPr>
      <w:r w:rsidRPr="00E5007A">
        <w:rPr>
          <w:lang w:val="en-US"/>
        </w:rPr>
        <w:t xml:space="preserve">Analyze changes to </w:t>
      </w:r>
      <w:proofErr w:type="spellStart"/>
      <w:r w:rsidRPr="00E5007A">
        <w:rPr>
          <w:lang w:val="en-US"/>
        </w:rPr>
        <w:t>FAIRness</w:t>
      </w:r>
      <w:proofErr w:type="spellEnd"/>
      <w:r w:rsidRPr="00E5007A">
        <w:rPr>
          <w:lang w:val="en-US"/>
        </w:rPr>
        <w:t xml:space="preserve"> (if any)</w:t>
      </w:r>
    </w:p>
    <w:p w14:paraId="4BC79E92" w14:textId="7945AAE1" w:rsidR="00EA42BA" w:rsidRPr="00E5007A" w:rsidRDefault="00EA42BA" w:rsidP="00E5007A">
      <w:pPr>
        <w:rPr>
          <w:lang w:val="en-US"/>
        </w:rPr>
      </w:pPr>
    </w:p>
    <w:sectPr w:rsidR="00EA42BA" w:rsidRPr="00E500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E77DD0"/>
    <w:multiLevelType w:val="hybridMultilevel"/>
    <w:tmpl w:val="C79E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149D1"/>
    <w:multiLevelType w:val="hybridMultilevel"/>
    <w:tmpl w:val="4EB60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C28E4"/>
    <w:multiLevelType w:val="hybridMultilevel"/>
    <w:tmpl w:val="FCB2C6B6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B6055"/>
    <w:multiLevelType w:val="multilevel"/>
    <w:tmpl w:val="B4A0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96B39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DE6029"/>
    <w:multiLevelType w:val="hybridMultilevel"/>
    <w:tmpl w:val="BE2898E6"/>
    <w:lvl w:ilvl="0" w:tplc="1BD07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EB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83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6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61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63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2F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6C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A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3C2347C"/>
    <w:multiLevelType w:val="multilevel"/>
    <w:tmpl w:val="70C6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11"/>
  </w:num>
  <w:num w:numId="7">
    <w:abstractNumId w:val="0"/>
  </w:num>
  <w:num w:numId="8">
    <w:abstractNumId w:val="10"/>
  </w:num>
  <w:num w:numId="9">
    <w:abstractNumId w:val="14"/>
  </w:num>
  <w:num w:numId="10">
    <w:abstractNumId w:val="5"/>
  </w:num>
  <w:num w:numId="11">
    <w:abstractNumId w:val="15"/>
  </w:num>
  <w:num w:numId="12">
    <w:abstractNumId w:val="13"/>
  </w:num>
  <w:num w:numId="13">
    <w:abstractNumId w:val="8"/>
  </w:num>
  <w:num w:numId="14">
    <w:abstractNumId w:val="9"/>
  </w:num>
  <w:num w:numId="15">
    <w:abstractNumId w:val="16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01641"/>
    <w:rsid w:val="00013E05"/>
    <w:rsid w:val="00041908"/>
    <w:rsid w:val="000519BB"/>
    <w:rsid w:val="00053900"/>
    <w:rsid w:val="00061795"/>
    <w:rsid w:val="00090A9B"/>
    <w:rsid w:val="00090D2C"/>
    <w:rsid w:val="00092337"/>
    <w:rsid w:val="00095595"/>
    <w:rsid w:val="000C47B3"/>
    <w:rsid w:val="001011BD"/>
    <w:rsid w:val="001242CD"/>
    <w:rsid w:val="00126888"/>
    <w:rsid w:val="00165320"/>
    <w:rsid w:val="001767E5"/>
    <w:rsid w:val="001C3C41"/>
    <w:rsid w:val="001E5EB1"/>
    <w:rsid w:val="001F3083"/>
    <w:rsid w:val="002074A0"/>
    <w:rsid w:val="002077FC"/>
    <w:rsid w:val="00213E27"/>
    <w:rsid w:val="00214518"/>
    <w:rsid w:val="0023346A"/>
    <w:rsid w:val="00240A11"/>
    <w:rsid w:val="00242FCA"/>
    <w:rsid w:val="0026150C"/>
    <w:rsid w:val="00270D11"/>
    <w:rsid w:val="002A7595"/>
    <w:rsid w:val="002C0E23"/>
    <w:rsid w:val="002D2BAC"/>
    <w:rsid w:val="002E70BE"/>
    <w:rsid w:val="00301F9D"/>
    <w:rsid w:val="00362B82"/>
    <w:rsid w:val="00370562"/>
    <w:rsid w:val="00374542"/>
    <w:rsid w:val="003807CC"/>
    <w:rsid w:val="003A10F9"/>
    <w:rsid w:val="003B0FAE"/>
    <w:rsid w:val="003C3CBE"/>
    <w:rsid w:val="003D393A"/>
    <w:rsid w:val="003F0C43"/>
    <w:rsid w:val="00416C62"/>
    <w:rsid w:val="0045030A"/>
    <w:rsid w:val="00470E36"/>
    <w:rsid w:val="004850DF"/>
    <w:rsid w:val="00491280"/>
    <w:rsid w:val="004A2C2A"/>
    <w:rsid w:val="004A53A0"/>
    <w:rsid w:val="004D1983"/>
    <w:rsid w:val="004F134D"/>
    <w:rsid w:val="00506005"/>
    <w:rsid w:val="00522E3E"/>
    <w:rsid w:val="00527C94"/>
    <w:rsid w:val="005428DB"/>
    <w:rsid w:val="00544FE3"/>
    <w:rsid w:val="005525A1"/>
    <w:rsid w:val="005534DF"/>
    <w:rsid w:val="00586761"/>
    <w:rsid w:val="005C5B17"/>
    <w:rsid w:val="005E1792"/>
    <w:rsid w:val="005E6C2C"/>
    <w:rsid w:val="00617972"/>
    <w:rsid w:val="006211E6"/>
    <w:rsid w:val="00634A2E"/>
    <w:rsid w:val="006714C0"/>
    <w:rsid w:val="006B0FA3"/>
    <w:rsid w:val="006B5A79"/>
    <w:rsid w:val="0071131E"/>
    <w:rsid w:val="00730934"/>
    <w:rsid w:val="00735709"/>
    <w:rsid w:val="0074154D"/>
    <w:rsid w:val="00742101"/>
    <w:rsid w:val="0074424F"/>
    <w:rsid w:val="007603A3"/>
    <w:rsid w:val="00772CC7"/>
    <w:rsid w:val="00772E9A"/>
    <w:rsid w:val="00793075"/>
    <w:rsid w:val="007D0507"/>
    <w:rsid w:val="007D224A"/>
    <w:rsid w:val="007D76E9"/>
    <w:rsid w:val="007E6475"/>
    <w:rsid w:val="007F560A"/>
    <w:rsid w:val="007F5725"/>
    <w:rsid w:val="0080223B"/>
    <w:rsid w:val="0080696B"/>
    <w:rsid w:val="008214A5"/>
    <w:rsid w:val="008251B3"/>
    <w:rsid w:val="008405C6"/>
    <w:rsid w:val="008440D3"/>
    <w:rsid w:val="008660C4"/>
    <w:rsid w:val="00886DAC"/>
    <w:rsid w:val="00894024"/>
    <w:rsid w:val="008B0CFB"/>
    <w:rsid w:val="008B4249"/>
    <w:rsid w:val="008C797D"/>
    <w:rsid w:val="00907BEA"/>
    <w:rsid w:val="00907E27"/>
    <w:rsid w:val="00910B5B"/>
    <w:rsid w:val="00917280"/>
    <w:rsid w:val="00917EB9"/>
    <w:rsid w:val="00927FC9"/>
    <w:rsid w:val="0094186A"/>
    <w:rsid w:val="00970722"/>
    <w:rsid w:val="009737C3"/>
    <w:rsid w:val="009972DA"/>
    <w:rsid w:val="009B5592"/>
    <w:rsid w:val="009D1FE1"/>
    <w:rsid w:val="00A558B9"/>
    <w:rsid w:val="00A55BCB"/>
    <w:rsid w:val="00A718E6"/>
    <w:rsid w:val="00A907D9"/>
    <w:rsid w:val="00A90CE0"/>
    <w:rsid w:val="00A92A9D"/>
    <w:rsid w:val="00A97B01"/>
    <w:rsid w:val="00AB4541"/>
    <w:rsid w:val="00AB7D4A"/>
    <w:rsid w:val="00AD42E6"/>
    <w:rsid w:val="00B0183E"/>
    <w:rsid w:val="00B21BD2"/>
    <w:rsid w:val="00B27476"/>
    <w:rsid w:val="00B543EB"/>
    <w:rsid w:val="00B73DD8"/>
    <w:rsid w:val="00B847A0"/>
    <w:rsid w:val="00BA5387"/>
    <w:rsid w:val="00BB7DDD"/>
    <w:rsid w:val="00BC12B8"/>
    <w:rsid w:val="00BC782D"/>
    <w:rsid w:val="00BD7B0F"/>
    <w:rsid w:val="00C042BD"/>
    <w:rsid w:val="00C04AB3"/>
    <w:rsid w:val="00C110C3"/>
    <w:rsid w:val="00C1723E"/>
    <w:rsid w:val="00C428BF"/>
    <w:rsid w:val="00C8070D"/>
    <w:rsid w:val="00C82905"/>
    <w:rsid w:val="00CB36FF"/>
    <w:rsid w:val="00CB721D"/>
    <w:rsid w:val="00CC75B3"/>
    <w:rsid w:val="00CD4121"/>
    <w:rsid w:val="00CF42D7"/>
    <w:rsid w:val="00D0313D"/>
    <w:rsid w:val="00D343A8"/>
    <w:rsid w:val="00D43EED"/>
    <w:rsid w:val="00D43FCB"/>
    <w:rsid w:val="00D5184C"/>
    <w:rsid w:val="00D61B67"/>
    <w:rsid w:val="00D642BD"/>
    <w:rsid w:val="00D7292C"/>
    <w:rsid w:val="00D90768"/>
    <w:rsid w:val="00DC2040"/>
    <w:rsid w:val="00DF687F"/>
    <w:rsid w:val="00E17D06"/>
    <w:rsid w:val="00E2517C"/>
    <w:rsid w:val="00E44091"/>
    <w:rsid w:val="00E5007A"/>
    <w:rsid w:val="00E50F8D"/>
    <w:rsid w:val="00E5561D"/>
    <w:rsid w:val="00E5687E"/>
    <w:rsid w:val="00E65520"/>
    <w:rsid w:val="00E71DB8"/>
    <w:rsid w:val="00E81901"/>
    <w:rsid w:val="00E845E5"/>
    <w:rsid w:val="00EA42BA"/>
    <w:rsid w:val="00EB26E8"/>
    <w:rsid w:val="00EC09B3"/>
    <w:rsid w:val="00ED05B2"/>
    <w:rsid w:val="00ED3C02"/>
    <w:rsid w:val="00EF5556"/>
    <w:rsid w:val="00F139DD"/>
    <w:rsid w:val="00F74B48"/>
    <w:rsid w:val="00FA2C51"/>
    <w:rsid w:val="00FB1FAB"/>
    <w:rsid w:val="00FC02CB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912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9128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mport.org/shared/study/SDY472" TargetMode="External"/><Relationship Id="rId3" Type="http://schemas.openxmlformats.org/officeDocument/2006/relationships/styles" Target="styles.xml"/><Relationship Id="rId7" Type="http://schemas.openxmlformats.org/officeDocument/2006/relationships/hyperlink" Target="https://immport.org/shared/search?filters=clinical_trial: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mport.org/hom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immpor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med.ncbi.nlm.nih.gov/31636302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167</cp:revision>
  <dcterms:created xsi:type="dcterms:W3CDTF">2020-04-05T12:56:00Z</dcterms:created>
  <dcterms:modified xsi:type="dcterms:W3CDTF">2021-05-12T08:00:00Z</dcterms:modified>
</cp:coreProperties>
</file>