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4E46" w14:textId="6A7DFD3F" w:rsidR="00FF6BA5" w:rsidRDefault="00FF6BA5" w:rsidP="00FF6BA5">
      <w:pPr>
        <w:pStyle w:val="Titolo3"/>
        <w:rPr>
          <w:lang w:val="en-US"/>
        </w:rPr>
      </w:pPr>
      <w:r w:rsidRPr="00FF6BA5">
        <w:rPr>
          <w:lang w:val="en-US"/>
        </w:rPr>
        <w:t>Overview</w:t>
      </w:r>
    </w:p>
    <w:p w14:paraId="7E694990" w14:textId="77777777" w:rsidR="00FF6BA5" w:rsidRPr="00FF6BA5" w:rsidRDefault="00FF6BA5" w:rsidP="00FF6BA5">
      <w:pPr>
        <w:rPr>
          <w:lang w:val="en-US"/>
        </w:rPr>
      </w:pPr>
    </w:p>
    <w:p w14:paraId="6C9ACA57" w14:textId="77777777" w:rsidR="00FF6BA5" w:rsidRPr="00FF6BA5" w:rsidRDefault="00FF6BA5" w:rsidP="00FF6BA5">
      <w:pPr>
        <w:pStyle w:val="Titolo4"/>
      </w:pPr>
      <w:proofErr w:type="spellStart"/>
      <w:r w:rsidRPr="00FF6BA5">
        <w:t>Introduction</w:t>
      </w:r>
      <w:proofErr w:type="spellEnd"/>
      <w:r w:rsidRPr="00FF6BA5">
        <w:t>:</w:t>
      </w:r>
    </w:p>
    <w:p w14:paraId="09514FA3" w14:textId="75A7AF42" w:rsidR="00FF6BA5" w:rsidRPr="00FF6BA5" w:rsidRDefault="00FF6BA5" w:rsidP="00FF6BA5">
      <w:pPr>
        <w:pStyle w:val="NormaleWeb"/>
        <w:shd w:val="clear" w:color="auto" w:fill="FFFFFF"/>
        <w:spacing w:before="150" w:beforeAutospacing="0" w:after="0" w:afterAutospacing="0"/>
        <w:rPr>
          <w:lang w:val="en-US"/>
        </w:rPr>
      </w:pPr>
      <w:r w:rsidRPr="00FF6BA5">
        <w:rPr>
          <w:lang w:val="en-US"/>
        </w:rPr>
        <w:t>The Immunology Database and Analysis Portal (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>)</w:t>
      </w:r>
      <w:r>
        <w:rPr>
          <w:lang w:val="en-US"/>
        </w:rPr>
        <w:t xml:space="preserve"> </w:t>
      </w:r>
      <w:r w:rsidRPr="00FF6BA5">
        <w:rPr>
          <w:lang w:val="en-US"/>
        </w:rPr>
        <w:t>( </w:t>
      </w:r>
      <w:hyperlink r:id="rId6" w:history="1">
        <w:r w:rsidRPr="00FF6BA5">
          <w:rPr>
            <w:lang w:val="en-US"/>
          </w:rPr>
          <w:t>https://www.immport.org/home</w:t>
        </w:r>
      </w:hyperlink>
      <w:r w:rsidRPr="00FF6BA5">
        <w:rPr>
          <w:lang w:val="en-US"/>
        </w:rPr>
        <w:t>) repository aims to be a trustworthy data resources as an essential component of the research enterprise focusing on immunological research</w:t>
      </w:r>
      <w:proofErr w:type="gramStart"/>
      <w:r w:rsidRPr="00FF6BA5">
        <w:rPr>
          <w:lang w:val="en-US"/>
        </w:rPr>
        <w:t xml:space="preserve">.  </w:t>
      </w:r>
      <w:proofErr w:type="spellStart"/>
      <w:proofErr w:type="gramEnd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offers support to the community by providing resources including secure, reliable, and scalable computing systems and infrastructure to operate the data repository; long term archival and data preservation; integration and curation of disparate data sets and data types in specific domains and across clinical, laboratory and computational areas; data sharing, data management, and dissemination following the FAIR Data Principles - Findability, Accessibility, Interoperability and Reusability; development of and adherence to standards and best practices for data collection, presentation and exchange; and training in deposition and use of data and tools. To achieve its mandate of FAIR data sharing, 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transforms the shared data into a more user-friendly resource to enable reuse of the data to gain new insights and findings to advance immunology research. To date, 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has shared 482 studies encompassing various data types and organisms. Further, 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repository has participant level data from 145 clinical trials that are openly available for reuse (</w:t>
      </w:r>
      <w:hyperlink r:id="rId7" w:history="1">
        <w:r w:rsidRPr="00FF6BA5">
          <w:rPr>
            <w:lang w:val="en-US"/>
          </w:rPr>
          <w:t>https://immport.org/shared/search?filters=clinical_trial:Y</w:t>
        </w:r>
      </w:hyperlink>
      <w:r w:rsidRPr="00FF6BA5">
        <w:rPr>
          <w:lang w:val="en-US"/>
        </w:rPr>
        <w:t>).</w:t>
      </w:r>
    </w:p>
    <w:p w14:paraId="2C23F717" w14:textId="77777777" w:rsidR="00FF6BA5" w:rsidRPr="00FF6BA5" w:rsidRDefault="00FF6BA5" w:rsidP="00FF6BA5"/>
    <w:p w14:paraId="0F68E693" w14:textId="36851FDB" w:rsidR="00FF6BA5" w:rsidRPr="00FF6BA5" w:rsidRDefault="00FF6BA5" w:rsidP="00FF6BA5">
      <w:pPr>
        <w:pStyle w:val="Titolo4"/>
      </w:pPr>
      <w:r w:rsidRPr="00FF6BA5">
        <w:t>Clinical trial datasets for use:</w:t>
      </w:r>
    </w:p>
    <w:p w14:paraId="46625E62" w14:textId="77777777" w:rsidR="00FF6BA5" w:rsidRPr="00FF6BA5" w:rsidRDefault="00FF6BA5" w:rsidP="00FF6B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>Use case 1: Dataset with clinical data elements: </w:t>
      </w:r>
    </w:p>
    <w:p w14:paraId="46CBAC4B" w14:textId="77777777" w:rsidR="00FF6BA5" w:rsidRPr="00FF6BA5" w:rsidRDefault="00FF6BA5" w:rsidP="00FF6BA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8" w:history="1">
        <w:r w:rsidRPr="00FF6BA5">
          <w:rPr>
            <w:lang w:val="en-US"/>
          </w:rPr>
          <w:t>SDY1544</w:t>
        </w:r>
      </w:hyperlink>
      <w:r w:rsidRPr="00FF6BA5">
        <w:rPr>
          <w:lang w:val="en-US"/>
        </w:rPr>
        <w:t> - LEA29Y (</w:t>
      </w:r>
      <w:proofErr w:type="spellStart"/>
      <w:r w:rsidRPr="00FF6BA5">
        <w:rPr>
          <w:lang w:val="en-US"/>
        </w:rPr>
        <w:t>Belatacept</w:t>
      </w:r>
      <w:proofErr w:type="spellEnd"/>
      <w:r w:rsidRPr="00FF6BA5">
        <w:rPr>
          <w:lang w:val="en-US"/>
        </w:rPr>
        <w:t>) Emory Edmonton Protocol (LEEP) (CIT-04) and Extended Follow Up after Islet Transplantation in Type 1 Diabetes (CIT-08)</w:t>
      </w:r>
    </w:p>
    <w:p w14:paraId="0E9D9928" w14:textId="77777777" w:rsidR="00FF6BA5" w:rsidRPr="00FF6BA5" w:rsidRDefault="00FF6BA5" w:rsidP="00FF6BA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FF6BA5">
        <w:t>There</w:t>
      </w:r>
      <w:proofErr w:type="spellEnd"/>
      <w:r w:rsidRPr="00FF6BA5">
        <w:t xml:space="preserve"> </w:t>
      </w:r>
      <w:proofErr w:type="spellStart"/>
      <w:r w:rsidRPr="00FF6BA5">
        <w:t>is</w:t>
      </w:r>
      <w:proofErr w:type="spellEnd"/>
      <w:r w:rsidRPr="00FF6BA5">
        <w:t xml:space="preserve"> no </w:t>
      </w:r>
      <w:proofErr w:type="spellStart"/>
      <w:r w:rsidRPr="00FF6BA5">
        <w:t>associated</w:t>
      </w:r>
      <w:proofErr w:type="spellEnd"/>
      <w:r w:rsidRPr="00FF6BA5">
        <w:t xml:space="preserve"> </w:t>
      </w:r>
      <w:proofErr w:type="spellStart"/>
      <w:r w:rsidRPr="00FF6BA5">
        <w:t>publication</w:t>
      </w:r>
      <w:proofErr w:type="spellEnd"/>
    </w:p>
    <w:p w14:paraId="4F095A30" w14:textId="77777777" w:rsidR="00FF6BA5" w:rsidRPr="00FF6BA5" w:rsidRDefault="00FF6BA5" w:rsidP="00FF6BA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>Dataset has demographic and clinical information.</w:t>
      </w:r>
    </w:p>
    <w:p w14:paraId="34D5C84B" w14:textId="77777777" w:rsidR="00FF6BA5" w:rsidRPr="00FF6BA5" w:rsidRDefault="00FF6BA5" w:rsidP="00FF6B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>Use case 2: Dataset with clinical and mechanistic data elements: </w:t>
      </w:r>
    </w:p>
    <w:p w14:paraId="0871AB75" w14:textId="77777777" w:rsidR="00FF6BA5" w:rsidRPr="00FF6BA5" w:rsidRDefault="00FF6BA5" w:rsidP="00FF6BA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9" w:history="1">
        <w:r w:rsidRPr="00FF6BA5">
          <w:rPr>
            <w:lang w:val="en-US"/>
          </w:rPr>
          <w:t>SDY998</w:t>
        </w:r>
      </w:hyperlink>
      <w:r w:rsidRPr="00FF6BA5">
        <w:rPr>
          <w:lang w:val="en-US"/>
        </w:rPr>
        <w:t> - AMP Rheumatoid Arthritis Phase 1</w:t>
      </w:r>
    </w:p>
    <w:p w14:paraId="0BCB628D" w14:textId="77777777" w:rsidR="00FF6BA5" w:rsidRPr="00FF6BA5" w:rsidRDefault="00FF6BA5" w:rsidP="00FF6BA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>Dataset has demographic and clinical information along with mechanistic study files.</w:t>
      </w:r>
    </w:p>
    <w:p w14:paraId="149073CC" w14:textId="77777777" w:rsidR="00FF6BA5" w:rsidRPr="00FF6BA5" w:rsidRDefault="00FF6BA5" w:rsidP="00FF6BA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FF6BA5">
        <w:t xml:space="preserve">Associated </w:t>
      </w:r>
      <w:proofErr w:type="spellStart"/>
      <w:r w:rsidRPr="00FF6BA5">
        <w:t>publications</w:t>
      </w:r>
      <w:proofErr w:type="spellEnd"/>
      <w:r w:rsidRPr="00FF6BA5">
        <w:t>:</w:t>
      </w:r>
    </w:p>
    <w:p w14:paraId="04B711E9" w14:textId="77777777" w:rsidR="00FF6BA5" w:rsidRPr="00FF6BA5" w:rsidRDefault="00FF6BA5" w:rsidP="00FF6BA5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>Methods for high-dimensional analysis of cells dissociated from cryopreserved synovial tissue, Arthritis research &amp; therapy, 2018, 20(1), 139, PMID: </w:t>
      </w:r>
      <w:hyperlink r:id="rId10" w:history="1">
        <w:r w:rsidRPr="00FF6BA5">
          <w:rPr>
            <w:lang w:val="en-US"/>
          </w:rPr>
          <w:t>29996944</w:t>
        </w:r>
      </w:hyperlink>
    </w:p>
    <w:p w14:paraId="7E36BEFA" w14:textId="77777777" w:rsidR="00FF6BA5" w:rsidRPr="00FF6BA5" w:rsidRDefault="00FF6BA5" w:rsidP="00FF6BA5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>Defining inflammatory cell states in rheumatoid arthritis joint synovial tissues by integrating single-cell transcriptomics and mass cytometry, Nature Immunology, 2019, 20(7), 928-942, PMID: </w:t>
      </w:r>
      <w:hyperlink r:id="rId11" w:history="1">
        <w:r w:rsidRPr="00FF6BA5">
          <w:rPr>
            <w:lang w:val="en-US"/>
          </w:rPr>
          <w:t>31061532</w:t>
        </w:r>
      </w:hyperlink>
    </w:p>
    <w:p w14:paraId="15498AE3" w14:textId="77777777" w:rsidR="00FF6BA5" w:rsidRPr="00FF6BA5" w:rsidRDefault="00FF6BA5" w:rsidP="00FF6BA5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>HBEGF+ macrophages in rheumatoid arthritis induce fibroblast invasiveness, Science translational medicine, 2019, 11, 491, </w:t>
      </w:r>
      <w:hyperlink r:id="rId12" w:history="1">
        <w:r w:rsidRPr="00FF6BA5">
          <w:rPr>
            <w:lang w:val="en-US"/>
          </w:rPr>
          <w:t>31068444</w:t>
        </w:r>
      </w:hyperlink>
    </w:p>
    <w:p w14:paraId="4161E8ED" w14:textId="77777777" w:rsidR="00FF6BA5" w:rsidRPr="00FF6BA5" w:rsidRDefault="00FF6BA5" w:rsidP="00FF6BA5">
      <w:pPr>
        <w:pStyle w:val="auto-cursor-target"/>
        <w:numPr>
          <w:ilvl w:val="2"/>
          <w:numId w:val="18"/>
        </w:numPr>
        <w:shd w:val="clear" w:color="auto" w:fill="FFFFFF"/>
        <w:spacing w:before="0" w:beforeAutospacing="0" w:after="0" w:afterAutospacing="0"/>
      </w:pPr>
      <w:r w:rsidRPr="00FF6BA5">
        <w:t>PD-1hiCXCR5- T peripheral helper cells promote B cell responses in lupus via MAF and IL-21, JCI insight, 2019, 4, 20, </w:t>
      </w:r>
      <w:hyperlink r:id="rId13" w:history="1">
        <w:r w:rsidRPr="00FF6BA5">
          <w:t>31536480</w:t>
        </w:r>
      </w:hyperlink>
    </w:p>
    <w:p w14:paraId="38FA4EA4" w14:textId="77777777" w:rsidR="00FF6BA5" w:rsidRDefault="00FF6BA5" w:rsidP="00FF6BA5">
      <w:pPr>
        <w:pStyle w:val="NormaleWeb"/>
        <w:shd w:val="clear" w:color="auto" w:fill="FFFFFF"/>
        <w:spacing w:before="150" w:beforeAutospacing="0" w:after="0" w:afterAutospacing="0"/>
        <w:rPr>
          <w:lang w:val="en-US"/>
        </w:rPr>
      </w:pPr>
    </w:p>
    <w:p w14:paraId="6431AA5B" w14:textId="470C2BD4" w:rsidR="00FF6BA5" w:rsidRPr="00FF6BA5" w:rsidRDefault="00FF6BA5" w:rsidP="00FF6BA5">
      <w:pPr>
        <w:pStyle w:val="NormaleWeb"/>
        <w:shd w:val="clear" w:color="auto" w:fill="FFFFFF"/>
        <w:spacing w:before="150" w:beforeAutospacing="0" w:after="0" w:afterAutospacing="0"/>
        <w:rPr>
          <w:lang w:val="en-US"/>
        </w:rPr>
      </w:pPr>
      <w:r w:rsidRPr="00FF6BA5">
        <w:rPr>
          <w:lang w:val="en-US"/>
        </w:rPr>
        <w:t xml:space="preserve">Machine readable data is available via 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API: </w:t>
      </w:r>
      <w:hyperlink r:id="rId14" w:anchor="API/DataQueryAPI/dataqueryapi/" w:history="1">
        <w:r w:rsidRPr="00FF6BA5">
          <w:rPr>
            <w:lang w:val="en-US"/>
          </w:rPr>
          <w:t>https://docs.immport.org/#API/DataQueryAPI/dataqueryapi/</w:t>
        </w:r>
      </w:hyperlink>
    </w:p>
    <w:p w14:paraId="27F7DA49" w14:textId="77777777" w:rsidR="00FF6BA5" w:rsidRPr="00FF6BA5" w:rsidRDefault="00FF6BA5" w:rsidP="00FF6BA5">
      <w:pPr>
        <w:pStyle w:val="NormaleWeb"/>
        <w:shd w:val="clear" w:color="auto" w:fill="FFFFFF"/>
        <w:spacing w:before="150" w:beforeAutospacing="0" w:after="0" w:afterAutospacing="0"/>
        <w:rPr>
          <w:lang w:val="en-US"/>
        </w:rPr>
      </w:pPr>
    </w:p>
    <w:p w14:paraId="6061523A" w14:textId="77777777" w:rsidR="00FF6BA5" w:rsidRPr="00FF6BA5" w:rsidRDefault="00FF6BA5" w:rsidP="00FF6BA5">
      <w:pPr>
        <w:pStyle w:val="Titolo4"/>
      </w:pPr>
      <w:r w:rsidRPr="00FF6BA5">
        <w:t>Scenario:</w:t>
      </w:r>
    </w:p>
    <w:p w14:paraId="109C6DDD" w14:textId="77777777" w:rsidR="00FF6BA5" w:rsidRPr="00FF6BA5" w:rsidRDefault="00FF6BA5" w:rsidP="00FF6BA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>Retrieve study metadata and associated data via API or from website</w:t>
      </w:r>
    </w:p>
    <w:p w14:paraId="5C2F7540" w14:textId="77777777" w:rsidR="00FF6BA5" w:rsidRPr="00FF6BA5" w:rsidRDefault="00FF6BA5" w:rsidP="00FF6BA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 xml:space="preserve">All 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studies are searchable using study metadata API</w:t>
      </w:r>
    </w:p>
    <w:p w14:paraId="23B1FA68" w14:textId="77777777" w:rsidR="00FF6BA5" w:rsidRPr="00FF6BA5" w:rsidRDefault="00FF6BA5" w:rsidP="00FF6BA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 xml:space="preserve">Assess </w:t>
      </w:r>
      <w:proofErr w:type="spellStart"/>
      <w:r w:rsidRPr="00FF6BA5">
        <w:rPr>
          <w:lang w:val="en-US"/>
        </w:rPr>
        <w:t>FAIRness</w:t>
      </w:r>
      <w:proofErr w:type="spellEnd"/>
      <w:r w:rsidRPr="00FF6BA5">
        <w:rPr>
          <w:lang w:val="en-US"/>
        </w:rPr>
        <w:t xml:space="preserve"> of the metadata/data using the RDA FAIR data maturity Indicators</w:t>
      </w:r>
    </w:p>
    <w:p w14:paraId="7DE03FAB" w14:textId="77777777" w:rsidR="00FF6BA5" w:rsidRPr="00FF6BA5" w:rsidRDefault="00FF6BA5" w:rsidP="00FF6BA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FF6BA5">
        <w:lastRenderedPageBreak/>
        <w:t>Convert</w:t>
      </w:r>
      <w:proofErr w:type="spellEnd"/>
      <w:r w:rsidRPr="00FF6BA5">
        <w:t xml:space="preserve"> metadata/data </w:t>
      </w:r>
      <w:proofErr w:type="spellStart"/>
      <w:r w:rsidRPr="00FF6BA5">
        <w:t>into</w:t>
      </w:r>
      <w:proofErr w:type="spellEnd"/>
      <w:r w:rsidRPr="00FF6BA5">
        <w:t xml:space="preserve"> FHIR standard</w:t>
      </w:r>
    </w:p>
    <w:p w14:paraId="1EF785CC" w14:textId="77777777" w:rsidR="00FF6BA5" w:rsidRPr="00FF6BA5" w:rsidRDefault="00FF6BA5" w:rsidP="00FF6BA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 xml:space="preserve">Assess </w:t>
      </w:r>
      <w:proofErr w:type="spellStart"/>
      <w:r w:rsidRPr="00FF6BA5">
        <w:rPr>
          <w:lang w:val="en-US"/>
        </w:rPr>
        <w:t>FAIRness</w:t>
      </w:r>
      <w:proofErr w:type="spellEnd"/>
      <w:r w:rsidRPr="00FF6BA5">
        <w:rPr>
          <w:lang w:val="en-US"/>
        </w:rPr>
        <w:t xml:space="preserve"> of the metadata/data again using the RDA FAIR data maturity Indicators</w:t>
      </w:r>
    </w:p>
    <w:p w14:paraId="18D4B48F" w14:textId="77777777" w:rsidR="00FF6BA5" w:rsidRPr="00FF6BA5" w:rsidRDefault="00FF6BA5" w:rsidP="00FF6BA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FF6BA5">
        <w:rPr>
          <w:lang w:val="en-US"/>
        </w:rPr>
        <w:t xml:space="preserve">Analyze changes to </w:t>
      </w:r>
      <w:proofErr w:type="spellStart"/>
      <w:r w:rsidRPr="00FF6BA5">
        <w:rPr>
          <w:lang w:val="en-US"/>
        </w:rPr>
        <w:t>FAIRness</w:t>
      </w:r>
      <w:proofErr w:type="spellEnd"/>
      <w:r w:rsidRPr="00FF6BA5">
        <w:rPr>
          <w:lang w:val="en-US"/>
        </w:rPr>
        <w:t xml:space="preserve"> (if any)</w:t>
      </w:r>
    </w:p>
    <w:p w14:paraId="331F966F" w14:textId="77777777" w:rsidR="00FF6BA5" w:rsidRPr="00FF6BA5" w:rsidRDefault="00FF6BA5" w:rsidP="00FF6BA5">
      <w:pPr>
        <w:pStyle w:val="Titolo3"/>
      </w:pPr>
      <w:proofErr w:type="spellStart"/>
      <w:r w:rsidRPr="00FF6BA5">
        <w:t>Initial</w:t>
      </w:r>
      <w:proofErr w:type="spellEnd"/>
      <w:r w:rsidRPr="00FF6BA5">
        <w:t xml:space="preserve"> </w:t>
      </w:r>
      <w:proofErr w:type="spellStart"/>
      <w:r w:rsidRPr="00FF6BA5">
        <w:t>Assessment</w:t>
      </w:r>
      <w:proofErr w:type="spellEnd"/>
      <w:r w:rsidRPr="00FF6BA5">
        <w:t xml:space="preserve"> of </w:t>
      </w:r>
      <w:proofErr w:type="spellStart"/>
      <w:r w:rsidRPr="00FF6BA5">
        <w:t>FAIRness</w:t>
      </w:r>
      <w:proofErr w:type="spellEnd"/>
      <w:r w:rsidRPr="00FF6BA5">
        <w:t xml:space="preserve"> </w:t>
      </w:r>
      <w:proofErr w:type="spellStart"/>
      <w:r w:rsidRPr="00FF6BA5">
        <w:t>using</w:t>
      </w:r>
      <w:proofErr w:type="spellEnd"/>
      <w:r w:rsidRPr="00FF6BA5">
        <w:t xml:space="preserve"> the RDA FAIR </w:t>
      </w:r>
      <w:proofErr w:type="spellStart"/>
      <w:r w:rsidRPr="00FF6BA5">
        <w:t>Maturity</w:t>
      </w:r>
      <w:proofErr w:type="spellEnd"/>
      <w:r w:rsidRPr="00FF6BA5">
        <w:t xml:space="preserve"> </w:t>
      </w:r>
      <w:proofErr w:type="spellStart"/>
      <w:r w:rsidRPr="00FF6BA5">
        <w:t>Indicators</w:t>
      </w:r>
      <w:proofErr w:type="spellEnd"/>
    </w:p>
    <w:p w14:paraId="5DDAFAE9" w14:textId="77777777" w:rsidR="00FF6BA5" w:rsidRPr="00FF6BA5" w:rsidRDefault="00FF6BA5" w:rsidP="00FF6BA5">
      <w:pPr>
        <w:pStyle w:val="NormaleWeb"/>
        <w:shd w:val="clear" w:color="auto" w:fill="FFFFFF"/>
        <w:spacing w:before="150" w:beforeAutospacing="0" w:after="0" w:afterAutospacing="0"/>
        <w:rPr>
          <w:lang w:val="en-US"/>
        </w:rPr>
      </w:pPr>
      <w:r w:rsidRPr="00FF6BA5">
        <w:rPr>
          <w:lang w:val="en-US"/>
        </w:rPr>
        <w:t xml:space="preserve">To understand the </w:t>
      </w:r>
      <w:proofErr w:type="spellStart"/>
      <w:r w:rsidRPr="00FF6BA5">
        <w:rPr>
          <w:lang w:val="en-US"/>
        </w:rPr>
        <w:t>FAIRness</w:t>
      </w:r>
      <w:proofErr w:type="spellEnd"/>
      <w:r w:rsidRPr="00FF6BA5">
        <w:rPr>
          <w:lang w:val="en-US"/>
        </w:rPr>
        <w:t xml:space="preserve"> of this resource prior to the implementation of FHIR, we mapped the RDA FAIR indicators to the 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resource at the study level using two datasets defined above.</w:t>
      </w:r>
    </w:p>
    <w:p w14:paraId="34D8ADA3" w14:textId="77777777" w:rsidR="00FF6BA5" w:rsidRPr="00FF6BA5" w:rsidRDefault="00FF6BA5" w:rsidP="00FF6BA5">
      <w:pPr>
        <w:pStyle w:val="NormaleWeb"/>
        <w:shd w:val="clear" w:color="auto" w:fill="FFFFFF"/>
        <w:spacing w:before="150" w:beforeAutospacing="0" w:after="0" w:afterAutospacing="0"/>
        <w:rPr>
          <w:lang w:val="en-US"/>
        </w:rPr>
      </w:pPr>
      <w:r w:rsidRPr="00FF6BA5">
        <w:rPr>
          <w:lang w:val="en-US"/>
        </w:rPr>
        <w:t xml:space="preserve">Dataset SDY1544 is a clinical trial study with no associated study files and no mechanistic data, and dataset SDY998 is a clinical research study with associated study files and mechanistic data such as </w:t>
      </w:r>
      <w:proofErr w:type="spellStart"/>
      <w:r w:rsidRPr="00FF6BA5">
        <w:rPr>
          <w:lang w:val="en-US"/>
        </w:rPr>
        <w:t>RNAseq</w:t>
      </w:r>
      <w:proofErr w:type="spellEnd"/>
      <w:r w:rsidRPr="00FF6BA5">
        <w:rPr>
          <w:lang w:val="en-US"/>
        </w:rPr>
        <w:t xml:space="preserve">, </w:t>
      </w:r>
      <w:proofErr w:type="spellStart"/>
      <w:r w:rsidRPr="00FF6BA5">
        <w:rPr>
          <w:lang w:val="en-US"/>
        </w:rPr>
        <w:t>CyTOF</w:t>
      </w:r>
      <w:proofErr w:type="spellEnd"/>
      <w:r w:rsidRPr="00FF6BA5">
        <w:rPr>
          <w:lang w:val="en-US"/>
        </w:rPr>
        <w:t xml:space="preserve"> (mass cytometry) and flow cytometry</w:t>
      </w:r>
      <w:proofErr w:type="gramStart"/>
      <w:r w:rsidRPr="00FF6BA5">
        <w:rPr>
          <w:lang w:val="en-US"/>
        </w:rPr>
        <w:t xml:space="preserve">.  </w:t>
      </w:r>
      <w:proofErr w:type="gramEnd"/>
      <w:r w:rsidRPr="00FF6BA5">
        <w:rPr>
          <w:lang w:val="en-US"/>
        </w:rPr>
        <w:t xml:space="preserve">In summary, 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as a resource is relatively FAIR and, as such, satisfied most of the indicators for the findability (7/7) and accessibility (11/11)</w:t>
      </w:r>
      <w:proofErr w:type="gramStart"/>
      <w:r w:rsidRPr="00FF6BA5">
        <w:rPr>
          <w:lang w:val="en-US"/>
        </w:rPr>
        <w:t xml:space="preserve">.  </w:t>
      </w:r>
      <w:proofErr w:type="gramEnd"/>
      <w:r w:rsidRPr="00FF6BA5">
        <w:rPr>
          <w:lang w:val="en-US"/>
        </w:rPr>
        <w:t>For interoperability and reusability, the studies satisfied 7/12 and 7/10 indicators, respectively.</w:t>
      </w:r>
    </w:p>
    <w:p w14:paraId="778A1CC1" w14:textId="77777777" w:rsidR="00FF6BA5" w:rsidRPr="00FF6BA5" w:rsidRDefault="00FF6BA5" w:rsidP="00FF6BA5">
      <w:pPr>
        <w:pStyle w:val="NormaleWeb"/>
        <w:shd w:val="clear" w:color="auto" w:fill="FFFFFF"/>
        <w:spacing w:before="150" w:beforeAutospacing="0" w:after="0" w:afterAutospacing="0"/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1139"/>
        <w:gridCol w:w="1296"/>
        <w:gridCol w:w="1605"/>
        <w:gridCol w:w="1187"/>
        <w:gridCol w:w="1345"/>
      </w:tblGrid>
      <w:tr w:rsidR="00FF6BA5" w:rsidRPr="00FF6BA5" w14:paraId="3743EDC0" w14:textId="77777777" w:rsidTr="00FF6BA5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87E1074" w14:textId="77777777" w:rsidR="00FF6BA5" w:rsidRPr="00FF6BA5" w:rsidRDefault="00FF6BA5" w:rsidP="00FF6BA5">
            <w:r w:rsidRPr="00FF6BA5">
              <w:t>Dataset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49DAD3" w14:textId="77777777" w:rsidR="00FF6BA5" w:rsidRPr="00FF6BA5" w:rsidRDefault="00FF6BA5" w:rsidP="00FF6BA5">
            <w:proofErr w:type="spellStart"/>
            <w:r w:rsidRPr="00FF6BA5">
              <w:t>Findable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75CC2B2" w14:textId="77777777" w:rsidR="00FF6BA5" w:rsidRPr="00FF6BA5" w:rsidRDefault="00FF6BA5" w:rsidP="00FF6BA5">
            <w:proofErr w:type="spellStart"/>
            <w:r w:rsidRPr="00FF6BA5">
              <w:t>Accessible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A5EBAC" w14:textId="77777777" w:rsidR="00FF6BA5" w:rsidRPr="00FF6BA5" w:rsidRDefault="00FF6BA5" w:rsidP="00FF6BA5">
            <w:proofErr w:type="spellStart"/>
            <w:r w:rsidRPr="00FF6BA5">
              <w:t>Interoperable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44F0A7C" w14:textId="77777777" w:rsidR="00FF6BA5" w:rsidRPr="00FF6BA5" w:rsidRDefault="00FF6BA5" w:rsidP="00FF6BA5">
            <w:proofErr w:type="spellStart"/>
            <w:r w:rsidRPr="00FF6BA5">
              <w:t>Reusable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752318E" w14:textId="77777777" w:rsidR="00FF6BA5" w:rsidRPr="00FF6BA5" w:rsidRDefault="00FF6BA5" w:rsidP="00FF6BA5">
            <w:proofErr w:type="spellStart"/>
            <w:r w:rsidRPr="00FF6BA5">
              <w:t>Comments</w:t>
            </w:r>
            <w:proofErr w:type="spellEnd"/>
          </w:p>
        </w:tc>
      </w:tr>
      <w:tr w:rsidR="00FF6BA5" w:rsidRPr="00FF6BA5" w14:paraId="3D961ED2" w14:textId="77777777" w:rsidTr="00FF6BA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4BE6F" w14:textId="77777777" w:rsidR="00FF6BA5" w:rsidRPr="00FF6BA5" w:rsidRDefault="00FF6BA5">
            <w:r w:rsidRPr="00FF6BA5">
              <w:t>SDY1544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0A8072" w14:textId="77777777" w:rsidR="00FF6BA5" w:rsidRPr="00FF6BA5" w:rsidRDefault="00FF6BA5">
            <w:pPr>
              <w:jc w:val="center"/>
            </w:pPr>
            <w:r w:rsidRPr="00FF6BA5">
              <w:t>7/7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E39E7" w14:textId="77777777" w:rsidR="00FF6BA5" w:rsidRPr="00FF6BA5" w:rsidRDefault="00FF6BA5">
            <w:pPr>
              <w:jc w:val="center"/>
            </w:pPr>
            <w:r w:rsidRPr="00FF6BA5">
              <w:t>11/11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03E5E" w14:textId="77777777" w:rsidR="00FF6BA5" w:rsidRPr="00FF6BA5" w:rsidRDefault="00FF6BA5">
            <w:pPr>
              <w:jc w:val="center"/>
            </w:pPr>
            <w:r w:rsidRPr="00FF6BA5">
              <w:t>11/12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561E9" w14:textId="77777777" w:rsidR="00FF6BA5" w:rsidRPr="00FF6BA5" w:rsidRDefault="00FF6BA5">
            <w:pPr>
              <w:jc w:val="center"/>
            </w:pPr>
            <w:r w:rsidRPr="00FF6BA5">
              <w:t>7/10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9DF3E" w14:textId="77777777" w:rsidR="00FF6BA5" w:rsidRPr="00FF6BA5" w:rsidRDefault="00FF6BA5"/>
        </w:tc>
      </w:tr>
      <w:tr w:rsidR="00FF6BA5" w:rsidRPr="00FF6BA5" w14:paraId="63EC19CD" w14:textId="77777777" w:rsidTr="00FF6BA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293B33" w14:textId="77777777" w:rsidR="00FF6BA5" w:rsidRPr="00FF6BA5" w:rsidRDefault="00FF6BA5">
            <w:r w:rsidRPr="00FF6BA5">
              <w:t>SDY998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0F65C" w14:textId="77777777" w:rsidR="00FF6BA5" w:rsidRPr="00FF6BA5" w:rsidRDefault="00FF6BA5">
            <w:pPr>
              <w:jc w:val="center"/>
            </w:pPr>
            <w:r w:rsidRPr="00FF6BA5">
              <w:t>7/7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7F14D" w14:textId="77777777" w:rsidR="00FF6BA5" w:rsidRPr="00FF6BA5" w:rsidRDefault="00FF6BA5">
            <w:pPr>
              <w:jc w:val="center"/>
            </w:pPr>
            <w:r w:rsidRPr="00FF6BA5">
              <w:t>11/11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0F48F" w14:textId="77777777" w:rsidR="00FF6BA5" w:rsidRPr="00FF6BA5" w:rsidRDefault="00FF6BA5">
            <w:pPr>
              <w:jc w:val="center"/>
            </w:pPr>
            <w:r w:rsidRPr="00FF6BA5">
              <w:t>11/12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F2E6C5" w14:textId="77777777" w:rsidR="00FF6BA5" w:rsidRPr="00FF6BA5" w:rsidRDefault="00FF6BA5">
            <w:pPr>
              <w:jc w:val="center"/>
            </w:pPr>
            <w:r w:rsidRPr="00FF6BA5">
              <w:t>7/10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8BDEB8" w14:textId="77777777" w:rsidR="00FF6BA5" w:rsidRPr="00FF6BA5" w:rsidRDefault="00FF6BA5"/>
        </w:tc>
      </w:tr>
    </w:tbl>
    <w:p w14:paraId="601623E3" w14:textId="77777777" w:rsidR="00FF6BA5" w:rsidRPr="00FF6BA5" w:rsidRDefault="00FF6BA5" w:rsidP="00FF6BA5">
      <w:pPr>
        <w:pStyle w:val="Nessunaspaziatura"/>
      </w:pPr>
    </w:p>
    <w:p w14:paraId="73A6A91B" w14:textId="7CEB0B1C" w:rsidR="00FF6BA5" w:rsidRPr="00FF6BA5" w:rsidRDefault="00FF6BA5" w:rsidP="00FF6BA5">
      <w:pPr>
        <w:pStyle w:val="Titolo3"/>
      </w:pPr>
      <w:r w:rsidRPr="00FF6BA5">
        <w:t xml:space="preserve">Mapping of </w:t>
      </w:r>
      <w:proofErr w:type="spellStart"/>
      <w:r w:rsidRPr="00FF6BA5">
        <w:t>ImmPort</w:t>
      </w:r>
      <w:proofErr w:type="spellEnd"/>
      <w:r w:rsidRPr="00FF6BA5">
        <w:t xml:space="preserve"> metadata </w:t>
      </w:r>
      <w:proofErr w:type="spellStart"/>
      <w:r w:rsidRPr="00FF6BA5">
        <w:t>into</w:t>
      </w:r>
      <w:proofErr w:type="spellEnd"/>
      <w:r w:rsidRPr="00FF6BA5">
        <w:t xml:space="preserve"> FHIR </w:t>
      </w:r>
      <w:proofErr w:type="spellStart"/>
      <w:r w:rsidRPr="00FF6BA5">
        <w:t>resources</w:t>
      </w:r>
      <w:proofErr w:type="spellEnd"/>
    </w:p>
    <w:p w14:paraId="687DE836" w14:textId="5BED37DE" w:rsidR="00FF6BA5" w:rsidRPr="00FF6BA5" w:rsidRDefault="00FF6BA5" w:rsidP="00FF6BA5">
      <w:pPr>
        <w:pStyle w:val="NormaleWeb"/>
        <w:shd w:val="clear" w:color="auto" w:fill="FFFFFF"/>
        <w:spacing w:before="150" w:beforeAutospacing="0" w:after="0" w:afterAutospacing="0"/>
      </w:pPr>
      <w:r w:rsidRPr="00FF6BA5">
        <w:rPr>
          <w:lang w:val="en-US"/>
        </w:rPr>
        <w:t xml:space="preserve">In an effort outside of this implementation guide, 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has planned to improve its interoperability by mapping the FHIR resources to the 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data model</w:t>
      </w:r>
      <w:proofErr w:type="gramStart"/>
      <w:r w:rsidRPr="00FF6BA5">
        <w:rPr>
          <w:lang w:val="en-US"/>
        </w:rPr>
        <w:t xml:space="preserve">.  </w:t>
      </w:r>
      <w:proofErr w:type="gramEnd"/>
      <w:r w:rsidRPr="00FF6BA5">
        <w:rPr>
          <w:lang w:val="en-US"/>
        </w:rPr>
        <w:t xml:space="preserve">In addition, 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clinical data will also be transformed and disseminated in the FHIR format</w:t>
      </w:r>
      <w:proofErr w:type="gramStart"/>
      <w:r w:rsidRPr="00FF6BA5">
        <w:rPr>
          <w:lang w:val="en-US"/>
        </w:rPr>
        <w:t xml:space="preserve">.  </w:t>
      </w:r>
      <w:proofErr w:type="gramEnd"/>
      <w:r w:rsidRPr="00FF6BA5">
        <w:rPr>
          <w:lang w:val="en-US"/>
        </w:rPr>
        <w:t xml:space="preserve">After the FHIR implementation and data transformation, it is expected that </w:t>
      </w:r>
      <w:proofErr w:type="spellStart"/>
      <w:r w:rsidRPr="00FF6BA5">
        <w:rPr>
          <w:lang w:val="en-US"/>
        </w:rPr>
        <w:t>ImmPort</w:t>
      </w:r>
      <w:proofErr w:type="spellEnd"/>
      <w:r w:rsidRPr="00FF6BA5">
        <w:rPr>
          <w:lang w:val="en-US"/>
        </w:rPr>
        <w:t xml:space="preserve"> will see an improvement in the interoperability and reusability category, which is consistent to the assessments from other scenarios in this implementation guide.</w:t>
      </w:r>
    </w:p>
    <w:p w14:paraId="56D59CCD" w14:textId="77777777" w:rsidR="00FF6BA5" w:rsidRPr="00FF6BA5" w:rsidRDefault="00FF6BA5" w:rsidP="00FF6BA5">
      <w:pPr>
        <w:pStyle w:val="NormaleWeb"/>
        <w:shd w:val="clear" w:color="auto" w:fill="FFFFFF"/>
        <w:spacing w:before="150" w:beforeAutospacing="0" w:after="0" w:afterAutospacing="0"/>
        <w:rPr>
          <w:lang w:val="en-US"/>
        </w:rPr>
      </w:pPr>
    </w:p>
    <w:p w14:paraId="414244C5" w14:textId="77777777" w:rsidR="00FF6BA5" w:rsidRPr="00FF6BA5" w:rsidRDefault="00FF6BA5" w:rsidP="00FF6BA5">
      <w:pPr>
        <w:pStyle w:val="Titolo3"/>
      </w:pPr>
      <w:proofErr w:type="spellStart"/>
      <w:r w:rsidRPr="00FF6BA5">
        <w:t>References</w:t>
      </w:r>
      <w:proofErr w:type="spellEnd"/>
    </w:p>
    <w:p w14:paraId="4BC79E92" w14:textId="671DC75D" w:rsidR="00EA42BA" w:rsidRPr="00FF6BA5" w:rsidRDefault="00EA42BA" w:rsidP="00E5007A"/>
    <w:p w14:paraId="7C761DE0" w14:textId="5C7FB42E" w:rsidR="00FF6BA5" w:rsidRPr="00FF6BA5" w:rsidRDefault="00FF6BA5" w:rsidP="00E5007A">
      <w:r w:rsidRPr="00FF6BA5">
        <w:rPr>
          <w:lang w:val="en-US"/>
        </w:rPr>
        <w:t xml:space="preserve">FAIR Data Maturity Model Working Group (2020). FAIR Data Maturity Model: specification and guidelines. </w:t>
      </w:r>
      <w:proofErr w:type="spellStart"/>
      <w:r w:rsidRPr="00FF6BA5">
        <w:t>Research</w:t>
      </w:r>
      <w:proofErr w:type="spellEnd"/>
      <w:r w:rsidRPr="00FF6BA5">
        <w:t xml:space="preserve"> Data Alliance. DOI: 10.15497/RDA00050</w:t>
      </w:r>
    </w:p>
    <w:sectPr w:rsidR="00FF6BA5" w:rsidRPr="00FF6B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E77DD0"/>
    <w:multiLevelType w:val="hybridMultilevel"/>
    <w:tmpl w:val="C79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32890"/>
    <w:multiLevelType w:val="multilevel"/>
    <w:tmpl w:val="B3DC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F149D1"/>
    <w:multiLevelType w:val="hybridMultilevel"/>
    <w:tmpl w:val="4EB6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B6055"/>
    <w:multiLevelType w:val="multilevel"/>
    <w:tmpl w:val="B4A0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3C2347C"/>
    <w:multiLevelType w:val="multilevel"/>
    <w:tmpl w:val="70C6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801D7D"/>
    <w:multiLevelType w:val="multilevel"/>
    <w:tmpl w:val="D51A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12"/>
  </w:num>
  <w:num w:numId="7">
    <w:abstractNumId w:val="0"/>
  </w:num>
  <w:num w:numId="8">
    <w:abstractNumId w:val="11"/>
  </w:num>
  <w:num w:numId="9">
    <w:abstractNumId w:val="15"/>
  </w:num>
  <w:num w:numId="10">
    <w:abstractNumId w:val="5"/>
  </w:num>
  <w:num w:numId="11">
    <w:abstractNumId w:val="16"/>
  </w:num>
  <w:num w:numId="12">
    <w:abstractNumId w:val="14"/>
  </w:num>
  <w:num w:numId="13">
    <w:abstractNumId w:val="9"/>
  </w:num>
  <w:num w:numId="14">
    <w:abstractNumId w:val="10"/>
  </w:num>
  <w:num w:numId="15">
    <w:abstractNumId w:val="17"/>
  </w:num>
  <w:num w:numId="16">
    <w:abstractNumId w:val="7"/>
  </w:num>
  <w:num w:numId="17">
    <w:abstractNumId w:val="3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5320"/>
    <w:rsid w:val="001767E5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62B82"/>
    <w:rsid w:val="00370562"/>
    <w:rsid w:val="00374542"/>
    <w:rsid w:val="003807CC"/>
    <w:rsid w:val="003A10F9"/>
    <w:rsid w:val="003B0FAE"/>
    <w:rsid w:val="003C3CBE"/>
    <w:rsid w:val="003D393A"/>
    <w:rsid w:val="003F0C43"/>
    <w:rsid w:val="00416C62"/>
    <w:rsid w:val="0045030A"/>
    <w:rsid w:val="00470E36"/>
    <w:rsid w:val="004850DF"/>
    <w:rsid w:val="00491280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660C4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972DA"/>
    <w:rsid w:val="009B5592"/>
    <w:rsid w:val="009D1FE1"/>
    <w:rsid w:val="00A558B9"/>
    <w:rsid w:val="00A55BCB"/>
    <w:rsid w:val="00A718E6"/>
    <w:rsid w:val="00A907D9"/>
    <w:rsid w:val="00A90CE0"/>
    <w:rsid w:val="00A92A9D"/>
    <w:rsid w:val="00A97B01"/>
    <w:rsid w:val="00AB4541"/>
    <w:rsid w:val="00AB7D4A"/>
    <w:rsid w:val="00AD42E6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07A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74B48"/>
    <w:rsid w:val="00FA2C51"/>
    <w:rsid w:val="00FB1FAB"/>
    <w:rsid w:val="00FC02CB"/>
    <w:rsid w:val="00FC30D7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uto-cursor-target">
    <w:name w:val="auto-cursor-target"/>
    <w:basedOn w:val="Normale"/>
    <w:rsid w:val="00FF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.immport.org/shared/study/SDY1544" TargetMode="External"/><Relationship Id="rId13" Type="http://schemas.openxmlformats.org/officeDocument/2006/relationships/hyperlink" Target="http://www.ncbi.nlm.nih.gov/entrez/query.fcgi?cmd=Retrieve&amp;db=pubmed&amp;dopt=Abstract&amp;list_uids=31536480" TargetMode="External"/><Relationship Id="rId3" Type="http://schemas.openxmlformats.org/officeDocument/2006/relationships/styles" Target="styles.xml"/><Relationship Id="rId7" Type="http://schemas.openxmlformats.org/officeDocument/2006/relationships/hyperlink" Target="https://immport.org/shared/search?filters=clinical_trial:Y" TargetMode="External"/><Relationship Id="rId12" Type="http://schemas.openxmlformats.org/officeDocument/2006/relationships/hyperlink" Target="http://www.ncbi.nlm.nih.gov/entrez/query.fcgi?cmd=Retrieve&amp;db=pubmed&amp;dopt=Abstract&amp;list_uids=3106844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mport.org/home" TargetMode="External"/><Relationship Id="rId11" Type="http://schemas.openxmlformats.org/officeDocument/2006/relationships/hyperlink" Target="http://www.ncbi.nlm.nih.gov/entrez/query.fcgi?cmd=Retrieve&amp;db=pubmed&amp;dopt=Abstract&amp;list_uids=3106153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cbi.nlm.nih.gov/entrez/query.fcgi?cmd=Retrieve&amp;db=pubmed&amp;dopt=Abstract&amp;list_uids=299969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mport.org/shared/study/SDY998" TargetMode="External"/><Relationship Id="rId14" Type="http://schemas.openxmlformats.org/officeDocument/2006/relationships/hyperlink" Target="https://docs.immport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168</cp:revision>
  <dcterms:created xsi:type="dcterms:W3CDTF">2020-04-05T12:56:00Z</dcterms:created>
  <dcterms:modified xsi:type="dcterms:W3CDTF">2021-11-08T11:45:00Z</dcterms:modified>
</cp:coreProperties>
</file>