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51F55" w14:textId="5B493650" w:rsidR="00BC68AA" w:rsidRPr="00BC68AA" w:rsidRDefault="00BC68AA" w:rsidP="00BC68AA">
      <w:pPr>
        <w:rPr>
          <w:lang w:val="en-US"/>
        </w:rPr>
      </w:pPr>
      <w:r w:rsidRPr="00BC68AA">
        <w:rPr>
          <w:lang w:val="en-US"/>
        </w:rPr>
        <w:t xml:space="preserve">The concept of FAIR digital object is quite wide and can vary in term of granularity and type of data that should be represented. (For a definition of a FAIR data object see section 4.1 of the EC publication Turning FAIR into reality and </w:t>
      </w:r>
      <w:proofErr w:type="spellStart"/>
      <w:r w:rsidRPr="00BC68AA">
        <w:rPr>
          <w:lang w:val="en-US"/>
        </w:rPr>
        <w:t>Wittenburg</w:t>
      </w:r>
      <w:proofErr w:type="spellEnd"/>
      <w:r w:rsidRPr="00BC68AA">
        <w:rPr>
          <w:lang w:val="en-US"/>
        </w:rPr>
        <w:t xml:space="preserve">, P., Strawn, G., Mons, B. et al.: Digital objects as drivers towards convergence in data infrastructures 2019 - Full Text). It may be a single unit such as a coded diagnosis or a collection of machine actionable data (data set). It may </w:t>
      </w:r>
      <w:r w:rsidRPr="00BC68AA">
        <w:rPr>
          <w:lang w:val="en-US"/>
        </w:rPr>
        <w:t>represent</w:t>
      </w:r>
      <w:r w:rsidRPr="00BC68AA">
        <w:rPr>
          <w:lang w:val="en-US"/>
        </w:rPr>
        <w:t xml:space="preserve"> a waveform, an image, a condition, other types of data or a combination of them.</w:t>
      </w:r>
    </w:p>
    <w:p w14:paraId="4D5FFF5A" w14:textId="77777777" w:rsidR="00BC68AA" w:rsidRPr="00BC68AA" w:rsidRDefault="00BC68AA" w:rsidP="00BC68AA">
      <w:pPr>
        <w:rPr>
          <w:lang w:val="en-US"/>
        </w:rPr>
      </w:pPr>
      <w:r w:rsidRPr="00BC68AA">
        <w:rPr>
          <w:lang w:val="en-US"/>
        </w:rPr>
        <w:t xml:space="preserve">This implies that their representation with HL7 FHIR resources and elements may range from a </w:t>
      </w:r>
      <w:proofErr w:type="spellStart"/>
      <w:r w:rsidRPr="00BC68AA">
        <w:rPr>
          <w:lang w:val="en-US"/>
        </w:rPr>
        <w:t>sinlge</w:t>
      </w:r>
      <w:proofErr w:type="spellEnd"/>
      <w:r w:rsidRPr="00BC68AA">
        <w:rPr>
          <w:lang w:val="en-US"/>
        </w:rPr>
        <w:t xml:space="preserve"> element to a set of linked resources. (</w:t>
      </w:r>
      <w:proofErr w:type="gramStart"/>
      <w:r w:rsidRPr="00BC68AA">
        <w:rPr>
          <w:lang w:val="en-US"/>
        </w:rPr>
        <w:t>see</w:t>
      </w:r>
      <w:proofErr w:type="gramEnd"/>
      <w:r w:rsidRPr="00BC68AA">
        <w:rPr>
          <w:lang w:val="en-US"/>
        </w:rPr>
        <w:t xml:space="preserve"> Figure 1).</w:t>
      </w:r>
    </w:p>
    <w:p w14:paraId="7C62BD96" w14:textId="3D130EB3" w:rsidR="00BC68AA" w:rsidRDefault="00BC68AA" w:rsidP="00BC68AA">
      <w:pPr>
        <w:rPr>
          <w:lang w:val="en-US"/>
        </w:rPr>
      </w:pPr>
      <w:r w:rsidRPr="00BC68AA">
        <w:rPr>
          <w:lang w:val="en-US"/>
        </w:rPr>
        <w:t>Similar considerations can be done also for the metadata, metadata can be in fact represented by elements belonging to the same resource documenting the data and by a set of other linked resources.</w:t>
      </w:r>
    </w:p>
    <w:p w14:paraId="485FDFC7" w14:textId="3034EC68" w:rsidR="002D4964" w:rsidRDefault="009F232D" w:rsidP="009F232D">
      <w:pPr>
        <w:jc w:val="center"/>
        <w:rPr>
          <w:lang w:val="en-US"/>
        </w:rPr>
      </w:pPr>
      <w:r w:rsidRPr="009F232D">
        <w:rPr>
          <w:noProof/>
          <w:lang w:val="en-US"/>
        </w:rPr>
        <mc:AlternateContent>
          <mc:Choice Requires="wps">
            <w:drawing>
              <wp:anchor distT="45720" distB="45720" distL="114300" distR="114300" simplePos="0" relativeHeight="251659264" behindDoc="0" locked="0" layoutInCell="1" allowOverlap="1" wp14:anchorId="6AC32935" wp14:editId="11F5C2EE">
                <wp:simplePos x="0" y="0"/>
                <wp:positionH relativeFrom="column">
                  <wp:posOffset>608965</wp:posOffset>
                </wp:positionH>
                <wp:positionV relativeFrom="paragraph">
                  <wp:posOffset>381635</wp:posOffset>
                </wp:positionV>
                <wp:extent cx="5073650" cy="2277745"/>
                <wp:effectExtent l="0" t="0" r="12700"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2277745"/>
                        </a:xfrm>
                        <a:prstGeom prst="rect">
                          <a:avLst/>
                        </a:prstGeom>
                        <a:solidFill>
                          <a:srgbClr val="FFFFFF"/>
                        </a:solidFill>
                        <a:ln w="9525">
                          <a:solidFill>
                            <a:srgbClr val="000000"/>
                          </a:solidFill>
                          <a:miter lim="800000"/>
                          <a:headEnd/>
                          <a:tailEnd/>
                        </a:ln>
                      </wps:spPr>
                      <wps:txbx>
                        <w:txbxContent>
                          <w:p w14:paraId="60789FA2" w14:textId="5294FA37" w:rsidR="009F232D" w:rsidRPr="009F232D" w:rsidRDefault="009F232D" w:rsidP="00CD7794">
                            <w:pPr>
                              <w:jc w:val="center"/>
                              <w:rPr>
                                <w:lang w:val="en-US"/>
                              </w:rPr>
                            </w:pPr>
                            <w:r>
                              <w:rPr>
                                <w:noProof/>
                              </w:rPr>
                              <w:drawing>
                                <wp:inline distT="0" distB="0" distL="0" distR="0" wp14:anchorId="384FF788" wp14:editId="48126810">
                                  <wp:extent cx="4435663" cy="2050793"/>
                                  <wp:effectExtent l="0" t="0" r="0" b="6985"/>
                                  <wp:docPr id="16" name="Immagine 16"/>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6938" cy="2074499"/>
                                          </a:xfrm>
                                          <a:prstGeom prst="rect">
                                            <a:avLst/>
                                          </a:prstGeom>
                                          <a:noFill/>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AC32935" id="_x0000_t202" coordsize="21600,21600" o:spt="202" path="m,l,21600r21600,l21600,xe">
                <v:stroke joinstyle="miter"/>
                <v:path gradientshapeok="t" o:connecttype="rect"/>
              </v:shapetype>
              <v:shape id="Text Box 2" o:spid="_x0000_s1026" type="#_x0000_t202" style="position:absolute;left:0;text-align:left;margin-left:47.95pt;margin-top:30.05pt;width:399.5pt;height:17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">
                <v:textbox>
                  <w:txbxContent>
                    <w:p w14:paraId="60789FA2" w14:textId="5294FA37" w:rsidR="009F232D" w:rsidRPr="009F232D" w:rsidRDefault="009F232D" w:rsidP="00CD7794">
                      <w:pPr>
                        <w:jc w:val="center"/>
                        <w:rPr>
                          <w:lang w:val="en-US"/>
                        </w:rPr>
                      </w:pPr>
                      <w:r>
                        <w:rPr>
                          <w:noProof/>
                        </w:rPr>
                        <w:drawing>
                          <wp:inline distT="0" distB="0" distL="0" distR="0" wp14:anchorId="384FF788" wp14:editId="48126810">
                            <wp:extent cx="4435663" cy="2050793"/>
                            <wp:effectExtent l="0" t="0" r="0" b="6985"/>
                            <wp:docPr id="16" name="Immagine 16"/>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6938" cy="2074499"/>
                                    </a:xfrm>
                                    <a:prstGeom prst="rect">
                                      <a:avLst/>
                                    </a:prstGeom>
                                    <a:noFill/>
                                  </pic:spPr>
                                </pic:pic>
                              </a:graphicData>
                            </a:graphic>
                          </wp:inline>
                        </w:drawing>
                      </w:r>
                    </w:p>
                  </w:txbxContent>
                </v:textbox>
                <w10:wrap type="topAndBottom"/>
              </v:shape>
            </w:pict>
          </mc:Fallback>
        </mc:AlternateContent>
      </w:r>
    </w:p>
    <w:p w14:paraId="41B009C8" w14:textId="7F3975C1" w:rsidR="00291D55" w:rsidRDefault="00291D55" w:rsidP="00291D55">
      <w:pPr>
        <w:rPr>
          <w:lang w:val="en-US"/>
        </w:rPr>
      </w:pPr>
      <w:r w:rsidRPr="00092E9C">
        <w:rPr>
          <w:b/>
          <w:bCs/>
          <w:lang w:val="en-US"/>
        </w:rPr>
        <w:t xml:space="preserve">Figure </w:t>
      </w:r>
      <w:r w:rsidRPr="003F5ED8">
        <w:rPr>
          <w:b/>
          <w:bCs/>
          <w:i/>
          <w:iCs/>
        </w:rPr>
        <w:fldChar w:fldCharType="begin"/>
      </w:r>
      <w:r w:rsidRPr="00092E9C">
        <w:rPr>
          <w:b/>
          <w:bCs/>
          <w:lang w:val="en-US"/>
        </w:rPr>
        <w:instrText xml:space="preserve"> SEQ Figure \* ARABIC </w:instrText>
      </w:r>
      <w:r w:rsidRPr="003F5ED8">
        <w:rPr>
          <w:b/>
          <w:bCs/>
          <w:i/>
          <w:iCs/>
        </w:rPr>
        <w:fldChar w:fldCharType="separate"/>
      </w:r>
      <w:r w:rsidRPr="00092E9C">
        <w:rPr>
          <w:b/>
          <w:bCs/>
          <w:noProof/>
          <w:lang w:val="en-US"/>
        </w:rPr>
        <w:t>1</w:t>
      </w:r>
      <w:r w:rsidRPr="003F5ED8">
        <w:rPr>
          <w:b/>
          <w:bCs/>
          <w:i/>
          <w:iCs/>
        </w:rPr>
        <w:fldChar w:fldCharType="end"/>
      </w:r>
      <w:r w:rsidRPr="00092E9C">
        <w:rPr>
          <w:b/>
          <w:bCs/>
          <w:lang w:val="en-US"/>
        </w:rPr>
        <w:t xml:space="preserve"> – FAIR Digital Object </w:t>
      </w:r>
      <w:r w:rsidRPr="003F5ED8">
        <w:rPr>
          <w:b/>
          <w:bCs/>
          <w:lang w:val="en-US"/>
        </w:rPr>
        <w:t>representation</w:t>
      </w:r>
    </w:p>
    <w:p w14:paraId="03D2F252" w14:textId="605D46AB" w:rsidR="008632B6" w:rsidRDefault="008632B6" w:rsidP="002D4964">
      <w:pPr>
        <w:rPr>
          <w:lang w:val="en-US"/>
        </w:rPr>
      </w:pPr>
    </w:p>
    <w:p w14:paraId="4A4E3F6F" w14:textId="77777777" w:rsidR="002D4964" w:rsidRDefault="002D4964" w:rsidP="002D4964">
      <w:pPr>
        <w:rPr>
          <w:lang w:val="en-US"/>
        </w:rPr>
      </w:pPr>
    </w:p>
    <w:p w14:paraId="36E45726" w14:textId="3E88D5F5" w:rsidR="002D4964" w:rsidRDefault="00F824A9" w:rsidP="00F824A9">
      <w:pPr>
        <w:jc w:val="center"/>
        <w:rPr>
          <w:lang w:val="en-US"/>
        </w:rPr>
      </w:pPr>
      <w:r>
        <w:rPr>
          <w:noProof/>
          <w:lang w:val="en-US"/>
        </w:rPr>
        <w:drawing>
          <wp:inline distT="0" distB="0" distL="0" distR="0" wp14:anchorId="2284E316" wp14:editId="5F08769E">
            <wp:extent cx="3553097" cy="196373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7893" cy="1971916"/>
                    </a:xfrm>
                    <a:prstGeom prst="rect">
                      <a:avLst/>
                    </a:prstGeom>
                    <a:noFill/>
                  </pic:spPr>
                </pic:pic>
              </a:graphicData>
            </a:graphic>
          </wp:inline>
        </w:drawing>
      </w:r>
    </w:p>
    <w:p w14:paraId="4C13372C" w14:textId="44084CCA" w:rsidR="00291D55" w:rsidRDefault="00291D55" w:rsidP="00291D55">
      <w:pPr>
        <w:rPr>
          <w:lang w:val="en-US"/>
        </w:rPr>
      </w:pPr>
      <w:r w:rsidRPr="00291D55">
        <w:rPr>
          <w:b/>
          <w:bCs/>
          <w:lang w:val="en-US"/>
        </w:rPr>
        <w:t xml:space="preserve">Figure </w:t>
      </w:r>
      <w:r w:rsidRPr="003F5ED8">
        <w:rPr>
          <w:b/>
          <w:bCs/>
          <w:i/>
          <w:iCs/>
        </w:rPr>
        <w:fldChar w:fldCharType="begin"/>
      </w:r>
      <w:r w:rsidRPr="00291D55">
        <w:rPr>
          <w:b/>
          <w:bCs/>
          <w:lang w:val="en-US"/>
        </w:rPr>
        <w:instrText xml:space="preserve"> SEQ Figure \* ARABIC </w:instrText>
      </w:r>
      <w:r w:rsidRPr="003F5ED8">
        <w:rPr>
          <w:b/>
          <w:bCs/>
          <w:i/>
          <w:iCs/>
        </w:rPr>
        <w:fldChar w:fldCharType="separate"/>
      </w:r>
      <w:r>
        <w:rPr>
          <w:b/>
          <w:bCs/>
          <w:noProof/>
          <w:lang w:val="en-US"/>
        </w:rPr>
        <w:t>2</w:t>
      </w:r>
      <w:r w:rsidRPr="003F5ED8">
        <w:rPr>
          <w:b/>
          <w:bCs/>
          <w:i/>
          <w:iCs/>
        </w:rPr>
        <w:fldChar w:fldCharType="end"/>
      </w:r>
      <w:r w:rsidRPr="00291D55">
        <w:rPr>
          <w:b/>
          <w:bCs/>
          <w:lang w:val="en-US"/>
        </w:rPr>
        <w:t xml:space="preserve"> – </w:t>
      </w:r>
      <w:r>
        <w:rPr>
          <w:b/>
          <w:bCs/>
          <w:lang w:val="en-US"/>
        </w:rPr>
        <w:t>M</w:t>
      </w:r>
      <w:r w:rsidRPr="00291D55">
        <w:rPr>
          <w:b/>
          <w:bCs/>
          <w:lang w:val="en-US"/>
        </w:rPr>
        <w:t xml:space="preserve">apping </w:t>
      </w:r>
      <w:r>
        <w:rPr>
          <w:b/>
          <w:bCs/>
          <w:lang w:val="en-US"/>
        </w:rPr>
        <w:t>FAIR data and metadata</w:t>
      </w:r>
    </w:p>
    <w:p w14:paraId="59B461E0" w14:textId="77777777" w:rsidR="002D4964" w:rsidRDefault="002D4964" w:rsidP="002D4964">
      <w:pPr>
        <w:rPr>
          <w:lang w:val="en-US"/>
        </w:rPr>
      </w:pPr>
    </w:p>
    <w:p w14:paraId="0EB3DF6A" w14:textId="6A33D15B" w:rsidR="00BC68AA" w:rsidRDefault="00BC68AA" w:rsidP="002D4964">
      <w:pPr>
        <w:rPr>
          <w:lang w:val="en-US"/>
        </w:rPr>
      </w:pPr>
      <w:r w:rsidRPr="00BC68AA">
        <w:rPr>
          <w:lang w:val="en-US"/>
        </w:rPr>
        <w:t>The critical point is however the </w:t>
      </w:r>
      <w:r w:rsidRPr="00BC68AA">
        <w:rPr>
          <w:b/>
          <w:bCs/>
          <w:lang w:val="en-US"/>
        </w:rPr>
        <w:t>actual logical distinction between metadata and data</w:t>
      </w:r>
      <w:r w:rsidRPr="00BC68AA">
        <w:rPr>
          <w:lang w:val="en-US"/>
        </w:rPr>
        <w:t> (both are FAIR DO); with metadata playing a key role for making data findable, accessible, interoperable and reusable.</w:t>
      </w:r>
      <w:r w:rsidRPr="00BC68AA">
        <w:rPr>
          <w:lang w:val="en-US"/>
        </w:rPr>
        <w:br/>
        <w:t>Metadata are in fact usually described as the "data about data", but in practice what is "data" and what is "metadata" is a matter of perspective: based on the context, the same information can be in fact considered as part of the data or of the metadata.</w:t>
      </w:r>
    </w:p>
    <w:p w14:paraId="1962FD05" w14:textId="258E9696" w:rsidR="00BC68AA" w:rsidRPr="00BC68AA" w:rsidRDefault="00BC68AA" w:rsidP="002D4964">
      <w:pPr>
        <w:rPr>
          <w:lang w:val="en-US"/>
        </w:rPr>
      </w:pPr>
      <w:r w:rsidRPr="00BC68AA">
        <w:rPr>
          <w:lang w:val="en-US"/>
        </w:rPr>
        <w:lastRenderedPageBreak/>
        <w:t>This makes even more complex the mapping of the FAIR DO to the FHIR resources.</w:t>
      </w:r>
    </w:p>
    <w:p w14:paraId="55D15176" w14:textId="77777777" w:rsidR="00291D55" w:rsidRDefault="00291D55" w:rsidP="002D4964">
      <w:pPr>
        <w:rPr>
          <w:lang w:val="en-US"/>
        </w:rPr>
      </w:pPr>
    </w:p>
    <w:p w14:paraId="610715D3" w14:textId="1D97BB4A" w:rsidR="002D4964" w:rsidRDefault="00F824A9" w:rsidP="00F824A9">
      <w:pPr>
        <w:jc w:val="center"/>
        <w:rPr>
          <w:lang w:val="en-US"/>
        </w:rPr>
      </w:pPr>
      <w:r>
        <w:rPr>
          <w:noProof/>
          <w:lang w:val="en-US"/>
        </w:rPr>
        <w:drawing>
          <wp:inline distT="0" distB="0" distL="0" distR="0" wp14:anchorId="4C504718" wp14:editId="3EC451A4">
            <wp:extent cx="3823685" cy="2192124"/>
            <wp:effectExtent l="0" t="0" r="571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0250" cy="2195887"/>
                    </a:xfrm>
                    <a:prstGeom prst="rect">
                      <a:avLst/>
                    </a:prstGeom>
                    <a:noFill/>
                  </pic:spPr>
                </pic:pic>
              </a:graphicData>
            </a:graphic>
          </wp:inline>
        </w:drawing>
      </w:r>
    </w:p>
    <w:p w14:paraId="4213E2C6" w14:textId="57596F57" w:rsidR="00291D55" w:rsidRDefault="00291D55" w:rsidP="00291D55">
      <w:pPr>
        <w:rPr>
          <w:lang w:val="en-US"/>
        </w:rPr>
      </w:pPr>
      <w:r w:rsidRPr="00291D55">
        <w:rPr>
          <w:b/>
          <w:bCs/>
          <w:lang w:val="en-US"/>
        </w:rPr>
        <w:t xml:space="preserve">Figure </w:t>
      </w:r>
      <w:r w:rsidRPr="003F5ED8">
        <w:rPr>
          <w:b/>
          <w:bCs/>
          <w:i/>
          <w:iCs/>
        </w:rPr>
        <w:fldChar w:fldCharType="begin"/>
      </w:r>
      <w:r w:rsidRPr="00291D55">
        <w:rPr>
          <w:b/>
          <w:bCs/>
          <w:lang w:val="en-US"/>
        </w:rPr>
        <w:instrText xml:space="preserve"> SEQ Figure \* ARABIC </w:instrText>
      </w:r>
      <w:r w:rsidRPr="003F5ED8">
        <w:rPr>
          <w:b/>
          <w:bCs/>
          <w:i/>
          <w:iCs/>
        </w:rPr>
        <w:fldChar w:fldCharType="separate"/>
      </w:r>
      <w:r>
        <w:rPr>
          <w:b/>
          <w:bCs/>
          <w:noProof/>
          <w:lang w:val="en-US"/>
        </w:rPr>
        <w:t>3</w:t>
      </w:r>
      <w:r w:rsidRPr="003F5ED8">
        <w:rPr>
          <w:b/>
          <w:bCs/>
          <w:i/>
          <w:iCs/>
        </w:rPr>
        <w:fldChar w:fldCharType="end"/>
      </w:r>
      <w:r w:rsidRPr="00291D55">
        <w:rPr>
          <w:b/>
          <w:bCs/>
          <w:lang w:val="en-US"/>
        </w:rPr>
        <w:t xml:space="preserve"> – </w:t>
      </w:r>
      <w:r>
        <w:rPr>
          <w:b/>
          <w:bCs/>
          <w:lang w:val="en-US"/>
        </w:rPr>
        <w:t>M</w:t>
      </w:r>
      <w:r w:rsidRPr="00291D55">
        <w:rPr>
          <w:b/>
          <w:bCs/>
          <w:lang w:val="en-US"/>
        </w:rPr>
        <w:t xml:space="preserve">apping </w:t>
      </w:r>
      <w:r>
        <w:rPr>
          <w:b/>
          <w:bCs/>
          <w:lang w:val="en-US"/>
        </w:rPr>
        <w:t>FAIR data and metadata</w:t>
      </w:r>
    </w:p>
    <w:p w14:paraId="60F8C113" w14:textId="77777777" w:rsidR="00291D55" w:rsidRDefault="00291D55" w:rsidP="00F824A9">
      <w:pPr>
        <w:jc w:val="center"/>
        <w:rPr>
          <w:lang w:val="en-US"/>
        </w:rPr>
      </w:pPr>
    </w:p>
    <w:p w14:paraId="6D050E9F" w14:textId="77777777" w:rsidR="002D4964" w:rsidRPr="000D312F" w:rsidRDefault="002D4964" w:rsidP="002D4964">
      <w:pPr>
        <w:rPr>
          <w:lang w:val="en-US"/>
        </w:rPr>
      </w:pPr>
    </w:p>
    <w:p w14:paraId="405DED72" w14:textId="77777777" w:rsidR="000E68F3" w:rsidRPr="000E68F3" w:rsidRDefault="000E68F3" w:rsidP="000E68F3">
      <w:pPr>
        <w:pStyle w:val="Nessunaspaziatura"/>
        <w:rPr>
          <w:lang w:val="en-US"/>
        </w:rPr>
      </w:pPr>
      <w:r w:rsidRPr="000E68F3">
        <w:rPr>
          <w:lang w:val="en-US"/>
        </w:rPr>
        <w:t>In consideration of the previous arguments, the realization of the requirement for a metadata FAIR data object, distinct from the data FAIR data object, and identified by a persistent and unique ID need to be pragmatically evaluated, above all for FHIR implementations.</w:t>
      </w:r>
    </w:p>
    <w:p w14:paraId="6E6B0D32" w14:textId="77777777" w:rsidR="000E68F3" w:rsidRPr="000E68F3" w:rsidRDefault="000E68F3" w:rsidP="000E68F3">
      <w:pPr>
        <w:pStyle w:val="Nessunaspaziatura"/>
        <w:rPr>
          <w:lang w:val="en-US"/>
        </w:rPr>
      </w:pPr>
    </w:p>
    <w:p w14:paraId="1F44A897" w14:textId="315362EB" w:rsidR="00D642BD" w:rsidRDefault="000E68F3" w:rsidP="000E68F3">
      <w:pPr>
        <w:pStyle w:val="Nessunaspaziatura"/>
        <w:rPr>
          <w:lang w:val="en-US"/>
        </w:rPr>
      </w:pPr>
      <w:r w:rsidRPr="000E68F3">
        <w:rPr>
          <w:lang w:val="en-US"/>
        </w:rPr>
        <w:t>This means that depending on the context of use and on the granularity of data, distinct and identifiable FHIR resources can be used to record a selected set of metadata elements; but this might not be true for all the information that could be considered metadata.</w:t>
      </w:r>
    </w:p>
    <w:p w14:paraId="6706A6DD" w14:textId="4FE0586D" w:rsidR="000E68F3" w:rsidRDefault="000E68F3" w:rsidP="000E68F3">
      <w:pPr>
        <w:pStyle w:val="Nessunaspaziatura"/>
        <w:rPr>
          <w:lang w:val="en-US"/>
        </w:rPr>
      </w:pPr>
    </w:p>
    <w:p w14:paraId="6CAD2855" w14:textId="70D89A7B" w:rsidR="00BC68AA" w:rsidRPr="00BC68AA" w:rsidRDefault="00BC68AA" w:rsidP="000E68F3">
      <w:pPr>
        <w:pStyle w:val="Nessunaspaziatura"/>
        <w:rPr>
          <w:lang w:val="en-US"/>
        </w:rPr>
      </w:pPr>
      <w:r w:rsidRPr="00BC68AA">
        <w:rPr>
          <w:lang w:val="en-US"/>
        </w:rPr>
        <w:t>Let's consider for example the following levels:</w:t>
      </w:r>
    </w:p>
    <w:p w14:paraId="43C01375" w14:textId="77777777" w:rsidR="000E68F3" w:rsidRPr="000E68F3" w:rsidRDefault="000E68F3" w:rsidP="000E68F3">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0E68F3">
        <w:rPr>
          <w:rFonts w:ascii="Times New Roman" w:eastAsia="Times New Roman" w:hAnsi="Times New Roman" w:cs="Times New Roman"/>
          <w:b/>
          <w:bCs/>
          <w:sz w:val="24"/>
          <w:szCs w:val="24"/>
          <w:lang w:val="en-US"/>
        </w:rPr>
        <w:t>Study Level</w:t>
      </w:r>
      <w:r w:rsidRPr="000E68F3">
        <w:rPr>
          <w:rFonts w:ascii="Times New Roman" w:eastAsia="Times New Roman" w:hAnsi="Times New Roman" w:cs="Times New Roman"/>
          <w:sz w:val="24"/>
          <w:szCs w:val="24"/>
          <w:lang w:val="en-US"/>
        </w:rPr>
        <w:t>: specific to a study, publication, or usage context (collection of subject level data).</w:t>
      </w:r>
    </w:p>
    <w:p w14:paraId="3AB74DFD" w14:textId="77777777" w:rsidR="000E68F3" w:rsidRPr="000E68F3" w:rsidRDefault="000E68F3" w:rsidP="000E68F3">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0E68F3">
        <w:rPr>
          <w:rFonts w:ascii="Times New Roman" w:eastAsia="Times New Roman" w:hAnsi="Times New Roman" w:cs="Times New Roman"/>
          <w:b/>
          <w:bCs/>
          <w:sz w:val="24"/>
          <w:szCs w:val="24"/>
          <w:lang w:val="en-US"/>
        </w:rPr>
        <w:t>Subject Level</w:t>
      </w:r>
      <w:r w:rsidRPr="000E68F3">
        <w:rPr>
          <w:rFonts w:ascii="Times New Roman" w:eastAsia="Times New Roman" w:hAnsi="Times New Roman" w:cs="Times New Roman"/>
          <w:sz w:val="24"/>
          <w:szCs w:val="24"/>
          <w:lang w:val="en-US"/>
        </w:rPr>
        <w:t>: specific to a single subject (patient).</w:t>
      </w:r>
    </w:p>
    <w:p w14:paraId="75CDDA9C" w14:textId="77777777" w:rsidR="000E68F3" w:rsidRDefault="000E68F3" w:rsidP="0026150C">
      <w:pPr>
        <w:pStyle w:val="Nessunaspaziatura"/>
        <w:rPr>
          <w:shd w:val="clear" w:color="auto" w:fill="FFFFFF"/>
          <w:lang w:val="en-US"/>
        </w:rPr>
      </w:pPr>
    </w:p>
    <w:p w14:paraId="7CF80487" w14:textId="77777777" w:rsidR="000E68F3" w:rsidRDefault="000E68F3" w:rsidP="0026150C">
      <w:pPr>
        <w:pStyle w:val="Nessunaspaziatura"/>
        <w:rPr>
          <w:shd w:val="clear" w:color="auto" w:fill="FFFFFF"/>
          <w:lang w:val="en-US"/>
        </w:rPr>
      </w:pPr>
    </w:p>
    <w:p w14:paraId="116D12F0" w14:textId="754897E4" w:rsidR="0082192A" w:rsidRDefault="00F824A9" w:rsidP="0026150C">
      <w:pPr>
        <w:pStyle w:val="Nessunaspaziatura"/>
        <w:rPr>
          <w:shd w:val="clear" w:color="auto" w:fill="FFFFFF"/>
          <w:lang w:val="en-US"/>
        </w:rPr>
      </w:pPr>
      <w:r>
        <w:rPr>
          <w:noProof/>
          <w:shd w:val="clear" w:color="auto" w:fill="FFFFFF"/>
          <w:lang w:val="en-US"/>
        </w:rPr>
        <w:drawing>
          <wp:inline distT="0" distB="0" distL="0" distR="0" wp14:anchorId="51F16287" wp14:editId="345DB52D">
            <wp:extent cx="5924157" cy="1775891"/>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8972" cy="1786328"/>
                    </a:xfrm>
                    <a:prstGeom prst="rect">
                      <a:avLst/>
                    </a:prstGeom>
                    <a:noFill/>
                  </pic:spPr>
                </pic:pic>
              </a:graphicData>
            </a:graphic>
          </wp:inline>
        </w:drawing>
      </w:r>
    </w:p>
    <w:p w14:paraId="25AEC860" w14:textId="091E7A39" w:rsidR="00F824A9" w:rsidRPr="000E68F3" w:rsidRDefault="00F824A9" w:rsidP="0026150C">
      <w:pPr>
        <w:pStyle w:val="Nessunaspaziatura"/>
        <w:rPr>
          <w:b/>
          <w:bCs/>
          <w:lang w:val="en-US"/>
        </w:rPr>
      </w:pPr>
      <w:r w:rsidRPr="003F5ED8">
        <w:rPr>
          <w:b/>
          <w:bCs/>
          <w:lang w:val="en-US"/>
        </w:rPr>
        <w:t xml:space="preserve">Figure </w:t>
      </w:r>
      <w:r w:rsidRPr="003F5ED8">
        <w:rPr>
          <w:b/>
          <w:bCs/>
          <w:i/>
          <w:iCs/>
        </w:rPr>
        <w:fldChar w:fldCharType="begin"/>
      </w:r>
      <w:r w:rsidRPr="003F5ED8">
        <w:rPr>
          <w:b/>
          <w:bCs/>
          <w:lang w:val="en-US"/>
        </w:rPr>
        <w:instrText xml:space="preserve"> SEQ Figure \* ARABIC </w:instrText>
      </w:r>
      <w:r w:rsidRPr="003F5ED8">
        <w:rPr>
          <w:b/>
          <w:bCs/>
          <w:i/>
          <w:iCs/>
        </w:rPr>
        <w:fldChar w:fldCharType="separate"/>
      </w:r>
      <w:r w:rsidR="00291D55">
        <w:rPr>
          <w:b/>
          <w:bCs/>
          <w:noProof/>
          <w:lang w:val="en-US"/>
        </w:rPr>
        <w:t>4</w:t>
      </w:r>
      <w:r w:rsidRPr="003F5ED8">
        <w:rPr>
          <w:b/>
          <w:bCs/>
          <w:i/>
          <w:iCs/>
        </w:rPr>
        <w:fldChar w:fldCharType="end"/>
      </w:r>
      <w:r w:rsidRPr="003F5ED8">
        <w:rPr>
          <w:b/>
          <w:bCs/>
          <w:lang w:val="en-US"/>
        </w:rPr>
        <w:t xml:space="preserve"> - </w:t>
      </w:r>
      <w:r w:rsidR="000E68F3" w:rsidRPr="000E68F3">
        <w:rPr>
          <w:rStyle w:val="Enfasigrassetto"/>
          <w:lang w:val="en-US"/>
        </w:rPr>
        <w:t>Example of levels of data objects granularity</w:t>
      </w:r>
    </w:p>
    <w:p w14:paraId="1191D794" w14:textId="77777777" w:rsidR="00F824A9" w:rsidRDefault="00F824A9" w:rsidP="0026150C">
      <w:pPr>
        <w:pStyle w:val="Nessunaspaziatura"/>
        <w:rPr>
          <w:shd w:val="clear" w:color="auto" w:fill="FFFFFF"/>
          <w:lang w:val="en-US"/>
        </w:rPr>
      </w:pPr>
    </w:p>
    <w:p w14:paraId="570BBA4B" w14:textId="4A717170" w:rsidR="0082192A" w:rsidRDefault="0082192A" w:rsidP="0026150C">
      <w:pPr>
        <w:pStyle w:val="Nessunaspaziatura"/>
        <w:rPr>
          <w:shd w:val="clear" w:color="auto" w:fill="FFFFFF"/>
          <w:lang w:val="en-US"/>
        </w:rPr>
      </w:pPr>
    </w:p>
    <w:p w14:paraId="74C1749C" w14:textId="5D78DC82" w:rsidR="00E44FA3" w:rsidRDefault="000E68F3" w:rsidP="0026150C">
      <w:pPr>
        <w:pStyle w:val="Nessunaspaziatura"/>
        <w:rPr>
          <w:lang w:val="en-US"/>
        </w:rPr>
      </w:pPr>
      <w:r w:rsidRPr="000E68F3">
        <w:rPr>
          <w:lang w:val="en-US"/>
        </w:rPr>
        <w:t>If for the study level we can assume data are represented by the subject level objects, distinct from the metadata describing the "study" (see figure below</w:t>
      </w:r>
      <w:proofErr w:type="gramStart"/>
      <w:r w:rsidRPr="000E68F3">
        <w:rPr>
          <w:lang w:val="en-US"/>
        </w:rPr>
        <w:t>) ;</w:t>
      </w:r>
      <w:proofErr w:type="gramEnd"/>
      <w:r w:rsidRPr="000E68F3">
        <w:rPr>
          <w:lang w:val="en-US"/>
        </w:rPr>
        <w:t xml:space="preserve"> this might be not so true for the subject level.</w:t>
      </w:r>
    </w:p>
    <w:p w14:paraId="00B05899" w14:textId="0843923E" w:rsidR="000E68F3" w:rsidRDefault="000E68F3" w:rsidP="0026150C">
      <w:pPr>
        <w:pStyle w:val="Nessunaspaziatura"/>
        <w:rPr>
          <w:lang w:val="en-US"/>
        </w:rPr>
      </w:pPr>
    </w:p>
    <w:p w14:paraId="234E11E5" w14:textId="77777777" w:rsidR="000E68F3" w:rsidRPr="000E68F3" w:rsidRDefault="000E68F3" w:rsidP="0026150C">
      <w:pPr>
        <w:pStyle w:val="Nessunaspaziatura"/>
        <w:rPr>
          <w:shd w:val="clear" w:color="auto" w:fill="FFFFFF"/>
          <w:lang w:val="en-US"/>
        </w:rPr>
      </w:pPr>
    </w:p>
    <w:p w14:paraId="1182143B" w14:textId="11361E99" w:rsidR="00F824A9" w:rsidRDefault="00F824A9" w:rsidP="0026150C">
      <w:pPr>
        <w:pStyle w:val="Nessunaspaziatura"/>
        <w:rPr>
          <w:b/>
          <w:bCs/>
          <w:lang w:val="en-US"/>
        </w:rPr>
      </w:pPr>
      <w:r>
        <w:rPr>
          <w:noProof/>
          <w:shd w:val="clear" w:color="auto" w:fill="FFFFFF"/>
          <w:lang w:val="en-US"/>
        </w:rPr>
        <w:drawing>
          <wp:inline distT="0" distB="0" distL="0" distR="0" wp14:anchorId="644093CB" wp14:editId="1C72C623">
            <wp:extent cx="6012433" cy="2360227"/>
            <wp:effectExtent l="0" t="0" r="0" b="254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4949" cy="2365140"/>
                    </a:xfrm>
                    <a:prstGeom prst="rect">
                      <a:avLst/>
                    </a:prstGeom>
                    <a:noFill/>
                  </pic:spPr>
                </pic:pic>
              </a:graphicData>
            </a:graphic>
          </wp:inline>
        </w:drawing>
      </w:r>
    </w:p>
    <w:p w14:paraId="66D186D8" w14:textId="3172B845" w:rsidR="00E44FA3" w:rsidRDefault="00F824A9" w:rsidP="0026150C">
      <w:pPr>
        <w:pStyle w:val="Nessunaspaziatura"/>
        <w:rPr>
          <w:b/>
          <w:bCs/>
          <w:lang w:val="en-US"/>
        </w:rPr>
      </w:pPr>
      <w:r w:rsidRPr="003F5ED8">
        <w:rPr>
          <w:b/>
          <w:bCs/>
          <w:lang w:val="en-US"/>
        </w:rPr>
        <w:t xml:space="preserve">Figure </w:t>
      </w:r>
      <w:r w:rsidRPr="003F5ED8">
        <w:rPr>
          <w:b/>
          <w:bCs/>
          <w:i/>
          <w:iCs/>
        </w:rPr>
        <w:fldChar w:fldCharType="begin"/>
      </w:r>
      <w:r w:rsidRPr="003F5ED8">
        <w:rPr>
          <w:b/>
          <w:bCs/>
          <w:lang w:val="en-US"/>
        </w:rPr>
        <w:instrText xml:space="preserve"> SEQ Figure \* ARABIC </w:instrText>
      </w:r>
      <w:r w:rsidRPr="003F5ED8">
        <w:rPr>
          <w:b/>
          <w:bCs/>
          <w:i/>
          <w:iCs/>
        </w:rPr>
        <w:fldChar w:fldCharType="separate"/>
      </w:r>
      <w:r w:rsidR="00817538">
        <w:rPr>
          <w:b/>
          <w:bCs/>
          <w:noProof/>
          <w:lang w:val="en-US"/>
        </w:rPr>
        <w:t>5</w:t>
      </w:r>
      <w:r w:rsidRPr="003F5ED8">
        <w:rPr>
          <w:b/>
          <w:bCs/>
          <w:i/>
          <w:iCs/>
        </w:rPr>
        <w:fldChar w:fldCharType="end"/>
      </w:r>
      <w:r w:rsidRPr="003F5ED8">
        <w:rPr>
          <w:b/>
          <w:bCs/>
          <w:lang w:val="en-US"/>
        </w:rPr>
        <w:t xml:space="preserve"> – Metadata and data for a data collection.</w:t>
      </w:r>
    </w:p>
    <w:p w14:paraId="5852E873" w14:textId="77777777" w:rsidR="00F824A9" w:rsidRDefault="00F824A9" w:rsidP="0026150C">
      <w:pPr>
        <w:pStyle w:val="Nessunaspaziatura"/>
        <w:rPr>
          <w:shd w:val="clear" w:color="auto" w:fill="FFFFFF"/>
          <w:lang w:val="en-US"/>
        </w:rPr>
      </w:pPr>
    </w:p>
    <w:p w14:paraId="0D018491" w14:textId="422A5163" w:rsidR="00BC68AA" w:rsidRPr="00BC68AA" w:rsidRDefault="000E68F3" w:rsidP="000E68F3">
      <w:pPr>
        <w:pStyle w:val="NormaleWeb"/>
        <w:rPr>
          <w:lang w:val="en-US"/>
        </w:rPr>
      </w:pPr>
      <w:r w:rsidRPr="000E68F3">
        <w:rPr>
          <w:lang w:val="en-US"/>
        </w:rPr>
        <w:t xml:space="preserve">HL7 FHIR provides several candidates resources to represent metadata </w:t>
      </w:r>
      <w:r w:rsidR="00BC68AA">
        <w:rPr>
          <w:lang w:val="en-US"/>
        </w:rPr>
        <w:t>for</w:t>
      </w:r>
      <w:r w:rsidRPr="000E68F3">
        <w:rPr>
          <w:lang w:val="en-US"/>
        </w:rPr>
        <w:t xml:space="preserve"> collection of data (e.g., Bundle, </w:t>
      </w:r>
      <w:proofErr w:type="gramStart"/>
      <w:r w:rsidRPr="000E68F3">
        <w:rPr>
          <w:lang w:val="en-US"/>
        </w:rPr>
        <w:t>Lists..</w:t>
      </w:r>
      <w:proofErr w:type="gramEnd"/>
      <w:r w:rsidRPr="000E68F3">
        <w:rPr>
          <w:lang w:val="en-US"/>
        </w:rPr>
        <w:t>) and the choice of the resource to be used strongly depend on the usage context. </w:t>
      </w:r>
      <w:r w:rsidRPr="000E68F3">
        <w:rPr>
          <w:rStyle w:val="Enfasigrassetto"/>
          <w:rFonts w:eastAsiaTheme="majorEastAsia"/>
          <w:lang w:val="en-US"/>
        </w:rPr>
        <w:t>Library,</w:t>
      </w:r>
      <w:r w:rsidRPr="000E68F3">
        <w:rPr>
          <w:lang w:val="en-US"/>
        </w:rPr>
        <w:t> </w:t>
      </w:r>
      <w:r w:rsidRPr="000E68F3">
        <w:rPr>
          <w:rStyle w:val="Enfasigrassetto"/>
          <w:rFonts w:eastAsiaTheme="majorEastAsia"/>
          <w:lang w:val="en-US"/>
        </w:rPr>
        <w:t>Citation</w:t>
      </w:r>
      <w:r w:rsidRPr="000E68F3">
        <w:rPr>
          <w:lang w:val="en-US"/>
        </w:rPr>
        <w:t> and </w:t>
      </w:r>
      <w:proofErr w:type="spellStart"/>
      <w:r w:rsidRPr="000E68F3">
        <w:rPr>
          <w:rStyle w:val="Enfasigrassetto"/>
          <w:rFonts w:eastAsiaTheme="majorEastAsia"/>
          <w:lang w:val="en-US"/>
        </w:rPr>
        <w:t>ResearchStudy</w:t>
      </w:r>
      <w:proofErr w:type="spellEnd"/>
      <w:r w:rsidRPr="000E68F3">
        <w:rPr>
          <w:lang w:val="en-US"/>
        </w:rPr>
        <w:t xml:space="preserve">, seem to be the most promising resources to better support the “rich metadata” FAIR requirement; </w:t>
      </w:r>
      <w:r w:rsidR="00BC68AA">
        <w:rPr>
          <w:lang w:val="en-US"/>
        </w:rPr>
        <w:t>however not all of them are available in HL7 FHIR R4</w:t>
      </w:r>
      <w:r w:rsidRPr="000E68F3">
        <w:rPr>
          <w:lang w:val="en-US"/>
        </w:rPr>
        <w:t xml:space="preserve">. Furthermore, </w:t>
      </w:r>
      <w:r w:rsidR="00BC68AA" w:rsidRPr="00BC68AA">
        <w:rPr>
          <w:lang w:val="en-US"/>
        </w:rPr>
        <w:t xml:space="preserve">since most of them have a low </w:t>
      </w:r>
      <w:hyperlink r:id="rId11" w:anchor="maturity" w:history="1">
        <w:r w:rsidR="00BC68AA" w:rsidRPr="00BC68AA">
          <w:rPr>
            <w:rStyle w:val="Collegamentoipertestuale"/>
            <w:lang w:val="en-US"/>
          </w:rPr>
          <w:t>FHIR maturity level</w:t>
        </w:r>
      </w:hyperlink>
      <w:r w:rsidR="00BC68AA" w:rsidRPr="00BC68AA">
        <w:rPr>
          <w:lang w:val="en-US"/>
        </w:rPr>
        <w:t>, they are subject to possible non-negligible changes, including the way the linkage between metadata (i.e. the resource itself) and data (i.e. the referred resources) is realized.</w:t>
      </w:r>
    </w:p>
    <w:p w14:paraId="3FE60795" w14:textId="77777777" w:rsidR="000E68F3" w:rsidRPr="000E68F3" w:rsidRDefault="000E68F3" w:rsidP="000E68F3">
      <w:pPr>
        <w:pStyle w:val="NormaleWeb"/>
        <w:rPr>
          <w:lang w:val="en-US"/>
        </w:rPr>
      </w:pPr>
      <w:r w:rsidRPr="000E68F3">
        <w:rPr>
          <w:lang w:val="en-US"/>
        </w:rPr>
        <w:t>The kinds of data objects that the metadata may refer to can be:</w:t>
      </w:r>
    </w:p>
    <w:p w14:paraId="76BDB990" w14:textId="77777777" w:rsidR="000E68F3" w:rsidRDefault="000E68F3" w:rsidP="000E68F3">
      <w:pPr>
        <w:pStyle w:val="NormaleWeb"/>
        <w:numPr>
          <w:ilvl w:val="0"/>
          <w:numId w:val="21"/>
        </w:numPr>
      </w:pPr>
      <w:r>
        <w:t xml:space="preserve">Non-FHIR </w:t>
      </w:r>
      <w:proofErr w:type="spellStart"/>
      <w:r>
        <w:t>objects</w:t>
      </w:r>
      <w:proofErr w:type="spellEnd"/>
    </w:p>
    <w:p w14:paraId="6784D2BB" w14:textId="77777777" w:rsidR="000E68F3" w:rsidRDefault="000E68F3" w:rsidP="000E68F3">
      <w:pPr>
        <w:pStyle w:val="NormaleWeb"/>
        <w:numPr>
          <w:ilvl w:val="0"/>
          <w:numId w:val="21"/>
        </w:numPr>
      </w:pPr>
      <w:r>
        <w:t xml:space="preserve">FHIR and non-FHIR </w:t>
      </w:r>
      <w:proofErr w:type="spellStart"/>
      <w:r>
        <w:t>objects</w:t>
      </w:r>
      <w:proofErr w:type="spellEnd"/>
    </w:p>
    <w:p w14:paraId="6D952EDE" w14:textId="77777777" w:rsidR="000E68F3" w:rsidRDefault="000E68F3" w:rsidP="000E68F3">
      <w:pPr>
        <w:pStyle w:val="NormaleWeb"/>
        <w:numPr>
          <w:ilvl w:val="0"/>
          <w:numId w:val="21"/>
        </w:numPr>
      </w:pPr>
      <w:r>
        <w:t>FHIR-</w:t>
      </w:r>
      <w:proofErr w:type="spellStart"/>
      <w:r>
        <w:t>only</w:t>
      </w:r>
      <w:proofErr w:type="spellEnd"/>
      <w:r>
        <w:t xml:space="preserve"> </w:t>
      </w:r>
      <w:proofErr w:type="spellStart"/>
      <w:r>
        <w:t>objects</w:t>
      </w:r>
      <w:proofErr w:type="spellEnd"/>
    </w:p>
    <w:p w14:paraId="0F33D9D0" w14:textId="77777777" w:rsidR="000E68F3" w:rsidRPr="000E68F3" w:rsidRDefault="000E68F3" w:rsidP="000E68F3">
      <w:pPr>
        <w:pStyle w:val="NormaleWeb"/>
        <w:rPr>
          <w:lang w:val="en-US"/>
        </w:rPr>
      </w:pPr>
      <w:r w:rsidRPr="000E68F3">
        <w:rPr>
          <w:lang w:val="en-US"/>
        </w:rPr>
        <w:t xml:space="preserve">Depending on the “metadata” resource, the FHIR version chosen and the type of object to point to, different solutions can be adopted. For example, the current Library resource covers this requirement through the content element (Attachment datatype), in this case the link to data is recorded by using an </w:t>
      </w:r>
      <w:proofErr w:type="spellStart"/>
      <w:r w:rsidRPr="000E68F3">
        <w:rPr>
          <w:lang w:val="en-US"/>
        </w:rPr>
        <w:t>uri</w:t>
      </w:r>
      <w:proofErr w:type="spellEnd"/>
      <w:r w:rsidRPr="000E68F3">
        <w:rPr>
          <w:lang w:val="en-US"/>
        </w:rPr>
        <w:t xml:space="preserve"> (this may or may not be enough for referring FHIR resources). Citation (looking at the FHIR R5 specs) provides instead more flexible and comprehensive solutions through the </w:t>
      </w:r>
      <w:proofErr w:type="spellStart"/>
      <w:proofErr w:type="gramStart"/>
      <w:r w:rsidRPr="000E68F3">
        <w:rPr>
          <w:lang w:val="en-US"/>
        </w:rPr>
        <w:t>citedArtifact.relatedTo.target</w:t>
      </w:r>
      <w:proofErr w:type="spellEnd"/>
      <w:proofErr w:type="gramEnd"/>
      <w:r w:rsidRPr="000E68F3">
        <w:rPr>
          <w:lang w:val="en-US"/>
        </w:rPr>
        <w:t>[x] element; providing different means (</w:t>
      </w:r>
      <w:proofErr w:type="spellStart"/>
      <w:r w:rsidRPr="000E68F3">
        <w:rPr>
          <w:lang w:val="en-US"/>
        </w:rPr>
        <w:t>uri</w:t>
      </w:r>
      <w:proofErr w:type="spellEnd"/>
      <w:r w:rsidRPr="000E68F3">
        <w:rPr>
          <w:lang w:val="en-US"/>
        </w:rPr>
        <w:t>, resource references, business identifiers) to handle these references.</w:t>
      </w:r>
    </w:p>
    <w:p w14:paraId="5337A80D" w14:textId="77777777" w:rsidR="000E68F3" w:rsidRPr="000E68F3" w:rsidRDefault="000E68F3" w:rsidP="000E68F3">
      <w:pPr>
        <w:pStyle w:val="NormaleWeb"/>
        <w:rPr>
          <w:lang w:val="en-US"/>
        </w:rPr>
      </w:pPr>
      <w:r w:rsidRPr="000E68F3">
        <w:rPr>
          <w:lang w:val="en-US"/>
        </w:rPr>
        <w:t>It’s worth to mention that FHIR specifies a dedicated resources (Provenance) to record Provenance information typically part of the “metadata”.</w:t>
      </w:r>
    </w:p>
    <w:p w14:paraId="1936CA00" w14:textId="2FAE02D9" w:rsidR="000E68F3" w:rsidRPr="000E68F3" w:rsidRDefault="000E68F3" w:rsidP="000E68F3">
      <w:pPr>
        <w:pStyle w:val="NormaleWeb"/>
        <w:rPr>
          <w:lang w:val="en-US"/>
        </w:rPr>
      </w:pPr>
      <w:r w:rsidRPr="000E68F3">
        <w:rPr>
          <w:lang w:val="en-US"/>
        </w:rPr>
        <w:t xml:space="preserve">As described above, at the subject level, the boundary between metadata and data is not always so sharp. In the example below derived </w:t>
      </w:r>
      <w:r w:rsidR="00BC68AA" w:rsidRPr="000E68F3">
        <w:rPr>
          <w:lang w:val="en-US"/>
        </w:rPr>
        <w:t>from</w:t>
      </w:r>
      <w:r w:rsidRPr="000E68F3">
        <w:rPr>
          <w:lang w:val="en-US"/>
        </w:rPr>
        <w:t xml:space="preserve"> the </w:t>
      </w:r>
      <w:hyperlink r:id="rId12" w:history="1">
        <w:proofErr w:type="spellStart"/>
        <w:r w:rsidRPr="000E68F3">
          <w:rPr>
            <w:rStyle w:val="Collegamentoipertestuale"/>
            <w:lang w:val="en-US"/>
          </w:rPr>
          <w:t>Ninfea</w:t>
        </w:r>
        <w:proofErr w:type="spellEnd"/>
        <w:r w:rsidRPr="000E68F3">
          <w:rPr>
            <w:rStyle w:val="Collegamentoipertestuale"/>
            <w:lang w:val="en-US"/>
          </w:rPr>
          <w:t xml:space="preserve"> </w:t>
        </w:r>
      </w:hyperlink>
      <w:r w:rsidRPr="000E68F3">
        <w:rPr>
          <w:lang w:val="en-US"/>
        </w:rPr>
        <w:t xml:space="preserve">real world case is shown for example how the gestational week or the mother height and weight, might be considered metadata for the signals, but also patient level data. </w:t>
      </w:r>
    </w:p>
    <w:p w14:paraId="69F77C7D" w14:textId="77777777" w:rsidR="000E68F3" w:rsidRDefault="000E68F3" w:rsidP="00E44FA3">
      <w:pPr>
        <w:pStyle w:val="Nessunaspaziatura"/>
        <w:rPr>
          <w:shd w:val="clear" w:color="auto" w:fill="FFFFFF"/>
          <w:lang w:val="en-US"/>
        </w:rPr>
      </w:pPr>
    </w:p>
    <w:p w14:paraId="1678242C" w14:textId="77777777" w:rsidR="000E68F3" w:rsidRDefault="000E68F3" w:rsidP="00E44FA3">
      <w:pPr>
        <w:pStyle w:val="Nessunaspaziatura"/>
        <w:rPr>
          <w:shd w:val="clear" w:color="auto" w:fill="FFFFFF"/>
          <w:lang w:val="en-US"/>
        </w:rPr>
      </w:pPr>
    </w:p>
    <w:p w14:paraId="7009F56D" w14:textId="566FB4CE" w:rsidR="00F824A9" w:rsidRDefault="00F824A9" w:rsidP="00E44FA3">
      <w:pPr>
        <w:pStyle w:val="Nessunaspaziatura"/>
        <w:rPr>
          <w:shd w:val="clear" w:color="auto" w:fill="FFFFFF"/>
          <w:lang w:val="en-US"/>
        </w:rPr>
      </w:pPr>
      <w:r>
        <w:rPr>
          <w:noProof/>
          <w:shd w:val="clear" w:color="auto" w:fill="FFFFFF"/>
          <w:lang w:val="en-US"/>
        </w:rPr>
        <w:lastRenderedPageBreak/>
        <w:drawing>
          <wp:inline distT="0" distB="0" distL="0" distR="0" wp14:anchorId="5591FAC7" wp14:editId="5C4E8626">
            <wp:extent cx="5944242" cy="2612052"/>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3037" cy="2620311"/>
                    </a:xfrm>
                    <a:prstGeom prst="rect">
                      <a:avLst/>
                    </a:prstGeom>
                    <a:noFill/>
                  </pic:spPr>
                </pic:pic>
              </a:graphicData>
            </a:graphic>
          </wp:inline>
        </w:drawing>
      </w:r>
    </w:p>
    <w:p w14:paraId="27E46C71" w14:textId="45138A1A" w:rsidR="00E44FA3" w:rsidRDefault="00F824A9" w:rsidP="0026150C">
      <w:pPr>
        <w:pStyle w:val="Nessunaspaziatura"/>
        <w:rPr>
          <w:b/>
          <w:bCs/>
          <w:lang w:val="en-US"/>
        </w:rPr>
      </w:pPr>
      <w:r w:rsidRPr="003F5ED8">
        <w:rPr>
          <w:b/>
          <w:bCs/>
          <w:lang w:val="en-US"/>
        </w:rPr>
        <w:t xml:space="preserve">Figure </w:t>
      </w:r>
      <w:r w:rsidRPr="003F5ED8">
        <w:rPr>
          <w:b/>
          <w:bCs/>
          <w:i/>
          <w:iCs/>
        </w:rPr>
        <w:fldChar w:fldCharType="begin"/>
      </w:r>
      <w:r w:rsidRPr="003F5ED8">
        <w:rPr>
          <w:b/>
          <w:bCs/>
          <w:lang w:val="en-US"/>
        </w:rPr>
        <w:instrText xml:space="preserve"> SEQ Figure \* ARABIC </w:instrText>
      </w:r>
      <w:r w:rsidRPr="003F5ED8">
        <w:rPr>
          <w:b/>
          <w:bCs/>
          <w:i/>
          <w:iCs/>
        </w:rPr>
        <w:fldChar w:fldCharType="separate"/>
      </w:r>
      <w:r w:rsidR="00817538">
        <w:rPr>
          <w:b/>
          <w:bCs/>
          <w:noProof/>
          <w:lang w:val="en-US"/>
        </w:rPr>
        <w:t>6</w:t>
      </w:r>
      <w:r w:rsidRPr="003F5ED8">
        <w:rPr>
          <w:b/>
          <w:bCs/>
          <w:i/>
          <w:iCs/>
        </w:rPr>
        <w:fldChar w:fldCharType="end"/>
      </w:r>
      <w:r w:rsidRPr="003F5ED8">
        <w:rPr>
          <w:b/>
          <w:bCs/>
          <w:lang w:val="en-US"/>
        </w:rPr>
        <w:t xml:space="preserve"> – Metadata and data </w:t>
      </w:r>
      <w:r>
        <w:rPr>
          <w:b/>
          <w:bCs/>
          <w:lang w:val="en-US"/>
        </w:rPr>
        <w:t xml:space="preserve">at </w:t>
      </w:r>
      <w:r w:rsidRPr="003F5ED8">
        <w:rPr>
          <w:b/>
          <w:bCs/>
          <w:lang w:val="en-US"/>
        </w:rPr>
        <w:t xml:space="preserve">the </w:t>
      </w:r>
      <w:r>
        <w:rPr>
          <w:b/>
          <w:bCs/>
          <w:lang w:val="en-US"/>
        </w:rPr>
        <w:t>subject</w:t>
      </w:r>
      <w:r w:rsidRPr="003F5ED8">
        <w:rPr>
          <w:b/>
          <w:bCs/>
          <w:lang w:val="en-US"/>
        </w:rPr>
        <w:t xml:space="preserve"> leve</w:t>
      </w:r>
      <w:r>
        <w:rPr>
          <w:b/>
          <w:bCs/>
          <w:lang w:val="en-US"/>
        </w:rPr>
        <w:t>l.</w:t>
      </w:r>
    </w:p>
    <w:p w14:paraId="074F4A19" w14:textId="07DA4AF9" w:rsidR="00F824A9" w:rsidRDefault="00F824A9" w:rsidP="0026150C">
      <w:pPr>
        <w:pStyle w:val="Nessunaspaziatura"/>
        <w:rPr>
          <w:b/>
          <w:bCs/>
          <w:lang w:val="en-US"/>
        </w:rPr>
      </w:pPr>
    </w:p>
    <w:p w14:paraId="6E5BB2DD" w14:textId="77777777" w:rsidR="000E68F3" w:rsidRPr="000E68F3" w:rsidRDefault="000E68F3" w:rsidP="000E68F3">
      <w:pPr>
        <w:pStyle w:val="NormaleWeb"/>
        <w:rPr>
          <w:lang w:val="en-US"/>
        </w:rPr>
      </w:pPr>
      <w:r w:rsidRPr="000E68F3">
        <w:rPr>
          <w:lang w:val="en-US"/>
        </w:rPr>
        <w:t>This guide will not therefore attempt to </w:t>
      </w:r>
      <w:r w:rsidRPr="000E68F3">
        <w:rPr>
          <w:rStyle w:val="Enfasigrassetto"/>
          <w:rFonts w:eastAsiaTheme="majorEastAsia"/>
          <w:lang w:val="en-US"/>
        </w:rPr>
        <w:t>prescribe any tight separation of metadata/data at the subject level</w:t>
      </w:r>
      <w:r w:rsidRPr="000E68F3">
        <w:rPr>
          <w:lang w:val="en-US"/>
        </w:rPr>
        <w:t> when FAIR is implemented by using HL7 FHIR.</w:t>
      </w:r>
    </w:p>
    <w:p w14:paraId="4EE9CB69" w14:textId="77777777" w:rsidR="000E68F3" w:rsidRPr="000E68F3" w:rsidRDefault="000E68F3" w:rsidP="000E68F3">
      <w:pPr>
        <w:pStyle w:val="NormaleWeb"/>
        <w:rPr>
          <w:lang w:val="en-US"/>
        </w:rPr>
      </w:pPr>
      <w:r w:rsidRPr="000E68F3">
        <w:rPr>
          <w:lang w:val="en-US"/>
        </w:rPr>
        <w:t>There are HL7 FHIR resources (</w:t>
      </w:r>
      <w:proofErr w:type="gramStart"/>
      <w:r w:rsidRPr="000E68F3">
        <w:rPr>
          <w:lang w:val="en-US"/>
        </w:rPr>
        <w:t>e.g.</w:t>
      </w:r>
      <w:proofErr w:type="gramEnd"/>
      <w:r w:rsidRPr="000E68F3">
        <w:rPr>
          <w:lang w:val="en-US"/>
        </w:rPr>
        <w:t xml:space="preserve"> EvidenceReport, Bundle[collection], Composition, List; DocumentManifest) that can be potentially used to record some subject level metadata information as a distinct FHIR resource instance. Nevertheless, typically metadata information is recorded by a set of linked FHIR resources. For example, a Condition instance documenting a specific problem (the data), may use the </w:t>
      </w:r>
      <w:r w:rsidRPr="000E68F3">
        <w:rPr>
          <w:rStyle w:val="Enfasicorsivo"/>
          <w:lang w:val="en-US"/>
        </w:rPr>
        <w:t>subject</w:t>
      </w:r>
      <w:r w:rsidRPr="000E68F3">
        <w:rPr>
          <w:lang w:val="en-US"/>
        </w:rPr>
        <w:t>, the </w:t>
      </w:r>
      <w:r w:rsidRPr="000E68F3">
        <w:rPr>
          <w:rStyle w:val="Enfasicorsivo"/>
          <w:lang w:val="en-US"/>
        </w:rPr>
        <w:t>encounter</w:t>
      </w:r>
      <w:r w:rsidRPr="000E68F3">
        <w:rPr>
          <w:lang w:val="en-US"/>
        </w:rPr>
        <w:t> and the </w:t>
      </w:r>
      <w:r w:rsidRPr="000E68F3">
        <w:rPr>
          <w:rStyle w:val="Enfasicorsivo"/>
          <w:lang w:val="en-US"/>
        </w:rPr>
        <w:t>evidence</w:t>
      </w:r>
      <w:r w:rsidRPr="000E68F3">
        <w:rPr>
          <w:lang w:val="en-US"/>
        </w:rPr>
        <w:t> references to Patient, Encounter and Observation FHIR instances to document the patient, encounter and other information used as evidence to describe the context of this problem (the metadata).</w:t>
      </w:r>
    </w:p>
    <w:p w14:paraId="7A2D502F" w14:textId="2290E5B1" w:rsidR="000E68F3" w:rsidRPr="000E68F3" w:rsidRDefault="000E68F3" w:rsidP="000E68F3">
      <w:pPr>
        <w:pStyle w:val="NormaleWeb"/>
        <w:rPr>
          <w:lang w:val="en-US"/>
        </w:rPr>
      </w:pPr>
      <w:r w:rsidRPr="000E68F3">
        <w:rPr>
          <w:lang w:val="en-US"/>
        </w:rPr>
        <w:t>In case of </w:t>
      </w:r>
      <w:r w:rsidRPr="000E68F3">
        <w:rPr>
          <w:rStyle w:val="Enfasicorsivo"/>
          <w:lang w:val="en-US"/>
        </w:rPr>
        <w:t>non-FHIR data objects</w:t>
      </w:r>
      <w:r w:rsidRPr="000E68F3">
        <w:rPr>
          <w:lang w:val="en-US"/>
        </w:rPr>
        <w:t> or mixed cases (</w:t>
      </w:r>
      <w:r w:rsidRPr="000E68F3">
        <w:rPr>
          <w:rStyle w:val="Enfasicorsivo"/>
          <w:lang w:val="en-US"/>
        </w:rPr>
        <w:t>FHIR and non-FHIR objects</w:t>
      </w:r>
      <w:r w:rsidRPr="000E68F3">
        <w:rPr>
          <w:lang w:val="en-US"/>
        </w:rPr>
        <w:t>) implementers should evaluate the feasibility and the cost/benefit of transforming these objects (completely or partially) in FHIR instances; and/or creating FHIR resources (</w:t>
      </w:r>
      <w:r w:rsidR="00BC68AA" w:rsidRPr="000E68F3">
        <w:rPr>
          <w:lang w:val="en-US"/>
        </w:rPr>
        <w:t>e.g.,</w:t>
      </w:r>
      <w:r w:rsidRPr="000E68F3">
        <w:rPr>
          <w:lang w:val="en-US"/>
        </w:rPr>
        <w:t xml:space="preserve"> DocumentManifest) to document some metadata information.</w:t>
      </w:r>
    </w:p>
    <w:p w14:paraId="5DF60070" w14:textId="243708DC" w:rsidR="00751646" w:rsidRDefault="00751646" w:rsidP="000E68F3">
      <w:pPr>
        <w:pStyle w:val="Nessunaspaziatura"/>
        <w:rPr>
          <w:lang w:val="en-US"/>
        </w:rPr>
      </w:pPr>
    </w:p>
    <w:sectPr w:rsidR="007516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611816"/>
    <w:multiLevelType w:val="hybridMultilevel"/>
    <w:tmpl w:val="6338E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F24AFE"/>
    <w:multiLevelType w:val="hybridMultilevel"/>
    <w:tmpl w:val="6338E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206E1"/>
    <w:multiLevelType w:val="multilevel"/>
    <w:tmpl w:val="244A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EEB753E"/>
    <w:multiLevelType w:val="hybridMultilevel"/>
    <w:tmpl w:val="21A88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55761FD"/>
    <w:multiLevelType w:val="hybridMultilevel"/>
    <w:tmpl w:val="F0965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3" w15:restartNumberingAfterBreak="0">
    <w:nsid w:val="5B214A75"/>
    <w:multiLevelType w:val="multilevel"/>
    <w:tmpl w:val="4B9E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FD424D"/>
    <w:multiLevelType w:val="hybridMultilevel"/>
    <w:tmpl w:val="A680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6812532"/>
    <w:multiLevelType w:val="hybridMultilevel"/>
    <w:tmpl w:val="6B04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10"/>
  </w:num>
  <w:num w:numId="3">
    <w:abstractNumId w:val="5"/>
  </w:num>
  <w:num w:numId="4">
    <w:abstractNumId w:val="2"/>
  </w:num>
  <w:num w:numId="5">
    <w:abstractNumId w:val="6"/>
  </w:num>
  <w:num w:numId="6">
    <w:abstractNumId w:val="15"/>
  </w:num>
  <w:num w:numId="7">
    <w:abstractNumId w:val="0"/>
  </w:num>
  <w:num w:numId="8">
    <w:abstractNumId w:val="12"/>
  </w:num>
  <w:num w:numId="9">
    <w:abstractNumId w:val="19"/>
  </w:num>
  <w:num w:numId="10">
    <w:abstractNumId w:val="8"/>
  </w:num>
  <w:num w:numId="11">
    <w:abstractNumId w:val="20"/>
  </w:num>
  <w:num w:numId="12">
    <w:abstractNumId w:val="17"/>
  </w:num>
  <w:num w:numId="13">
    <w:abstractNumId w:val="11"/>
  </w:num>
  <w:num w:numId="14">
    <w:abstractNumId w:val="14"/>
  </w:num>
  <w:num w:numId="15">
    <w:abstractNumId w:val="7"/>
  </w:num>
  <w:num w:numId="16">
    <w:abstractNumId w:val="18"/>
  </w:num>
  <w:num w:numId="17">
    <w:abstractNumId w:val="1"/>
  </w:num>
  <w:num w:numId="18">
    <w:abstractNumId w:val="9"/>
  </w:num>
  <w:num w:numId="19">
    <w:abstractNumId w:val="3"/>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2E9C"/>
    <w:rsid w:val="00095595"/>
    <w:rsid w:val="000C47B3"/>
    <w:rsid w:val="000D312F"/>
    <w:rsid w:val="000E68F3"/>
    <w:rsid w:val="001011BD"/>
    <w:rsid w:val="0011256C"/>
    <w:rsid w:val="001242CD"/>
    <w:rsid w:val="00126888"/>
    <w:rsid w:val="00165320"/>
    <w:rsid w:val="001767E5"/>
    <w:rsid w:val="001A1E58"/>
    <w:rsid w:val="001C3AFD"/>
    <w:rsid w:val="001C3C41"/>
    <w:rsid w:val="001E11B6"/>
    <w:rsid w:val="001E5EB1"/>
    <w:rsid w:val="001F3083"/>
    <w:rsid w:val="002074A0"/>
    <w:rsid w:val="002077FC"/>
    <w:rsid w:val="00213E27"/>
    <w:rsid w:val="00214518"/>
    <w:rsid w:val="0023346A"/>
    <w:rsid w:val="002347B5"/>
    <w:rsid w:val="00240A11"/>
    <w:rsid w:val="00242FCA"/>
    <w:rsid w:val="0026150C"/>
    <w:rsid w:val="00270D11"/>
    <w:rsid w:val="00291D55"/>
    <w:rsid w:val="002A7595"/>
    <w:rsid w:val="002C0E23"/>
    <w:rsid w:val="002D06B1"/>
    <w:rsid w:val="002D2BAC"/>
    <w:rsid w:val="002D4964"/>
    <w:rsid w:val="002E70BE"/>
    <w:rsid w:val="00301F9D"/>
    <w:rsid w:val="00323BCE"/>
    <w:rsid w:val="00332428"/>
    <w:rsid w:val="00370562"/>
    <w:rsid w:val="00374542"/>
    <w:rsid w:val="003865C4"/>
    <w:rsid w:val="003A10F9"/>
    <w:rsid w:val="003B0FAE"/>
    <w:rsid w:val="003C3CBE"/>
    <w:rsid w:val="003D393A"/>
    <w:rsid w:val="003F0C43"/>
    <w:rsid w:val="003F5ED8"/>
    <w:rsid w:val="00416C62"/>
    <w:rsid w:val="0045030A"/>
    <w:rsid w:val="00470E36"/>
    <w:rsid w:val="004850DF"/>
    <w:rsid w:val="00491280"/>
    <w:rsid w:val="004A2C2A"/>
    <w:rsid w:val="004A53A0"/>
    <w:rsid w:val="004C5122"/>
    <w:rsid w:val="004D1983"/>
    <w:rsid w:val="004E0C4C"/>
    <w:rsid w:val="004E60D7"/>
    <w:rsid w:val="004F134D"/>
    <w:rsid w:val="00506005"/>
    <w:rsid w:val="00522E3E"/>
    <w:rsid w:val="00527C94"/>
    <w:rsid w:val="005428DB"/>
    <w:rsid w:val="00544FE3"/>
    <w:rsid w:val="005525A1"/>
    <w:rsid w:val="005534DF"/>
    <w:rsid w:val="00586761"/>
    <w:rsid w:val="005B5091"/>
    <w:rsid w:val="005C5B17"/>
    <w:rsid w:val="005E1792"/>
    <w:rsid w:val="005E6C2C"/>
    <w:rsid w:val="00617972"/>
    <w:rsid w:val="006211E6"/>
    <w:rsid w:val="00634A2E"/>
    <w:rsid w:val="006714C0"/>
    <w:rsid w:val="006B0FA3"/>
    <w:rsid w:val="006B5A79"/>
    <w:rsid w:val="00701672"/>
    <w:rsid w:val="00704B4E"/>
    <w:rsid w:val="0071131E"/>
    <w:rsid w:val="00730934"/>
    <w:rsid w:val="00735709"/>
    <w:rsid w:val="0074154D"/>
    <w:rsid w:val="00742101"/>
    <w:rsid w:val="0074424F"/>
    <w:rsid w:val="00751646"/>
    <w:rsid w:val="007603A3"/>
    <w:rsid w:val="00772CC7"/>
    <w:rsid w:val="00772E9A"/>
    <w:rsid w:val="00793075"/>
    <w:rsid w:val="007D0507"/>
    <w:rsid w:val="007D224A"/>
    <w:rsid w:val="007D76E9"/>
    <w:rsid w:val="007D7952"/>
    <w:rsid w:val="007E6475"/>
    <w:rsid w:val="007F560A"/>
    <w:rsid w:val="007F5725"/>
    <w:rsid w:val="0080223B"/>
    <w:rsid w:val="0080696B"/>
    <w:rsid w:val="00817538"/>
    <w:rsid w:val="008214A5"/>
    <w:rsid w:val="0082192A"/>
    <w:rsid w:val="008251B3"/>
    <w:rsid w:val="008405C6"/>
    <w:rsid w:val="008440D3"/>
    <w:rsid w:val="008632B6"/>
    <w:rsid w:val="008660C4"/>
    <w:rsid w:val="0087491F"/>
    <w:rsid w:val="0088285A"/>
    <w:rsid w:val="00886DAC"/>
    <w:rsid w:val="00894024"/>
    <w:rsid w:val="008B0CFB"/>
    <w:rsid w:val="008B4249"/>
    <w:rsid w:val="008C797D"/>
    <w:rsid w:val="008D295F"/>
    <w:rsid w:val="008F374B"/>
    <w:rsid w:val="00907BEA"/>
    <w:rsid w:val="00907E27"/>
    <w:rsid w:val="00910B5B"/>
    <w:rsid w:val="00917280"/>
    <w:rsid w:val="00917EB9"/>
    <w:rsid w:val="00927FC9"/>
    <w:rsid w:val="0094186A"/>
    <w:rsid w:val="00970722"/>
    <w:rsid w:val="009737C3"/>
    <w:rsid w:val="009972DA"/>
    <w:rsid w:val="009B5592"/>
    <w:rsid w:val="009D1FE1"/>
    <w:rsid w:val="009D36F7"/>
    <w:rsid w:val="009D5438"/>
    <w:rsid w:val="009F232D"/>
    <w:rsid w:val="00A558B9"/>
    <w:rsid w:val="00A55BCB"/>
    <w:rsid w:val="00A718E6"/>
    <w:rsid w:val="00A907D9"/>
    <w:rsid w:val="00A90CE0"/>
    <w:rsid w:val="00A92A9D"/>
    <w:rsid w:val="00A97B01"/>
    <w:rsid w:val="00AB4541"/>
    <w:rsid w:val="00AB7D4A"/>
    <w:rsid w:val="00AD42E6"/>
    <w:rsid w:val="00AE211F"/>
    <w:rsid w:val="00AF240F"/>
    <w:rsid w:val="00B0183E"/>
    <w:rsid w:val="00B129D7"/>
    <w:rsid w:val="00B21BD2"/>
    <w:rsid w:val="00B27476"/>
    <w:rsid w:val="00B543EB"/>
    <w:rsid w:val="00B73DD8"/>
    <w:rsid w:val="00B847A0"/>
    <w:rsid w:val="00BA5387"/>
    <w:rsid w:val="00BB7DDD"/>
    <w:rsid w:val="00BC12B8"/>
    <w:rsid w:val="00BC68AA"/>
    <w:rsid w:val="00BC782D"/>
    <w:rsid w:val="00BD7B0F"/>
    <w:rsid w:val="00C042BD"/>
    <w:rsid w:val="00C04AB3"/>
    <w:rsid w:val="00C110C3"/>
    <w:rsid w:val="00C1723E"/>
    <w:rsid w:val="00C37B0A"/>
    <w:rsid w:val="00C428BF"/>
    <w:rsid w:val="00C8070D"/>
    <w:rsid w:val="00C82905"/>
    <w:rsid w:val="00CB36FF"/>
    <w:rsid w:val="00CB721D"/>
    <w:rsid w:val="00CC0FF0"/>
    <w:rsid w:val="00CC75B3"/>
    <w:rsid w:val="00CD4121"/>
    <w:rsid w:val="00CD7794"/>
    <w:rsid w:val="00CE6183"/>
    <w:rsid w:val="00CF42D7"/>
    <w:rsid w:val="00D0313D"/>
    <w:rsid w:val="00D343A8"/>
    <w:rsid w:val="00D43EED"/>
    <w:rsid w:val="00D43FCB"/>
    <w:rsid w:val="00D50C61"/>
    <w:rsid w:val="00D5184C"/>
    <w:rsid w:val="00D61B67"/>
    <w:rsid w:val="00D642BD"/>
    <w:rsid w:val="00D7292C"/>
    <w:rsid w:val="00D90768"/>
    <w:rsid w:val="00DC2040"/>
    <w:rsid w:val="00DF687F"/>
    <w:rsid w:val="00E1778F"/>
    <w:rsid w:val="00E17D06"/>
    <w:rsid w:val="00E2517C"/>
    <w:rsid w:val="00E44091"/>
    <w:rsid w:val="00E44FA3"/>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242D5"/>
    <w:rsid w:val="00F74B48"/>
    <w:rsid w:val="00F824A9"/>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customStyle="1" w:styleId="inline-comment-marker">
    <w:name w:val="inline-comment-marker"/>
    <w:basedOn w:val="Carpredefinitoparagrafo"/>
    <w:rsid w:val="000E68F3"/>
  </w:style>
  <w:style w:type="character" w:styleId="Enfasicorsivo">
    <w:name w:val="Emphasis"/>
    <w:basedOn w:val="Carpredefinitoparagrafo"/>
    <w:uiPriority w:val="20"/>
    <w:qFormat/>
    <w:rsid w:val="000E68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45417">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867644110">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971861574">
      <w:bodyDiv w:val="1"/>
      <w:marLeft w:val="0"/>
      <w:marRight w:val="0"/>
      <w:marTop w:val="0"/>
      <w:marBottom w:val="0"/>
      <w:divBdr>
        <w:top w:val="none" w:sz="0" w:space="0" w:color="auto"/>
        <w:left w:val="none" w:sz="0" w:space="0" w:color="auto"/>
        <w:bottom w:val="none" w:sz="0" w:space="0" w:color="auto"/>
        <w:right w:val="none" w:sz="0" w:space="0" w:color="auto"/>
      </w:divBdr>
    </w:div>
    <w:div w:id="1065030008">
      <w:bodyDiv w:val="1"/>
      <w:marLeft w:val="0"/>
      <w:marRight w:val="0"/>
      <w:marTop w:val="0"/>
      <w:marBottom w:val="0"/>
      <w:divBdr>
        <w:top w:val="none" w:sz="0" w:space="0" w:color="auto"/>
        <w:left w:val="none" w:sz="0" w:space="0" w:color="auto"/>
        <w:bottom w:val="none" w:sz="0" w:space="0" w:color="auto"/>
        <w:right w:val="none" w:sz="0" w:space="0" w:color="auto"/>
      </w:divBdr>
    </w:div>
    <w:div w:id="1130243347">
      <w:bodyDiv w:val="1"/>
      <w:marLeft w:val="0"/>
      <w:marRight w:val="0"/>
      <w:marTop w:val="0"/>
      <w:marBottom w:val="0"/>
      <w:divBdr>
        <w:top w:val="none" w:sz="0" w:space="0" w:color="auto"/>
        <w:left w:val="none" w:sz="0" w:space="0" w:color="auto"/>
        <w:bottom w:val="none" w:sz="0" w:space="0" w:color="auto"/>
        <w:right w:val="none" w:sz="0" w:space="0" w:color="auto"/>
      </w:divBdr>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365209095">
      <w:bodyDiv w:val="1"/>
      <w:marLeft w:val="0"/>
      <w:marRight w:val="0"/>
      <w:marTop w:val="0"/>
      <w:marBottom w:val="0"/>
      <w:divBdr>
        <w:top w:val="none" w:sz="0" w:space="0" w:color="auto"/>
        <w:left w:val="none" w:sz="0" w:space="0" w:color="auto"/>
        <w:bottom w:val="none" w:sz="0" w:space="0" w:color="auto"/>
        <w:right w:val="none" w:sz="0" w:space="0" w:color="auto"/>
      </w:divBdr>
    </w:div>
    <w:div w:id="1449474760">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46619351">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onfluence.hl7.org/display/SOA/NInFE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l7.org/fhir/version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4</Pages>
  <Words>891</Words>
  <Characters>5080</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184</cp:revision>
  <dcterms:created xsi:type="dcterms:W3CDTF">2020-04-05T12:56:00Z</dcterms:created>
  <dcterms:modified xsi:type="dcterms:W3CDTF">2022-02-14T13:48:00Z</dcterms:modified>
</cp:coreProperties>
</file>