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1FF8" w14:textId="77777777" w:rsidR="00B93E61" w:rsidRPr="00B93E61" w:rsidRDefault="00B93E61" w:rsidP="00B93E61">
      <w:pPr>
        <w:pStyle w:val="Titolo3"/>
        <w:shd w:val="clear" w:color="auto" w:fill="FFFFFF"/>
        <w:spacing w:before="0"/>
        <w:rPr>
          <w:rFonts w:ascii="Segoe UI" w:hAnsi="Segoe UI" w:cs="Segoe UI"/>
          <w:color w:val="172B4D"/>
          <w:spacing w:val="-1"/>
          <w:sz w:val="21"/>
          <w:szCs w:val="21"/>
          <w:lang w:val="en-US"/>
        </w:rPr>
      </w:pPr>
      <w:r w:rsidRPr="00B93E61">
        <w:rPr>
          <w:rFonts w:ascii="Segoe UI" w:hAnsi="Segoe UI" w:cs="Segoe UI"/>
          <w:color w:val="172B4D"/>
          <w:spacing w:val="-1"/>
          <w:sz w:val="21"/>
          <w:szCs w:val="21"/>
          <w:lang w:val="en-US"/>
        </w:rPr>
        <w:t>Overview</w:t>
      </w:r>
    </w:p>
    <w:p w14:paraId="0986424A" w14:textId="4EA5103B" w:rsidR="00B93E61" w:rsidRDefault="00B93E61" w:rsidP="00B93E61">
      <w:pPr>
        <w:pStyle w:val="NormaleWeb"/>
        <w:shd w:val="clear" w:color="auto" w:fill="FFFFFF"/>
        <w:spacing w:before="150" w:beforeAutospacing="0" w:after="0" w:afterAutospacing="0"/>
        <w:rPr>
          <w:rFonts w:ascii="Segoe UI" w:hAnsi="Segoe UI" w:cs="Segoe UI"/>
          <w:color w:val="212529"/>
          <w:sz w:val="21"/>
          <w:szCs w:val="21"/>
          <w:lang w:val="en-US"/>
        </w:rPr>
      </w:pPr>
      <w:r w:rsidRPr="00B93E61">
        <w:rPr>
          <w:rFonts w:ascii="Segoe UI" w:hAnsi="Segoe UI" w:cs="Segoe UI"/>
          <w:color w:val="172B4D"/>
          <w:sz w:val="21"/>
          <w:szCs w:val="21"/>
          <w:lang w:val="en-US"/>
        </w:rPr>
        <w:t>The MIMIC-IV-ED (MIMIC-ED) (</w:t>
      </w:r>
      <w:hyperlink r:id="rId6" w:history="1">
        <w:r w:rsidRPr="00B93E61">
          <w:rPr>
            <w:rStyle w:val="Collegamentoipertestuale"/>
            <w:rFonts w:ascii="Segoe UI" w:hAnsi="Segoe UI" w:cs="Segoe UI"/>
            <w:color w:val="0052CC"/>
            <w:sz w:val="21"/>
            <w:szCs w:val="21"/>
            <w:lang w:val="en-US"/>
          </w:rPr>
          <w:t>https://physionet.org/content/mimic-iv-ed/1.0/</w:t>
        </w:r>
      </w:hyperlink>
      <w:r w:rsidRPr="00B93E61">
        <w:rPr>
          <w:rFonts w:ascii="Segoe UI" w:hAnsi="Segoe UI" w:cs="Segoe UI"/>
          <w:color w:val="172B4D"/>
          <w:sz w:val="21"/>
          <w:szCs w:val="21"/>
          <w:lang w:val="en-US"/>
        </w:rPr>
        <w:t>) dataset is a module of the MIMIC-IV (</w:t>
      </w:r>
      <w:hyperlink r:id="rId7" w:history="1">
        <w:r w:rsidRPr="00B93E61">
          <w:rPr>
            <w:rStyle w:val="Collegamentoipertestuale"/>
            <w:rFonts w:ascii="Segoe UI" w:hAnsi="Segoe UI" w:cs="Segoe UI"/>
            <w:color w:val="0052CC"/>
            <w:sz w:val="21"/>
            <w:szCs w:val="21"/>
            <w:lang w:val="en-US"/>
          </w:rPr>
          <w:t>https://physionet.org/content/mimiciv/0.4/</w:t>
        </w:r>
      </w:hyperlink>
      <w:r w:rsidRPr="00B93E61">
        <w:rPr>
          <w:rFonts w:ascii="Segoe UI" w:hAnsi="Segoe UI" w:cs="Segoe UI"/>
          <w:color w:val="172B4D"/>
          <w:sz w:val="21"/>
          <w:szCs w:val="21"/>
          <w:lang w:val="en-US"/>
        </w:rPr>
        <w:t>) dataset, the latter of which is published in August 2020 and contains clinical data on hospital stays sourced from hospital information systems. MIMIC-ED, published in June 2021, contains emergency department (ED) admissions </w:t>
      </w:r>
      <w:r w:rsidRPr="00B93E61">
        <w:rPr>
          <w:rFonts w:ascii="Segoe UI" w:hAnsi="Segoe UI" w:cs="Segoe UI"/>
          <w:color w:val="212529"/>
          <w:sz w:val="21"/>
          <w:szCs w:val="21"/>
          <w:lang w:val="en-US"/>
        </w:rPr>
        <w:t xml:space="preserve">at the Beth Israel Deaconess Medical Center (Boston, MA, USA) between 2011 and 2019. At the time of writing, version 1.0 of MIMIC-ED contains de-identified data from 448,972 ED stays. The dataset is made available freely via </w:t>
      </w:r>
      <w:proofErr w:type="spellStart"/>
      <w:r w:rsidRPr="00B93E61">
        <w:rPr>
          <w:rFonts w:ascii="Segoe UI" w:hAnsi="Segoe UI" w:cs="Segoe UI"/>
          <w:color w:val="212529"/>
          <w:sz w:val="21"/>
          <w:szCs w:val="21"/>
          <w:lang w:val="en-US"/>
        </w:rPr>
        <w:t>PhysioNet</w:t>
      </w:r>
      <w:proofErr w:type="spellEnd"/>
      <w:r w:rsidRPr="00B93E61">
        <w:rPr>
          <w:rFonts w:ascii="Segoe UI" w:hAnsi="Segoe UI" w:cs="Segoe UI"/>
          <w:color w:val="212529"/>
          <w:sz w:val="21"/>
          <w:szCs w:val="21"/>
          <w:lang w:val="en-US"/>
        </w:rPr>
        <w:t xml:space="preserve"> (</w:t>
      </w:r>
      <w:hyperlink r:id="rId8" w:history="1">
        <w:r w:rsidRPr="00B93E61">
          <w:rPr>
            <w:rStyle w:val="Collegamentoipertestuale"/>
            <w:rFonts w:ascii="Segoe UI" w:hAnsi="Segoe UI" w:cs="Segoe UI"/>
            <w:color w:val="0052CC"/>
            <w:sz w:val="21"/>
            <w:szCs w:val="21"/>
            <w:lang w:val="en-US"/>
          </w:rPr>
          <w:t>https://physionet.org/</w:t>
        </w:r>
      </w:hyperlink>
      <w:r w:rsidRPr="00B93E61">
        <w:rPr>
          <w:rFonts w:ascii="Segoe UI" w:hAnsi="Segoe UI" w:cs="Segoe UI"/>
          <w:color w:val="212529"/>
          <w:sz w:val="21"/>
          <w:szCs w:val="21"/>
          <w:lang w:val="en-US"/>
        </w:rPr>
        <w:t>), a repository for medical research data, and is intended for both research and educational purposes.</w:t>
      </w:r>
    </w:p>
    <w:p w14:paraId="2D6C7A02" w14:textId="77777777" w:rsidR="00B93E61" w:rsidRPr="00B93E61" w:rsidRDefault="00B93E61" w:rsidP="00B93E61">
      <w:pPr>
        <w:pStyle w:val="NormaleWeb"/>
        <w:shd w:val="clear" w:color="auto" w:fill="FFFFFF"/>
        <w:spacing w:before="150" w:beforeAutospacing="0" w:after="0" w:afterAutospacing="0"/>
        <w:rPr>
          <w:rFonts w:ascii="Segoe UI" w:hAnsi="Segoe UI" w:cs="Segoe UI"/>
          <w:color w:val="172B4D"/>
          <w:sz w:val="21"/>
          <w:szCs w:val="21"/>
          <w:lang w:val="en-US"/>
        </w:rPr>
      </w:pPr>
    </w:p>
    <w:p w14:paraId="7EA9D883" w14:textId="77777777" w:rsidR="00B93E61" w:rsidRPr="00B93E61" w:rsidRDefault="00B93E61" w:rsidP="001136BA">
      <w:pPr>
        <w:pStyle w:val="Titolo4"/>
        <w:rPr>
          <w:lang w:val="en-US"/>
        </w:rPr>
      </w:pPr>
      <w:r w:rsidRPr="00B93E61">
        <w:rPr>
          <w:lang w:val="en-US"/>
        </w:rPr>
        <w:t>Data</w:t>
      </w:r>
    </w:p>
    <w:p w14:paraId="54E40C4E" w14:textId="77777777" w:rsidR="00B93E61" w:rsidRPr="00B93E61" w:rsidRDefault="00B93E61" w:rsidP="00B93E61">
      <w:pPr>
        <w:pStyle w:val="NormaleWeb"/>
        <w:shd w:val="clear" w:color="auto" w:fill="FFFFFF"/>
        <w:spacing w:before="150" w:beforeAutospacing="0" w:after="0" w:afterAutospacing="0"/>
        <w:rPr>
          <w:rFonts w:ascii="Segoe UI" w:hAnsi="Segoe UI" w:cs="Segoe UI"/>
          <w:color w:val="172B4D"/>
          <w:sz w:val="21"/>
          <w:szCs w:val="21"/>
          <w:lang w:val="en-US"/>
        </w:rPr>
      </w:pPr>
      <w:r w:rsidRPr="00B93E61">
        <w:rPr>
          <w:rFonts w:ascii="Segoe UI" w:hAnsi="Segoe UI" w:cs="Segoe UI"/>
          <w:color w:val="172B4D"/>
          <w:sz w:val="21"/>
          <w:szCs w:val="21"/>
          <w:lang w:val="en-US"/>
        </w:rPr>
        <w:t>MIMIC-ED follows a star-like structure (Figure 1) around the </w:t>
      </w:r>
      <w:proofErr w:type="spellStart"/>
      <w:r w:rsidRPr="00B93E61">
        <w:rPr>
          <w:rStyle w:val="Enfasicorsivo"/>
          <w:rFonts w:ascii="Segoe UI" w:hAnsi="Segoe UI" w:cs="Segoe UI"/>
          <w:color w:val="172B4D"/>
          <w:sz w:val="21"/>
          <w:szCs w:val="21"/>
          <w:lang w:val="en-US"/>
        </w:rPr>
        <w:t>edstays</w:t>
      </w:r>
      <w:proofErr w:type="spellEnd"/>
      <w:r w:rsidRPr="00B93E61">
        <w:rPr>
          <w:rStyle w:val="Enfasicorsivo"/>
          <w:rFonts w:ascii="Segoe UI" w:hAnsi="Segoe UI" w:cs="Segoe UI"/>
          <w:color w:val="172B4D"/>
          <w:sz w:val="21"/>
          <w:szCs w:val="21"/>
          <w:lang w:val="en-US"/>
        </w:rPr>
        <w:t> </w:t>
      </w:r>
      <w:r w:rsidRPr="00B93E61">
        <w:rPr>
          <w:rFonts w:ascii="Segoe UI" w:hAnsi="Segoe UI" w:cs="Segoe UI"/>
          <w:color w:val="172B4D"/>
          <w:sz w:val="21"/>
          <w:szCs w:val="21"/>
          <w:lang w:val="en-US"/>
        </w:rPr>
        <w:t>table, which contains two identifiers through which the other tables are linked (</w:t>
      </w:r>
      <w:proofErr w:type="spellStart"/>
      <w:r w:rsidRPr="00B93E61">
        <w:rPr>
          <w:rStyle w:val="Enfasicorsivo"/>
          <w:rFonts w:ascii="Segoe UI" w:hAnsi="Segoe UI" w:cs="Segoe UI"/>
          <w:color w:val="172B4D"/>
          <w:sz w:val="21"/>
          <w:szCs w:val="21"/>
          <w:lang w:val="en-US"/>
        </w:rPr>
        <w:t>subject_id</w:t>
      </w:r>
      <w:proofErr w:type="spellEnd"/>
      <w:r w:rsidRPr="00B93E61">
        <w:rPr>
          <w:rFonts w:ascii="Segoe UI" w:hAnsi="Segoe UI" w:cs="Segoe UI"/>
          <w:color w:val="172B4D"/>
          <w:sz w:val="21"/>
          <w:szCs w:val="21"/>
          <w:lang w:val="en-US"/>
        </w:rPr>
        <w:t> referring to a patient and </w:t>
      </w:r>
      <w:proofErr w:type="spellStart"/>
      <w:r w:rsidRPr="00B93E61">
        <w:rPr>
          <w:rStyle w:val="Enfasicorsivo"/>
          <w:rFonts w:ascii="Segoe UI" w:hAnsi="Segoe UI" w:cs="Segoe UI"/>
          <w:color w:val="172B4D"/>
          <w:sz w:val="21"/>
          <w:szCs w:val="21"/>
          <w:lang w:val="en-US"/>
        </w:rPr>
        <w:t>stay_id</w:t>
      </w:r>
      <w:proofErr w:type="spellEnd"/>
      <w:r w:rsidRPr="00B93E61">
        <w:rPr>
          <w:rFonts w:ascii="Segoe UI" w:hAnsi="Segoe UI" w:cs="Segoe UI"/>
          <w:color w:val="172B4D"/>
          <w:sz w:val="21"/>
          <w:szCs w:val="21"/>
          <w:lang w:val="en-US"/>
        </w:rPr>
        <w:t> referring to an ED stay of a patient). The other five tables contain information that was documented during a patient's stay at the ED: discharge diagnoses (</w:t>
      </w:r>
      <w:r w:rsidRPr="00B93E61">
        <w:rPr>
          <w:rStyle w:val="Enfasicorsivo"/>
          <w:rFonts w:ascii="Segoe UI" w:hAnsi="Segoe UI" w:cs="Segoe UI"/>
          <w:color w:val="172B4D"/>
          <w:sz w:val="21"/>
          <w:szCs w:val="21"/>
          <w:lang w:val="en-US"/>
        </w:rPr>
        <w:t>diagnosis</w:t>
      </w:r>
      <w:r w:rsidRPr="00B93E61">
        <w:rPr>
          <w:rFonts w:ascii="Segoe UI" w:hAnsi="Segoe UI" w:cs="Segoe UI"/>
          <w:color w:val="172B4D"/>
          <w:sz w:val="21"/>
          <w:szCs w:val="21"/>
          <w:lang w:val="en-US"/>
        </w:rPr>
        <w:t>), medication taken prior to the ED stay (</w:t>
      </w:r>
      <w:proofErr w:type="spellStart"/>
      <w:r w:rsidRPr="00B93E61">
        <w:rPr>
          <w:rStyle w:val="Enfasicorsivo"/>
          <w:rFonts w:ascii="Segoe UI" w:hAnsi="Segoe UI" w:cs="Segoe UI"/>
          <w:color w:val="172B4D"/>
          <w:sz w:val="21"/>
          <w:szCs w:val="21"/>
          <w:lang w:val="en-US"/>
        </w:rPr>
        <w:t>medrecon</w:t>
      </w:r>
      <w:proofErr w:type="spellEnd"/>
      <w:r w:rsidRPr="00B93E61">
        <w:rPr>
          <w:rFonts w:ascii="Segoe UI" w:hAnsi="Segoe UI" w:cs="Segoe UI"/>
          <w:color w:val="172B4D"/>
          <w:sz w:val="21"/>
          <w:szCs w:val="21"/>
          <w:lang w:val="en-US"/>
        </w:rPr>
        <w:t>), medication dispensed during the ED stay (</w:t>
      </w:r>
      <w:r w:rsidRPr="00B93E61">
        <w:rPr>
          <w:rStyle w:val="Enfasicorsivo"/>
          <w:rFonts w:ascii="Segoe UI" w:hAnsi="Segoe UI" w:cs="Segoe UI"/>
          <w:color w:val="172B4D"/>
          <w:sz w:val="21"/>
          <w:szCs w:val="21"/>
          <w:lang w:val="en-US"/>
        </w:rPr>
        <w:t>pyxis</w:t>
      </w:r>
      <w:r w:rsidRPr="00B93E61">
        <w:rPr>
          <w:rFonts w:ascii="Segoe UI" w:hAnsi="Segoe UI" w:cs="Segoe UI"/>
          <w:color w:val="172B4D"/>
          <w:sz w:val="21"/>
          <w:szCs w:val="21"/>
          <w:lang w:val="en-US"/>
        </w:rPr>
        <w:t>), information collected at the time of triage (</w:t>
      </w:r>
      <w:r w:rsidRPr="00B93E61">
        <w:rPr>
          <w:rStyle w:val="Enfasicorsivo"/>
          <w:rFonts w:ascii="Segoe UI" w:hAnsi="Segoe UI" w:cs="Segoe UI"/>
          <w:color w:val="172B4D"/>
          <w:sz w:val="21"/>
          <w:szCs w:val="21"/>
          <w:lang w:val="en-US"/>
        </w:rPr>
        <w:t>triage</w:t>
      </w:r>
      <w:r w:rsidRPr="00B93E61">
        <w:rPr>
          <w:rFonts w:ascii="Segoe UI" w:hAnsi="Segoe UI" w:cs="Segoe UI"/>
          <w:color w:val="172B4D"/>
          <w:sz w:val="21"/>
          <w:szCs w:val="21"/>
          <w:lang w:val="en-US"/>
        </w:rPr>
        <w:t>), and aperiodic vital signs measured during the ED stay (</w:t>
      </w:r>
      <w:proofErr w:type="spellStart"/>
      <w:r w:rsidRPr="00B93E61">
        <w:rPr>
          <w:rStyle w:val="Enfasicorsivo"/>
          <w:rFonts w:ascii="Segoe UI" w:hAnsi="Segoe UI" w:cs="Segoe UI"/>
          <w:color w:val="172B4D"/>
          <w:sz w:val="21"/>
          <w:szCs w:val="21"/>
          <w:lang w:val="en-US"/>
        </w:rPr>
        <w:t>vitalsign</w:t>
      </w:r>
      <w:proofErr w:type="spellEnd"/>
      <w:r w:rsidRPr="00B93E61">
        <w:rPr>
          <w:rFonts w:ascii="Segoe UI" w:hAnsi="Segoe UI" w:cs="Segoe UI"/>
          <w:color w:val="172B4D"/>
          <w:sz w:val="21"/>
          <w:szCs w:val="21"/>
          <w:lang w:val="en-US"/>
        </w:rPr>
        <w:t xml:space="preserve">). A description of each table and its elements, including background, license, access, and citation information is provided through the MIMIC-ED page at </w:t>
      </w:r>
      <w:proofErr w:type="spellStart"/>
      <w:r w:rsidRPr="00B93E61">
        <w:rPr>
          <w:rFonts w:ascii="Segoe UI" w:hAnsi="Segoe UI" w:cs="Segoe UI"/>
          <w:color w:val="172B4D"/>
          <w:sz w:val="21"/>
          <w:szCs w:val="21"/>
          <w:lang w:val="en-US"/>
        </w:rPr>
        <w:t>PhysioNet</w:t>
      </w:r>
      <w:proofErr w:type="spellEnd"/>
      <w:r w:rsidRPr="00B93E61">
        <w:rPr>
          <w:rFonts w:ascii="Segoe UI" w:hAnsi="Segoe UI" w:cs="Segoe UI"/>
          <w:color w:val="172B4D"/>
          <w:sz w:val="21"/>
          <w:szCs w:val="21"/>
          <w:lang w:val="en-US"/>
        </w:rPr>
        <w:t>.</w:t>
      </w:r>
    </w:p>
    <w:p w14:paraId="4BB8E9C5" w14:textId="77777777" w:rsidR="00B93E61" w:rsidRPr="00B93E61" w:rsidRDefault="00B93E61" w:rsidP="00B93E61">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B93E61">
        <w:rPr>
          <w:rFonts w:ascii="Segoe UI" w:hAnsi="Segoe UI" w:cs="Segoe UI"/>
          <w:color w:val="172B4D"/>
          <w:sz w:val="21"/>
          <w:szCs w:val="21"/>
          <w:lang w:val="en-US"/>
        </w:rPr>
        <w:t>DOI: </w:t>
      </w:r>
      <w:hyperlink r:id="rId9" w:history="1">
        <w:r w:rsidRPr="00B93E61">
          <w:rPr>
            <w:rStyle w:val="Collegamentoipertestuale"/>
            <w:rFonts w:ascii="Segoe UI" w:hAnsi="Segoe UI" w:cs="Segoe UI"/>
            <w:color w:val="0052CC"/>
            <w:sz w:val="21"/>
            <w:szCs w:val="21"/>
            <w:lang w:val="en-US"/>
          </w:rPr>
          <w:t>https://doi.org/10.13026/77z6-9w59</w:t>
        </w:r>
      </w:hyperlink>
    </w:p>
    <w:p w14:paraId="0FED17D1" w14:textId="5BD34BD4" w:rsidR="00B93E61" w:rsidRPr="00B4650E" w:rsidRDefault="00B93E61" w:rsidP="00B93E61">
      <w:pPr>
        <w:numPr>
          <w:ilvl w:val="0"/>
          <w:numId w:val="17"/>
        </w:numPr>
        <w:shd w:val="clear" w:color="auto" w:fill="FFFFFF"/>
        <w:spacing w:before="100" w:beforeAutospacing="1" w:after="100" w:afterAutospacing="1" w:line="240" w:lineRule="auto"/>
        <w:rPr>
          <w:rStyle w:val="Collegamentoipertestuale"/>
          <w:rFonts w:ascii="Segoe UI" w:hAnsi="Segoe UI" w:cs="Segoe UI"/>
          <w:color w:val="172B4D"/>
          <w:sz w:val="21"/>
          <w:szCs w:val="21"/>
          <w:u w:val="none"/>
          <w:lang w:val="en-US"/>
        </w:rPr>
      </w:pPr>
      <w:r w:rsidRPr="00B93E61">
        <w:rPr>
          <w:rFonts w:ascii="Segoe UI" w:hAnsi="Segoe UI" w:cs="Segoe UI"/>
          <w:color w:val="172B4D"/>
          <w:sz w:val="21"/>
          <w:szCs w:val="21"/>
          <w:lang w:val="en-US"/>
        </w:rPr>
        <w:t xml:space="preserve">Data (ZIP </w:t>
      </w:r>
      <w:proofErr w:type="gramStart"/>
      <w:r w:rsidRPr="00B93E61">
        <w:rPr>
          <w:rFonts w:ascii="Segoe UI" w:hAnsi="Segoe UI" w:cs="Segoe UI"/>
          <w:color w:val="172B4D"/>
          <w:sz w:val="21"/>
          <w:szCs w:val="21"/>
          <w:lang w:val="en-US"/>
        </w:rPr>
        <w:t>file, when</w:t>
      </w:r>
      <w:proofErr w:type="gramEnd"/>
      <w:r w:rsidRPr="00B93E61">
        <w:rPr>
          <w:rFonts w:ascii="Segoe UI" w:hAnsi="Segoe UI" w:cs="Segoe UI"/>
          <w:color w:val="172B4D"/>
          <w:sz w:val="21"/>
          <w:szCs w:val="21"/>
          <w:lang w:val="en-US"/>
        </w:rPr>
        <w:t xml:space="preserve"> access is provided): </w:t>
      </w:r>
      <w:hyperlink r:id="rId10" w:history="1">
        <w:r w:rsidRPr="00B93E61">
          <w:rPr>
            <w:rStyle w:val="Collegamentoipertestuale"/>
            <w:rFonts w:ascii="Segoe UI" w:hAnsi="Segoe UI" w:cs="Segoe UI"/>
            <w:color w:val="0052CC"/>
            <w:sz w:val="21"/>
            <w:szCs w:val="21"/>
            <w:lang w:val="en-US"/>
          </w:rPr>
          <w:t>https://physionet.org/content/mimic-iv-ed/get-zip/1.0/</w:t>
        </w:r>
      </w:hyperlink>
    </w:p>
    <w:p w14:paraId="5410F349" w14:textId="77777777" w:rsidR="00B4650E" w:rsidRPr="00B93E61" w:rsidRDefault="00B4650E" w:rsidP="00875A72">
      <w:pPr>
        <w:rPr>
          <w:lang w:val="en-US"/>
        </w:rPr>
      </w:pPr>
    </w:p>
    <w:p w14:paraId="4A377181" w14:textId="77777777" w:rsidR="00B4650E" w:rsidRDefault="00B4650E" w:rsidP="00875A72">
      <w:r>
        <w:rPr>
          <w:noProof/>
        </w:rPr>
        <w:drawing>
          <wp:inline distT="0" distB="0" distL="0" distR="0" wp14:anchorId="41B7E202" wp14:editId="466640DD">
            <wp:extent cx="3892163" cy="202295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0126" cy="2027093"/>
                    </a:xfrm>
                    <a:prstGeom prst="rect">
                      <a:avLst/>
                    </a:prstGeom>
                    <a:noFill/>
                    <a:ln>
                      <a:noFill/>
                    </a:ln>
                  </pic:spPr>
                </pic:pic>
              </a:graphicData>
            </a:graphic>
          </wp:inline>
        </w:drawing>
      </w:r>
    </w:p>
    <w:p w14:paraId="4C0A49A3" w14:textId="77777777" w:rsidR="00B4650E" w:rsidRPr="00B93E61" w:rsidRDefault="00B4650E" w:rsidP="00875A72">
      <w:pPr>
        <w:rPr>
          <w:lang w:val="en-US"/>
        </w:rPr>
      </w:pPr>
      <w:r w:rsidRPr="00B93E61">
        <w:rPr>
          <w:rStyle w:val="Enfasigrassetto"/>
          <w:rFonts w:ascii="Segoe UI" w:hAnsi="Segoe UI" w:cs="Segoe UI"/>
          <w:color w:val="172B4D"/>
          <w:sz w:val="21"/>
          <w:szCs w:val="21"/>
          <w:lang w:val="en-US"/>
        </w:rPr>
        <w:t>Figure 1.</w:t>
      </w:r>
      <w:r w:rsidRPr="00B93E61">
        <w:rPr>
          <w:lang w:val="en-US"/>
        </w:rPr>
        <w:t> </w:t>
      </w:r>
      <w:r w:rsidRPr="00B93E61">
        <w:rPr>
          <w:rStyle w:val="Enfasicorsivo"/>
          <w:rFonts w:ascii="Segoe UI" w:hAnsi="Segoe UI" w:cs="Segoe UI"/>
          <w:color w:val="172B4D"/>
          <w:sz w:val="21"/>
          <w:szCs w:val="21"/>
          <w:lang w:val="en-US"/>
        </w:rPr>
        <w:t>MIMIC-ED table structure. </w:t>
      </w:r>
    </w:p>
    <w:p w14:paraId="0556BEFA" w14:textId="586F8B14" w:rsidR="0087475A" w:rsidRPr="00B93E61" w:rsidRDefault="0087475A" w:rsidP="00875A72">
      <w:pPr>
        <w:rPr>
          <w:lang w:val="en-US"/>
        </w:rPr>
      </w:pPr>
    </w:p>
    <w:p w14:paraId="512B1A0E" w14:textId="77777777" w:rsidR="00B93E61" w:rsidRPr="00B93E61" w:rsidRDefault="00B93E61" w:rsidP="001136BA">
      <w:pPr>
        <w:pStyle w:val="Titolo4"/>
        <w:rPr>
          <w:lang w:val="en-US"/>
        </w:rPr>
      </w:pPr>
      <w:r w:rsidRPr="00B93E61">
        <w:rPr>
          <w:rStyle w:val="Enfasigrassetto"/>
          <w:rFonts w:ascii="Segoe UI" w:hAnsi="Segoe UI" w:cs="Segoe UI"/>
          <w:color w:val="172B4D"/>
          <w:sz w:val="21"/>
          <w:szCs w:val="21"/>
          <w:lang w:val="en-US"/>
        </w:rPr>
        <w:t>Objective and scenario</w:t>
      </w:r>
    </w:p>
    <w:p w14:paraId="7D935E67" w14:textId="4E93B0E2" w:rsidR="00B93E61" w:rsidRDefault="00B93E61" w:rsidP="00B93E61">
      <w:pPr>
        <w:pStyle w:val="NormaleWeb"/>
        <w:shd w:val="clear" w:color="auto" w:fill="FFFFFF"/>
        <w:spacing w:before="150" w:beforeAutospacing="0" w:after="0" w:afterAutospacing="0"/>
        <w:rPr>
          <w:rFonts w:ascii="Segoe UI" w:hAnsi="Segoe UI" w:cs="Segoe UI"/>
          <w:color w:val="172B4D"/>
          <w:sz w:val="21"/>
          <w:szCs w:val="21"/>
          <w:lang w:val="en-US"/>
        </w:rPr>
      </w:pPr>
      <w:r w:rsidRPr="00B93E61">
        <w:rPr>
          <w:rFonts w:ascii="Segoe UI" w:hAnsi="Segoe UI" w:cs="Segoe UI"/>
          <w:color w:val="172B4D"/>
          <w:sz w:val="21"/>
          <w:szCs w:val="21"/>
          <w:lang w:val="en-US"/>
        </w:rPr>
        <w:t xml:space="preserve">MIMIC-ED can be used for educational and research purposes. </w:t>
      </w:r>
      <w:proofErr w:type="spellStart"/>
      <w:r w:rsidRPr="00B93E61">
        <w:rPr>
          <w:rFonts w:ascii="Segoe UI" w:hAnsi="Segoe UI" w:cs="Segoe UI"/>
          <w:color w:val="172B4D"/>
          <w:sz w:val="21"/>
          <w:szCs w:val="21"/>
          <w:lang w:val="en-US"/>
        </w:rPr>
        <w:t>PhysioNet</w:t>
      </w:r>
      <w:proofErr w:type="spellEnd"/>
      <w:r w:rsidRPr="00B93E61">
        <w:rPr>
          <w:rFonts w:ascii="Segoe UI" w:hAnsi="Segoe UI" w:cs="Segoe UI"/>
          <w:color w:val="172B4D"/>
          <w:sz w:val="21"/>
          <w:szCs w:val="21"/>
          <w:lang w:val="en-US"/>
        </w:rPr>
        <w:t xml:space="preserve"> distributes the data to its credentialed users that, after signing a data use agreement, can download the raw data (CSV) and/or access the data through services such as the Google Cloud Platform. The objective of this exercise is to create a FHIR version of MIMIC-ED and assess the data </w:t>
      </w:r>
      <w:proofErr w:type="spellStart"/>
      <w:r w:rsidRPr="00B93E61">
        <w:rPr>
          <w:rFonts w:ascii="Segoe UI" w:hAnsi="Segoe UI" w:cs="Segoe UI"/>
          <w:color w:val="172B4D"/>
          <w:sz w:val="21"/>
          <w:szCs w:val="21"/>
          <w:lang w:val="en-US"/>
        </w:rPr>
        <w:t>FAIRness</w:t>
      </w:r>
      <w:proofErr w:type="spellEnd"/>
      <w:r w:rsidRPr="00B93E61">
        <w:rPr>
          <w:rFonts w:ascii="Segoe UI" w:hAnsi="Segoe UI" w:cs="Segoe UI"/>
          <w:color w:val="172B4D"/>
          <w:sz w:val="21"/>
          <w:szCs w:val="21"/>
          <w:lang w:val="en-US"/>
        </w:rPr>
        <w:t xml:space="preserve"> before and after implementing FHIR. For the </w:t>
      </w:r>
      <w:proofErr w:type="spellStart"/>
      <w:r w:rsidRPr="00B93E61">
        <w:rPr>
          <w:rFonts w:ascii="Segoe UI" w:hAnsi="Segoe UI" w:cs="Segoe UI"/>
          <w:color w:val="172B4D"/>
          <w:sz w:val="21"/>
          <w:szCs w:val="21"/>
          <w:lang w:val="en-US"/>
        </w:rPr>
        <w:t>FAIRness</w:t>
      </w:r>
      <w:proofErr w:type="spellEnd"/>
      <w:r w:rsidRPr="00B93E61">
        <w:rPr>
          <w:rFonts w:ascii="Segoe UI" w:hAnsi="Segoe UI" w:cs="Segoe UI"/>
          <w:color w:val="172B4D"/>
          <w:sz w:val="21"/>
          <w:szCs w:val="21"/>
          <w:lang w:val="en-US"/>
        </w:rPr>
        <w:t xml:space="preserve"> assessment, we use the </w:t>
      </w:r>
      <w:hyperlink r:id="rId12" w:history="1">
        <w:r w:rsidRPr="00B93E61">
          <w:rPr>
            <w:rStyle w:val="Collegamentoipertestuale"/>
            <w:rFonts w:ascii="Segoe UI" w:hAnsi="Segoe UI" w:cs="Segoe UI"/>
            <w:color w:val="0052CC"/>
            <w:sz w:val="21"/>
            <w:szCs w:val="21"/>
            <w:lang w:val="en-US"/>
          </w:rPr>
          <w:t>RDA FAIR Data Maturity Indicators</w:t>
        </w:r>
      </w:hyperlink>
      <w:r w:rsidRPr="00B93E61">
        <w:rPr>
          <w:rFonts w:ascii="Segoe UI" w:hAnsi="Segoe UI" w:cs="Segoe UI"/>
          <w:color w:val="172B4D"/>
          <w:sz w:val="21"/>
          <w:szCs w:val="21"/>
          <w:lang w:val="en-US"/>
        </w:rPr>
        <w:t xml:space="preserve">. By doing so, we can 1) contribute to the MIMIC-ED community by creating a FHIR model of the data and providing an exemplar implementation of a FHIR server that can serve MIMIC-ED data, and 2) showing what parts of </w:t>
      </w:r>
      <w:r w:rsidRPr="00B93E61">
        <w:rPr>
          <w:rFonts w:ascii="Segoe UI" w:hAnsi="Segoe UI" w:cs="Segoe UI"/>
          <w:color w:val="172B4D"/>
          <w:sz w:val="21"/>
          <w:szCs w:val="21"/>
          <w:lang w:val="en-US"/>
        </w:rPr>
        <w:lastRenderedPageBreak/>
        <w:t xml:space="preserve">FAIR can be addressed in this </w:t>
      </w:r>
      <w:proofErr w:type="gramStart"/>
      <w:r w:rsidRPr="00B93E61">
        <w:rPr>
          <w:rFonts w:ascii="Segoe UI" w:hAnsi="Segoe UI" w:cs="Segoe UI"/>
          <w:color w:val="172B4D"/>
          <w:sz w:val="21"/>
          <w:szCs w:val="21"/>
          <w:lang w:val="en-US"/>
        </w:rPr>
        <w:t>particular case</w:t>
      </w:r>
      <w:proofErr w:type="gramEnd"/>
      <w:r w:rsidRPr="00B93E61">
        <w:rPr>
          <w:rFonts w:ascii="Segoe UI" w:hAnsi="Segoe UI" w:cs="Segoe UI"/>
          <w:color w:val="172B4D"/>
          <w:sz w:val="21"/>
          <w:szCs w:val="21"/>
          <w:lang w:val="en-US"/>
        </w:rPr>
        <w:t xml:space="preserve"> when using FHIR. The lessons learned can be used for other cases where the implementation of the FAIR principles using FHIR is desirable.</w:t>
      </w:r>
    </w:p>
    <w:p w14:paraId="12F5B91A" w14:textId="77777777" w:rsidR="001136BA" w:rsidRPr="00B93E61" w:rsidRDefault="001136BA" w:rsidP="00B93E61">
      <w:pPr>
        <w:pStyle w:val="NormaleWeb"/>
        <w:shd w:val="clear" w:color="auto" w:fill="FFFFFF"/>
        <w:spacing w:before="150" w:beforeAutospacing="0" w:after="0" w:afterAutospacing="0"/>
        <w:rPr>
          <w:rFonts w:ascii="Segoe UI" w:hAnsi="Segoe UI" w:cs="Segoe UI"/>
          <w:color w:val="172B4D"/>
          <w:sz w:val="21"/>
          <w:szCs w:val="21"/>
          <w:lang w:val="en-US"/>
        </w:rPr>
      </w:pPr>
    </w:p>
    <w:p w14:paraId="19999506" w14:textId="77777777" w:rsidR="00B93E61" w:rsidRPr="00B93E61" w:rsidRDefault="00B93E61" w:rsidP="00B93E61">
      <w:pPr>
        <w:pStyle w:val="Titolo3"/>
        <w:shd w:val="clear" w:color="auto" w:fill="FFFFFF"/>
        <w:spacing w:before="0"/>
        <w:rPr>
          <w:rFonts w:ascii="Segoe UI" w:hAnsi="Segoe UI" w:cs="Segoe UI"/>
          <w:color w:val="172B4D"/>
          <w:spacing w:val="-1"/>
          <w:sz w:val="21"/>
          <w:szCs w:val="21"/>
          <w:lang w:val="en-US"/>
        </w:rPr>
      </w:pPr>
      <w:r w:rsidRPr="00B93E61">
        <w:rPr>
          <w:rFonts w:ascii="Segoe UI" w:hAnsi="Segoe UI" w:cs="Segoe UI"/>
          <w:color w:val="172B4D"/>
          <w:spacing w:val="-1"/>
          <w:sz w:val="21"/>
          <w:szCs w:val="21"/>
          <w:lang w:val="en-US"/>
        </w:rPr>
        <w:t xml:space="preserve">Initial assessment of </w:t>
      </w:r>
      <w:proofErr w:type="spellStart"/>
      <w:r w:rsidRPr="00B93E61">
        <w:rPr>
          <w:rFonts w:ascii="Segoe UI" w:hAnsi="Segoe UI" w:cs="Segoe UI"/>
          <w:color w:val="172B4D"/>
          <w:spacing w:val="-1"/>
          <w:sz w:val="21"/>
          <w:szCs w:val="21"/>
          <w:lang w:val="en-US"/>
        </w:rPr>
        <w:t>FAIRness</w:t>
      </w:r>
      <w:proofErr w:type="spellEnd"/>
      <w:r w:rsidRPr="00B93E61">
        <w:rPr>
          <w:rFonts w:ascii="Segoe UI" w:hAnsi="Segoe UI" w:cs="Segoe UI"/>
          <w:color w:val="172B4D"/>
          <w:spacing w:val="-1"/>
          <w:sz w:val="21"/>
          <w:szCs w:val="21"/>
          <w:lang w:val="en-US"/>
        </w:rPr>
        <w:t xml:space="preserve"> using the RDA FAIR indicators</w:t>
      </w:r>
    </w:p>
    <w:p w14:paraId="33F6C78B" w14:textId="77777777" w:rsidR="00B93E61" w:rsidRPr="00B93E61" w:rsidRDefault="00B93E61" w:rsidP="00B93E61">
      <w:pPr>
        <w:pStyle w:val="NormaleWeb"/>
        <w:shd w:val="clear" w:color="auto" w:fill="FFFFFF"/>
        <w:spacing w:before="150" w:beforeAutospacing="0" w:after="0" w:afterAutospacing="0"/>
        <w:rPr>
          <w:rFonts w:ascii="Segoe UI" w:hAnsi="Segoe UI" w:cs="Segoe UI"/>
          <w:color w:val="172B4D"/>
          <w:sz w:val="21"/>
          <w:szCs w:val="21"/>
          <w:lang w:val="en-US"/>
        </w:rPr>
      </w:pPr>
      <w:r w:rsidRPr="00B93E61">
        <w:rPr>
          <w:rFonts w:ascii="Segoe UI" w:hAnsi="Segoe UI" w:cs="Segoe UI"/>
          <w:color w:val="172B4D"/>
          <w:sz w:val="21"/>
          <w:szCs w:val="21"/>
          <w:lang w:val="en-US"/>
        </w:rPr>
        <w:t xml:space="preserve">We assessed the </w:t>
      </w:r>
      <w:proofErr w:type="spellStart"/>
      <w:r w:rsidRPr="00B93E61">
        <w:rPr>
          <w:rFonts w:ascii="Segoe UI" w:hAnsi="Segoe UI" w:cs="Segoe UI"/>
          <w:color w:val="172B4D"/>
          <w:sz w:val="21"/>
          <w:szCs w:val="21"/>
          <w:lang w:val="en-US"/>
        </w:rPr>
        <w:t>FAIRness</w:t>
      </w:r>
      <w:proofErr w:type="spellEnd"/>
      <w:r w:rsidRPr="00B93E61">
        <w:rPr>
          <w:rFonts w:ascii="Segoe UI" w:hAnsi="Segoe UI" w:cs="Segoe UI"/>
          <w:color w:val="172B4D"/>
          <w:sz w:val="21"/>
          <w:szCs w:val="21"/>
          <w:lang w:val="en-US"/>
        </w:rPr>
        <w:t xml:space="preserve"> of MIMIC-ED before the implementation of FHIR. In other words, the </w:t>
      </w:r>
      <w:proofErr w:type="spellStart"/>
      <w:r w:rsidRPr="00B93E61">
        <w:rPr>
          <w:rFonts w:ascii="Segoe UI" w:hAnsi="Segoe UI" w:cs="Segoe UI"/>
          <w:color w:val="172B4D"/>
          <w:sz w:val="21"/>
          <w:szCs w:val="21"/>
          <w:lang w:val="en-US"/>
        </w:rPr>
        <w:t>FAIRness</w:t>
      </w:r>
      <w:proofErr w:type="spellEnd"/>
      <w:r w:rsidRPr="00B93E61">
        <w:rPr>
          <w:rFonts w:ascii="Segoe UI" w:hAnsi="Segoe UI" w:cs="Segoe UI"/>
          <w:color w:val="172B4D"/>
          <w:sz w:val="21"/>
          <w:szCs w:val="21"/>
          <w:lang w:val="en-US"/>
        </w:rPr>
        <w:t xml:space="preserve"> of MIMIC-ED as it is being distributed by </w:t>
      </w:r>
      <w:proofErr w:type="spellStart"/>
      <w:r w:rsidRPr="00B93E61">
        <w:rPr>
          <w:rFonts w:ascii="Segoe UI" w:hAnsi="Segoe UI" w:cs="Segoe UI"/>
          <w:color w:val="172B4D"/>
          <w:sz w:val="21"/>
          <w:szCs w:val="21"/>
          <w:lang w:val="en-US"/>
        </w:rPr>
        <w:t>PhysioNet</w:t>
      </w:r>
      <w:proofErr w:type="spellEnd"/>
      <w:r w:rsidRPr="00B93E61">
        <w:rPr>
          <w:rFonts w:ascii="Segoe UI" w:hAnsi="Segoe UI" w:cs="Segoe UI"/>
          <w:color w:val="172B4D"/>
          <w:sz w:val="21"/>
          <w:szCs w:val="21"/>
          <w:lang w:val="en-US"/>
        </w:rPr>
        <w:t>. The full assessment is available </w:t>
      </w:r>
      <w:hyperlink r:id="rId13" w:history="1">
        <w:r w:rsidRPr="00B93E61">
          <w:rPr>
            <w:rStyle w:val="Collegamentoipertestuale"/>
            <w:rFonts w:ascii="Segoe UI" w:hAnsi="Segoe UI" w:cs="Segoe UI"/>
            <w:color w:val="0052CC"/>
            <w:sz w:val="21"/>
            <w:szCs w:val="21"/>
            <w:lang w:val="en-US"/>
          </w:rPr>
          <w:t>here (Google Drive)</w:t>
        </w:r>
      </w:hyperlink>
      <w:r w:rsidRPr="00B93E61">
        <w:rPr>
          <w:rFonts w:ascii="Segoe UI" w:hAnsi="Segoe UI" w:cs="Segoe UI"/>
          <w:color w:val="172B4D"/>
          <w:sz w:val="21"/>
          <w:szCs w:val="21"/>
          <w:lang w:val="en-US"/>
        </w:rPr>
        <w:t xml:space="preserve">. In summary, MIMIC-ED passed most (except one) indicators for Findability and Accessibility. The one indicator that it did not pass is the requirement for metadata to be available when the data is no longer available, we can assume this is </w:t>
      </w:r>
      <w:proofErr w:type="gramStart"/>
      <w:r w:rsidRPr="00B93E61">
        <w:rPr>
          <w:rFonts w:ascii="Segoe UI" w:hAnsi="Segoe UI" w:cs="Segoe UI"/>
          <w:color w:val="172B4D"/>
          <w:sz w:val="21"/>
          <w:szCs w:val="21"/>
          <w:lang w:val="en-US"/>
        </w:rPr>
        <w:t>true</w:t>
      </w:r>
      <w:proofErr w:type="gramEnd"/>
      <w:r w:rsidRPr="00B93E61">
        <w:rPr>
          <w:rFonts w:ascii="Segoe UI" w:hAnsi="Segoe UI" w:cs="Segoe UI"/>
          <w:color w:val="172B4D"/>
          <w:sz w:val="21"/>
          <w:szCs w:val="21"/>
          <w:lang w:val="en-US"/>
        </w:rPr>
        <w:t xml:space="preserve"> but it has not been specified by </w:t>
      </w:r>
      <w:proofErr w:type="spellStart"/>
      <w:r w:rsidRPr="00B93E61">
        <w:rPr>
          <w:rFonts w:ascii="Segoe UI" w:hAnsi="Segoe UI" w:cs="Segoe UI"/>
          <w:color w:val="172B4D"/>
          <w:sz w:val="21"/>
          <w:szCs w:val="21"/>
          <w:lang w:val="en-US"/>
        </w:rPr>
        <w:t>PhysioNet</w:t>
      </w:r>
      <w:proofErr w:type="spellEnd"/>
      <w:r w:rsidRPr="00B93E61">
        <w:rPr>
          <w:rFonts w:ascii="Segoe UI" w:hAnsi="Segoe UI" w:cs="Segoe UI"/>
          <w:color w:val="172B4D"/>
          <w:sz w:val="21"/>
          <w:szCs w:val="21"/>
          <w:lang w:val="en-US"/>
        </w:rPr>
        <w:t xml:space="preserve">. When we look at Interoperability and </w:t>
      </w:r>
      <w:proofErr w:type="gramStart"/>
      <w:r w:rsidRPr="00B93E61">
        <w:rPr>
          <w:rFonts w:ascii="Segoe UI" w:hAnsi="Segoe UI" w:cs="Segoe UI"/>
          <w:color w:val="172B4D"/>
          <w:sz w:val="21"/>
          <w:szCs w:val="21"/>
          <w:lang w:val="en-US"/>
        </w:rPr>
        <w:t>Reusability</w:t>
      </w:r>
      <w:proofErr w:type="gramEnd"/>
      <w:r w:rsidRPr="00B93E61">
        <w:rPr>
          <w:rFonts w:ascii="Segoe UI" w:hAnsi="Segoe UI" w:cs="Segoe UI"/>
          <w:color w:val="172B4D"/>
          <w:sz w:val="21"/>
          <w:szCs w:val="21"/>
          <w:lang w:val="en-US"/>
        </w:rPr>
        <w:t xml:space="preserve"> we can see a clear use case for using FHIR. MIMIC-ED does not use any FAIR-compliant vocabularies for annotating its data semantics, nor does it comply with a standard data model. Hence, implementing FHIR would probably contribute to the Interoperability and Reusability aspects of FAIR in the case of MIMIC-ED. </w:t>
      </w:r>
    </w:p>
    <w:p w14:paraId="1D51FA76" w14:textId="77777777" w:rsidR="00B93E61" w:rsidRPr="00B93E61" w:rsidRDefault="00B93E61" w:rsidP="00B93E61">
      <w:pPr>
        <w:pStyle w:val="NormaleWeb"/>
        <w:shd w:val="clear" w:color="auto" w:fill="FFFFFF"/>
        <w:spacing w:before="150" w:beforeAutospacing="0" w:after="0" w:afterAutospacing="0"/>
        <w:rPr>
          <w:rFonts w:ascii="Segoe UI" w:hAnsi="Segoe UI" w:cs="Segoe UI"/>
          <w:color w:val="172B4D"/>
          <w:sz w:val="21"/>
          <w:szCs w:val="21"/>
          <w:lang w:val="en-US"/>
        </w:rPr>
      </w:pPr>
      <w:r w:rsidRPr="00B93E61">
        <w:rPr>
          <w:rStyle w:val="Enfasigrassetto"/>
          <w:rFonts w:ascii="Segoe UI" w:hAnsi="Segoe UI" w:cs="Segoe UI"/>
          <w:color w:val="172B4D"/>
          <w:sz w:val="21"/>
          <w:szCs w:val="21"/>
          <w:lang w:val="en-US"/>
        </w:rPr>
        <w:t>Table 1. </w:t>
      </w:r>
      <w:proofErr w:type="spellStart"/>
      <w:r w:rsidRPr="00B93E61">
        <w:rPr>
          <w:rStyle w:val="Enfasicorsivo"/>
          <w:rFonts w:ascii="Segoe UI" w:hAnsi="Segoe UI" w:cs="Segoe UI"/>
          <w:color w:val="172B4D"/>
          <w:sz w:val="21"/>
          <w:szCs w:val="21"/>
          <w:lang w:val="en-US"/>
        </w:rPr>
        <w:t>FAIRness</w:t>
      </w:r>
      <w:proofErr w:type="spellEnd"/>
      <w:r w:rsidRPr="00B93E61">
        <w:rPr>
          <w:rStyle w:val="Enfasicorsivo"/>
          <w:rFonts w:ascii="Segoe UI" w:hAnsi="Segoe UI" w:cs="Segoe UI"/>
          <w:color w:val="172B4D"/>
          <w:sz w:val="21"/>
          <w:szCs w:val="21"/>
          <w:lang w:val="en-US"/>
        </w:rPr>
        <w:t xml:space="preserve"> assessment of MIMIC-ED before implementing FHIR. </w:t>
      </w:r>
    </w:p>
    <w:tbl>
      <w:tblPr>
        <w:tblW w:w="0" w:type="auto"/>
        <w:tblCellMar>
          <w:top w:w="15" w:type="dxa"/>
          <w:left w:w="15" w:type="dxa"/>
          <w:bottom w:w="15" w:type="dxa"/>
          <w:right w:w="15" w:type="dxa"/>
        </w:tblCellMar>
        <w:tblLook w:val="04A0" w:firstRow="1" w:lastRow="0" w:firstColumn="1" w:lastColumn="0" w:noHBand="0" w:noVBand="1"/>
      </w:tblPr>
      <w:tblGrid>
        <w:gridCol w:w="1127"/>
        <w:gridCol w:w="1922"/>
        <w:gridCol w:w="2169"/>
        <w:gridCol w:w="2167"/>
        <w:gridCol w:w="2237"/>
      </w:tblGrid>
      <w:tr w:rsidR="00B93E61" w14:paraId="6B4F83F5" w14:textId="77777777" w:rsidTr="00B93E61">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D0247F9" w14:textId="77777777" w:rsidR="00B93E61" w:rsidRPr="00B93E61" w:rsidRDefault="00B93E61" w:rsidP="00B93E61">
            <w:pPr>
              <w:rPr>
                <w:rFonts w:ascii="Times New Roman" w:hAnsi="Times New Roman" w:cs="Times New Roman"/>
                <w:b/>
                <w:bCs/>
                <w:color w:val="172B4D"/>
                <w:sz w:val="24"/>
                <w:szCs w:val="24"/>
                <w:lang w:val="en-US"/>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B9003C3" w14:textId="77777777" w:rsidR="00B93E61" w:rsidRDefault="00B93E61" w:rsidP="00B93E61">
            <w:pPr>
              <w:rPr>
                <w:b/>
                <w:bCs/>
                <w:color w:val="172B4D"/>
              </w:rPr>
            </w:pPr>
            <w:proofErr w:type="spellStart"/>
            <w:r>
              <w:rPr>
                <w:b/>
                <w:bCs/>
                <w:color w:val="172B4D"/>
              </w:rPr>
              <w:t>Findable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EECFD53" w14:textId="77777777" w:rsidR="00B93E61" w:rsidRDefault="00B93E61" w:rsidP="00B93E61">
            <w:pPr>
              <w:rPr>
                <w:b/>
                <w:bCs/>
                <w:color w:val="172B4D"/>
              </w:rPr>
            </w:pPr>
            <w:proofErr w:type="spellStart"/>
            <w:r>
              <w:rPr>
                <w:b/>
                <w:bCs/>
                <w:color w:val="172B4D"/>
              </w:rPr>
              <w:t>Accessible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4BF1671" w14:textId="77777777" w:rsidR="00B93E61" w:rsidRDefault="00B93E61" w:rsidP="00B93E61">
            <w:pPr>
              <w:rPr>
                <w:b/>
                <w:bCs/>
                <w:color w:val="172B4D"/>
              </w:rPr>
            </w:pPr>
            <w:proofErr w:type="spellStart"/>
            <w:r>
              <w:rPr>
                <w:b/>
                <w:bCs/>
                <w:color w:val="172B4D"/>
              </w:rPr>
              <w:t>Interoperable</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1CCDD38" w14:textId="77777777" w:rsidR="00B93E61" w:rsidRDefault="00B93E61" w:rsidP="00B93E61">
            <w:pPr>
              <w:rPr>
                <w:b/>
                <w:bCs/>
                <w:color w:val="172B4D"/>
              </w:rPr>
            </w:pPr>
            <w:proofErr w:type="spellStart"/>
            <w:r>
              <w:rPr>
                <w:b/>
                <w:bCs/>
                <w:color w:val="172B4D"/>
              </w:rPr>
              <w:t>Reusable</w:t>
            </w:r>
            <w:proofErr w:type="spellEnd"/>
          </w:p>
        </w:tc>
      </w:tr>
      <w:tr w:rsidR="00B93E61" w14:paraId="4DFCFC90" w14:textId="77777777" w:rsidTr="00B93E61">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4864D4E" w14:textId="77777777" w:rsidR="00B93E61" w:rsidRDefault="00B93E61">
            <w:pPr>
              <w:rPr>
                <w:b/>
                <w:bCs/>
                <w:color w:val="172B4D"/>
              </w:rPr>
            </w:pPr>
            <w:proofErr w:type="spellStart"/>
            <w:r>
              <w:rPr>
                <w:b/>
                <w:bCs/>
                <w:color w:val="172B4D"/>
              </w:rPr>
              <w:t>Passed</w:t>
            </w:r>
            <w:proofErr w:type="spellEnd"/>
            <w:r>
              <w:rPr>
                <w:b/>
                <w:bCs/>
                <w:color w:val="172B4D"/>
              </w:rPr>
              <w:t xml:space="preserve"> RDA </w:t>
            </w:r>
            <w:proofErr w:type="spellStart"/>
            <w:r>
              <w:rPr>
                <w:b/>
                <w:bCs/>
                <w:color w:val="172B4D"/>
              </w:rPr>
              <w:t>indicators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509A8E" w14:textId="77777777" w:rsidR="00B93E61" w:rsidRDefault="00B93E61">
            <w:r>
              <w:t>7 / 7</w:t>
            </w:r>
            <w:r>
              <w:br/>
            </w:r>
            <w:proofErr w:type="spellStart"/>
            <w:r>
              <w:t>Fully</w:t>
            </w:r>
            <w:proofErr w:type="spellEnd"/>
            <w:r>
              <w:t xml:space="preserve"> </w:t>
            </w:r>
            <w:proofErr w:type="spellStart"/>
            <w:r>
              <w:t>implemented</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45FEAC" w14:textId="77777777" w:rsidR="00B93E61" w:rsidRDefault="00B93E61">
            <w:pPr>
              <w:pStyle w:val="NormaleWeb"/>
              <w:spacing w:before="0" w:beforeAutospacing="0" w:after="0" w:afterAutospacing="0"/>
            </w:pPr>
            <w:r>
              <w:t>11 / 12</w:t>
            </w:r>
            <w:r>
              <w:br/>
            </w:r>
            <w:proofErr w:type="spellStart"/>
            <w:r>
              <w:t>Fully</w:t>
            </w:r>
            <w:proofErr w:type="spellEnd"/>
            <w:r>
              <w:t xml:space="preserve"> </w:t>
            </w:r>
            <w:proofErr w:type="spellStart"/>
            <w:r>
              <w:t>implemented</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47D217" w14:textId="77777777" w:rsidR="00B93E61" w:rsidRDefault="00B93E61">
            <w:r>
              <w:t>3 / 12</w:t>
            </w:r>
            <w:r>
              <w:br/>
              <w:t>Not/</w:t>
            </w:r>
            <w:proofErr w:type="spellStart"/>
            <w:r>
              <w:t>partly</w:t>
            </w:r>
            <w:proofErr w:type="spellEnd"/>
            <w:r>
              <w:t xml:space="preserve"> </w:t>
            </w:r>
            <w:proofErr w:type="spellStart"/>
            <w:r>
              <w:t>implemented</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53B2BE" w14:textId="77777777" w:rsidR="00B93E61" w:rsidRDefault="00B93E61">
            <w:r>
              <w:t>2 / 10</w:t>
            </w:r>
            <w:r>
              <w:br/>
              <w:t>Not/</w:t>
            </w:r>
            <w:proofErr w:type="spellStart"/>
            <w:r>
              <w:t>partly</w:t>
            </w:r>
            <w:proofErr w:type="spellEnd"/>
            <w:r>
              <w:t xml:space="preserve"> </w:t>
            </w:r>
            <w:proofErr w:type="spellStart"/>
            <w:r>
              <w:t>implemented</w:t>
            </w:r>
            <w:proofErr w:type="spellEnd"/>
          </w:p>
        </w:tc>
      </w:tr>
      <w:tr w:rsidR="00B93E61" w:rsidRPr="00875A72" w14:paraId="676E0C7D" w14:textId="77777777" w:rsidTr="00B93E61">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D71FC79" w14:textId="77777777" w:rsidR="00B93E61" w:rsidRDefault="00B93E61">
            <w:pPr>
              <w:rPr>
                <w:b/>
                <w:bCs/>
                <w:color w:val="172B4D"/>
              </w:rPr>
            </w:pPr>
            <w:proofErr w:type="spellStart"/>
            <w:r>
              <w:rPr>
                <w:b/>
                <w:bCs/>
                <w:color w:val="172B4D"/>
              </w:rPr>
              <w:t>Positives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EF97D5" w14:textId="77777777" w:rsidR="00B93E61" w:rsidRPr="00B93E61" w:rsidRDefault="00B93E61" w:rsidP="00B93E61">
            <w:pPr>
              <w:numPr>
                <w:ilvl w:val="0"/>
                <w:numId w:val="18"/>
              </w:numPr>
              <w:spacing w:before="100" w:beforeAutospacing="1" w:after="100" w:afterAutospacing="1" w:line="240" w:lineRule="auto"/>
              <w:rPr>
                <w:lang w:val="en-US"/>
              </w:rPr>
            </w:pPr>
            <w:r w:rsidRPr="00B93E61">
              <w:rPr>
                <w:lang w:val="en-US"/>
              </w:rPr>
              <w:t>(Meta)data are findable through a globally unique DOI</w:t>
            </w:r>
          </w:p>
          <w:p w14:paraId="3AA0932E" w14:textId="77777777" w:rsidR="00B93E61" w:rsidRPr="00B93E61" w:rsidRDefault="00B93E61" w:rsidP="00B93E61">
            <w:pPr>
              <w:numPr>
                <w:ilvl w:val="0"/>
                <w:numId w:val="18"/>
              </w:numPr>
              <w:spacing w:before="100" w:beforeAutospacing="1" w:after="100" w:afterAutospacing="1" w:line="240" w:lineRule="auto"/>
              <w:rPr>
                <w:lang w:val="en-US"/>
              </w:rPr>
            </w:pPr>
            <w:r w:rsidRPr="00B93E61">
              <w:rPr>
                <w:lang w:val="en-US"/>
              </w:rPr>
              <w:t>Metadata includes data access instructions and license information</w:t>
            </w:r>
          </w:p>
          <w:p w14:paraId="3D3B2C85" w14:textId="77777777" w:rsidR="00B93E61" w:rsidRPr="00B93E61" w:rsidRDefault="00B93E61" w:rsidP="00B93E61">
            <w:pPr>
              <w:numPr>
                <w:ilvl w:val="0"/>
                <w:numId w:val="18"/>
              </w:numPr>
              <w:spacing w:before="100" w:beforeAutospacing="1" w:after="100" w:afterAutospacing="1" w:line="240" w:lineRule="auto"/>
              <w:rPr>
                <w:lang w:val="en-US"/>
              </w:rPr>
            </w:pPr>
            <w:r w:rsidRPr="00B93E61">
              <w:rPr>
                <w:lang w:val="en-US"/>
              </w:rPr>
              <w:t>Metadata is findable through a search engine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27B7DF" w14:textId="77777777" w:rsidR="00B93E61" w:rsidRDefault="00B93E61" w:rsidP="00B93E61">
            <w:pPr>
              <w:numPr>
                <w:ilvl w:val="0"/>
                <w:numId w:val="19"/>
              </w:numPr>
              <w:spacing w:before="100" w:beforeAutospacing="1" w:after="100" w:afterAutospacing="1" w:line="240" w:lineRule="auto"/>
            </w:pPr>
            <w:r>
              <w:t xml:space="preserve">Clear data access </w:t>
            </w:r>
            <w:proofErr w:type="spellStart"/>
            <w:r>
              <w:t>instructions</w:t>
            </w:r>
            <w:proofErr w:type="spellEnd"/>
          </w:p>
          <w:p w14:paraId="68C59969" w14:textId="77777777" w:rsidR="00B93E61" w:rsidRPr="00B93E61" w:rsidRDefault="00B93E61" w:rsidP="00B93E61">
            <w:pPr>
              <w:numPr>
                <w:ilvl w:val="0"/>
                <w:numId w:val="19"/>
              </w:numPr>
              <w:spacing w:before="100" w:beforeAutospacing="1" w:after="100" w:afterAutospacing="1" w:line="240" w:lineRule="auto"/>
              <w:rPr>
                <w:lang w:val="en-US"/>
              </w:rPr>
            </w:pPr>
            <w:r w:rsidRPr="00B93E61">
              <w:rPr>
                <w:lang w:val="en-US"/>
              </w:rPr>
              <w:t>(Meta)data can be accessed manually</w:t>
            </w:r>
          </w:p>
          <w:p w14:paraId="7F9B4235" w14:textId="77777777" w:rsidR="00B93E61" w:rsidRDefault="00B93E61" w:rsidP="00B93E61">
            <w:pPr>
              <w:numPr>
                <w:ilvl w:val="0"/>
                <w:numId w:val="19"/>
              </w:numPr>
              <w:spacing w:before="100" w:beforeAutospacing="1" w:after="100" w:afterAutospacing="1" w:line="240" w:lineRule="auto"/>
            </w:pPr>
            <w:proofErr w:type="spellStart"/>
            <w:r>
              <w:t>Resolvable</w:t>
            </w:r>
            <w:proofErr w:type="spellEnd"/>
            <w:r>
              <w:t xml:space="preserve"> </w:t>
            </w:r>
            <w:proofErr w:type="spellStart"/>
            <w:r>
              <w:t>identifiers</w:t>
            </w:r>
            <w:proofErr w:type="spellEnd"/>
            <w:r>
              <w:t xml:space="preserve"> for (meta)data</w:t>
            </w:r>
          </w:p>
          <w:p w14:paraId="0247EF22" w14:textId="77777777" w:rsidR="00B93E61" w:rsidRPr="00B93E61" w:rsidRDefault="00B93E61" w:rsidP="00B93E61">
            <w:pPr>
              <w:numPr>
                <w:ilvl w:val="0"/>
                <w:numId w:val="19"/>
              </w:numPr>
              <w:spacing w:before="100" w:beforeAutospacing="1" w:after="100" w:afterAutospacing="1" w:line="240" w:lineRule="auto"/>
              <w:rPr>
                <w:lang w:val="en-US"/>
              </w:rPr>
            </w:pPr>
            <w:r w:rsidRPr="00B93E61">
              <w:rPr>
                <w:lang w:val="en-US"/>
              </w:rPr>
              <w:t>HTTP/HTTP GET for (meta)data access</w:t>
            </w:r>
          </w:p>
          <w:p w14:paraId="1CAD92D7" w14:textId="77777777" w:rsidR="00B93E61" w:rsidRPr="00B93E61" w:rsidRDefault="00B93E61" w:rsidP="00B93E61">
            <w:pPr>
              <w:numPr>
                <w:ilvl w:val="0"/>
                <w:numId w:val="19"/>
              </w:numPr>
              <w:spacing w:before="100" w:beforeAutospacing="1" w:after="100" w:afterAutospacing="1" w:line="240" w:lineRule="auto"/>
              <w:rPr>
                <w:lang w:val="en-US"/>
              </w:rPr>
            </w:pPr>
            <w:r w:rsidRPr="00B93E61">
              <w:rPr>
                <w:lang w:val="en-US"/>
              </w:rPr>
              <w:t xml:space="preserve">Authentication and authorization through </w:t>
            </w:r>
            <w:proofErr w:type="spellStart"/>
            <w:r w:rsidRPr="00B93E61">
              <w:rPr>
                <w:lang w:val="en-US"/>
              </w:rPr>
              <w:t>PhysioNet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E71162" w14:textId="77777777" w:rsidR="00B93E61" w:rsidRDefault="00B93E61" w:rsidP="00B93E61">
            <w:pPr>
              <w:numPr>
                <w:ilvl w:val="0"/>
                <w:numId w:val="20"/>
              </w:numPr>
              <w:spacing w:before="100" w:beforeAutospacing="1" w:after="100" w:afterAutospacing="1" w:line="240" w:lineRule="auto"/>
            </w:pPr>
            <w:r>
              <w:t xml:space="preserve">Data </w:t>
            </w:r>
            <w:proofErr w:type="spellStart"/>
            <w:r>
              <w:t>available</w:t>
            </w:r>
            <w:proofErr w:type="spellEnd"/>
            <w:r>
              <w:t xml:space="preserve"> </w:t>
            </w:r>
            <w:proofErr w:type="spellStart"/>
            <w:r>
              <w:t>as</w:t>
            </w:r>
            <w:proofErr w:type="spellEnd"/>
            <w:r>
              <w:t xml:space="preserve"> CSV files</w:t>
            </w:r>
          </w:p>
          <w:p w14:paraId="4092ADD3" w14:textId="77777777" w:rsidR="00B93E61" w:rsidRPr="00B93E61" w:rsidRDefault="00B93E61" w:rsidP="00B93E61">
            <w:pPr>
              <w:numPr>
                <w:ilvl w:val="0"/>
                <w:numId w:val="20"/>
              </w:numPr>
              <w:spacing w:before="100" w:beforeAutospacing="1" w:after="100" w:afterAutospacing="1" w:line="240" w:lineRule="auto"/>
              <w:rPr>
                <w:lang w:val="en-US"/>
              </w:rPr>
            </w:pPr>
            <w:r w:rsidRPr="00B93E61">
              <w:rPr>
                <w:lang w:val="en-US"/>
              </w:rPr>
              <w:t>Metadata refers to and qualifies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234D98" w14:textId="77777777" w:rsidR="00B93E61" w:rsidRDefault="00B93E61" w:rsidP="00B93E61">
            <w:pPr>
              <w:numPr>
                <w:ilvl w:val="0"/>
                <w:numId w:val="21"/>
              </w:numPr>
              <w:spacing w:before="100" w:beforeAutospacing="1" w:after="100" w:afterAutospacing="1" w:line="240" w:lineRule="auto"/>
            </w:pPr>
            <w:r>
              <w:t xml:space="preserve">Metadata </w:t>
            </w:r>
            <w:proofErr w:type="spellStart"/>
            <w:r>
              <w:t>contains</w:t>
            </w:r>
            <w:proofErr w:type="spellEnd"/>
            <w:r>
              <w:t xml:space="preserve"> </w:t>
            </w:r>
            <w:proofErr w:type="spellStart"/>
            <w:r>
              <w:t>license</w:t>
            </w:r>
            <w:proofErr w:type="spellEnd"/>
            <w:r>
              <w:t xml:space="preserve"> information</w:t>
            </w:r>
          </w:p>
          <w:p w14:paraId="2364A72C" w14:textId="77777777" w:rsidR="00B93E61" w:rsidRPr="00B93E61" w:rsidRDefault="00B93E61" w:rsidP="00B93E61">
            <w:pPr>
              <w:numPr>
                <w:ilvl w:val="0"/>
                <w:numId w:val="21"/>
              </w:numPr>
              <w:spacing w:before="100" w:beforeAutospacing="1" w:after="100" w:afterAutospacing="1" w:line="240" w:lineRule="auto"/>
              <w:rPr>
                <w:lang w:val="en-US"/>
              </w:rPr>
            </w:pPr>
            <w:r w:rsidRPr="00B93E61">
              <w:rPr>
                <w:lang w:val="en-US"/>
              </w:rPr>
              <w:t>Data are expressed in compliance with a machine-</w:t>
            </w:r>
            <w:r w:rsidRPr="00B93E61">
              <w:rPr>
                <w:lang w:val="en-US"/>
              </w:rPr>
              <w:br/>
              <w:t>understandable standard (CSV)</w:t>
            </w:r>
          </w:p>
        </w:tc>
      </w:tr>
      <w:tr w:rsidR="00B93E61" w:rsidRPr="00875A72" w14:paraId="4B6AF9F4" w14:textId="77777777" w:rsidTr="00B93E61">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3E1F885" w14:textId="77777777" w:rsidR="00B93E61" w:rsidRDefault="00B93E61">
            <w:pPr>
              <w:spacing w:after="0"/>
              <w:rPr>
                <w:b/>
                <w:bCs/>
                <w:color w:val="172B4D"/>
              </w:rPr>
            </w:pPr>
            <w:proofErr w:type="spellStart"/>
            <w:r>
              <w:rPr>
                <w:b/>
                <w:bCs/>
                <w:color w:val="172B4D"/>
              </w:rPr>
              <w:t>Negatives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07C961" w14:textId="77777777" w:rsidR="00B93E61" w:rsidRDefault="00B93E6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C55785" w14:textId="77777777" w:rsidR="00B93E61" w:rsidRPr="00B93E61" w:rsidRDefault="00B93E61" w:rsidP="00B93E61">
            <w:pPr>
              <w:numPr>
                <w:ilvl w:val="0"/>
                <w:numId w:val="22"/>
              </w:numPr>
              <w:spacing w:before="100" w:beforeAutospacing="1" w:after="100" w:afterAutospacing="1" w:line="240" w:lineRule="auto"/>
              <w:rPr>
                <w:lang w:val="en-US"/>
              </w:rPr>
            </w:pPr>
            <w:r w:rsidRPr="00B93E61">
              <w:rPr>
                <w:lang w:val="en-US"/>
              </w:rPr>
              <w:t xml:space="preserve">No guarantee or mention that </w:t>
            </w:r>
            <w:r w:rsidRPr="00B93E61">
              <w:rPr>
                <w:lang w:val="en-US"/>
              </w:rPr>
              <w:lastRenderedPageBreak/>
              <w:t>metadata will stay available</w:t>
            </w:r>
            <w:r w:rsidRPr="00B93E61">
              <w:rPr>
                <w:lang w:val="en-US"/>
              </w:rPr>
              <w:br/>
              <w:t>when the data is no longer 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BB5586" w14:textId="77777777" w:rsidR="00B93E61" w:rsidRPr="00B93E61" w:rsidRDefault="00B93E61" w:rsidP="00B93E61">
            <w:pPr>
              <w:numPr>
                <w:ilvl w:val="0"/>
                <w:numId w:val="23"/>
              </w:numPr>
              <w:spacing w:before="100" w:beforeAutospacing="1" w:after="100" w:afterAutospacing="1" w:line="240" w:lineRule="auto"/>
              <w:rPr>
                <w:lang w:val="en-US"/>
              </w:rPr>
            </w:pPr>
            <w:r w:rsidRPr="00B93E61">
              <w:rPr>
                <w:lang w:val="en-US"/>
              </w:rPr>
              <w:lastRenderedPageBreak/>
              <w:t xml:space="preserve">(Meta)data don't use FAIR-compliant </w:t>
            </w:r>
            <w:r w:rsidRPr="00B93E61">
              <w:rPr>
                <w:lang w:val="en-US"/>
              </w:rPr>
              <w:lastRenderedPageBreak/>
              <w:t>vocabularies</w:t>
            </w:r>
            <w:r w:rsidRPr="00B93E61">
              <w:rPr>
                <w:lang w:val="en-US"/>
              </w:rPr>
              <w:br/>
              <w:t>for annotating data semantics</w:t>
            </w:r>
          </w:p>
          <w:p w14:paraId="7ECC9EBD" w14:textId="77777777" w:rsidR="00B93E61" w:rsidRPr="00B93E61" w:rsidRDefault="00B93E61" w:rsidP="00B93E61">
            <w:pPr>
              <w:numPr>
                <w:ilvl w:val="0"/>
                <w:numId w:val="23"/>
              </w:numPr>
              <w:spacing w:before="100" w:beforeAutospacing="1" w:after="100" w:afterAutospacing="1" w:line="240" w:lineRule="auto"/>
              <w:rPr>
                <w:lang w:val="en-US"/>
              </w:rPr>
            </w:pPr>
            <w:r w:rsidRPr="00B93E61">
              <w:rPr>
                <w:lang w:val="en-US"/>
              </w:rPr>
              <w:t xml:space="preserve">(Meta)data don't use a </w:t>
            </w:r>
            <w:proofErr w:type="spellStart"/>
            <w:r w:rsidRPr="00B93E61">
              <w:rPr>
                <w:lang w:val="en-US"/>
              </w:rPr>
              <w:t>standardised</w:t>
            </w:r>
            <w:proofErr w:type="spellEnd"/>
            <w:r w:rsidRPr="00B93E61">
              <w:rPr>
                <w:lang w:val="en-US"/>
              </w:rPr>
              <w:t xml:space="preserve"> format for </w:t>
            </w:r>
            <w:r w:rsidRPr="00B93E61">
              <w:rPr>
                <w:lang w:val="en-US"/>
              </w:rPr>
              <w:br/>
              <w:t>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F2A72F" w14:textId="77777777" w:rsidR="00B93E61" w:rsidRPr="00B93E61" w:rsidRDefault="00B93E61" w:rsidP="00B93E61">
            <w:pPr>
              <w:numPr>
                <w:ilvl w:val="0"/>
                <w:numId w:val="24"/>
              </w:numPr>
              <w:spacing w:before="100" w:beforeAutospacing="1" w:after="100" w:afterAutospacing="1" w:line="240" w:lineRule="auto"/>
              <w:rPr>
                <w:lang w:val="en-US"/>
              </w:rPr>
            </w:pPr>
            <w:r w:rsidRPr="00B93E61">
              <w:rPr>
                <w:lang w:val="en-US"/>
              </w:rPr>
              <w:lastRenderedPageBreak/>
              <w:t>No standard or machine-understandable reuse</w:t>
            </w:r>
            <w:r w:rsidRPr="00B93E61">
              <w:rPr>
                <w:lang w:val="en-US"/>
              </w:rPr>
              <w:br/>
            </w:r>
            <w:r w:rsidRPr="00B93E61">
              <w:rPr>
                <w:lang w:val="en-US"/>
              </w:rPr>
              <w:lastRenderedPageBreak/>
              <w:t>license (</w:t>
            </w:r>
            <w:proofErr w:type="spellStart"/>
            <w:r w:rsidRPr="00B93E61">
              <w:rPr>
                <w:lang w:val="en-US"/>
              </w:rPr>
              <w:t>PhysioNet</w:t>
            </w:r>
            <w:proofErr w:type="spellEnd"/>
            <w:r w:rsidRPr="00B93E61">
              <w:rPr>
                <w:lang w:val="en-US"/>
              </w:rPr>
              <w:t xml:space="preserve"> license, free-text)</w:t>
            </w:r>
          </w:p>
          <w:p w14:paraId="1A04668E" w14:textId="77777777" w:rsidR="00B93E61" w:rsidRDefault="00B93E61" w:rsidP="00B93E61">
            <w:pPr>
              <w:numPr>
                <w:ilvl w:val="0"/>
                <w:numId w:val="24"/>
              </w:numPr>
              <w:spacing w:before="100" w:beforeAutospacing="1" w:after="100" w:afterAutospacing="1" w:line="240" w:lineRule="auto"/>
            </w:pPr>
            <w:r>
              <w:t xml:space="preserve">Metadata </w:t>
            </w:r>
            <w:proofErr w:type="spellStart"/>
            <w:r>
              <w:t>doesn't</w:t>
            </w:r>
            <w:proofErr w:type="spellEnd"/>
            <w:r>
              <w:t xml:space="preserve"> include </w:t>
            </w:r>
            <w:proofErr w:type="spellStart"/>
            <w:r>
              <w:t>provenance</w:t>
            </w:r>
            <w:proofErr w:type="spellEnd"/>
            <w:r>
              <w:t xml:space="preserve"> information</w:t>
            </w:r>
          </w:p>
          <w:p w14:paraId="35DF1D12" w14:textId="77777777" w:rsidR="00B93E61" w:rsidRPr="00B93E61" w:rsidRDefault="00B93E61" w:rsidP="00B93E61">
            <w:pPr>
              <w:numPr>
                <w:ilvl w:val="0"/>
                <w:numId w:val="24"/>
              </w:numPr>
              <w:spacing w:before="100" w:beforeAutospacing="1" w:after="100" w:afterAutospacing="1" w:line="240" w:lineRule="auto"/>
              <w:rPr>
                <w:lang w:val="en-US"/>
              </w:rPr>
            </w:pPr>
            <w:r w:rsidRPr="00B93E61">
              <w:rPr>
                <w:lang w:val="en-US"/>
              </w:rPr>
              <w:t>(Meta)data don't comply with a community standard</w:t>
            </w:r>
            <w:r w:rsidRPr="00B93E61">
              <w:rPr>
                <w:lang w:val="en-US"/>
              </w:rPr>
              <w:br/>
              <w:t>(ongoing efforts to use OMOP CDM)</w:t>
            </w:r>
          </w:p>
        </w:tc>
      </w:tr>
    </w:tbl>
    <w:p w14:paraId="6203EB3E" w14:textId="77777777" w:rsidR="00B93E61" w:rsidRPr="00B93E61" w:rsidRDefault="00B93E61" w:rsidP="00B93E61">
      <w:pPr>
        <w:pStyle w:val="NormaleWeb"/>
        <w:shd w:val="clear" w:color="auto" w:fill="FFFFFF"/>
        <w:spacing w:before="150" w:beforeAutospacing="0" w:after="0" w:afterAutospacing="0"/>
        <w:rPr>
          <w:rFonts w:ascii="Segoe UI" w:hAnsi="Segoe UI" w:cs="Segoe UI"/>
          <w:color w:val="172B4D"/>
          <w:sz w:val="21"/>
          <w:szCs w:val="21"/>
          <w:lang w:val="en-US"/>
        </w:rPr>
      </w:pPr>
    </w:p>
    <w:p w14:paraId="4B648F0D" w14:textId="77777777" w:rsidR="00B93E61" w:rsidRPr="0087475A" w:rsidRDefault="00B93E61" w:rsidP="001136BA">
      <w:pPr>
        <w:pStyle w:val="Titolo3"/>
        <w:rPr>
          <w:lang w:val="en-US"/>
        </w:rPr>
      </w:pPr>
      <w:r w:rsidRPr="0087475A">
        <w:rPr>
          <w:rStyle w:val="Enfasigrassetto"/>
          <w:b w:val="0"/>
          <w:bCs w:val="0"/>
          <w:lang w:val="en-US"/>
        </w:rPr>
        <w:t>FHIR implementation</w:t>
      </w:r>
    </w:p>
    <w:p w14:paraId="6BD0C448" w14:textId="77777777" w:rsidR="00B93E61" w:rsidRDefault="00B93E61" w:rsidP="00B93E61">
      <w:pPr>
        <w:pStyle w:val="NormaleWeb"/>
        <w:shd w:val="clear" w:color="auto" w:fill="FFFFFF"/>
        <w:spacing w:before="150" w:beforeAutospacing="0" w:after="0" w:afterAutospacing="0"/>
        <w:rPr>
          <w:rFonts w:ascii="Segoe UI" w:hAnsi="Segoe UI" w:cs="Segoe UI"/>
          <w:color w:val="172B4D"/>
          <w:sz w:val="21"/>
          <w:szCs w:val="21"/>
        </w:rPr>
      </w:pPr>
      <w:r w:rsidRPr="00B93E61">
        <w:rPr>
          <w:rFonts w:ascii="Segoe UI" w:hAnsi="Segoe UI" w:cs="Segoe UI"/>
          <w:color w:val="172B4D"/>
          <w:sz w:val="21"/>
          <w:szCs w:val="21"/>
          <w:lang w:val="en-US"/>
        </w:rPr>
        <w:t>By using FHIR we want to improve the machine-readability/interoperability/</w:t>
      </w:r>
      <w:proofErr w:type="spellStart"/>
      <w:r w:rsidRPr="00B93E61">
        <w:rPr>
          <w:rFonts w:ascii="Segoe UI" w:hAnsi="Segoe UI" w:cs="Segoe UI"/>
          <w:color w:val="172B4D"/>
          <w:sz w:val="21"/>
          <w:szCs w:val="21"/>
          <w:lang w:val="en-US"/>
        </w:rPr>
        <w:t>FAIRness</w:t>
      </w:r>
      <w:proofErr w:type="spellEnd"/>
      <w:r w:rsidRPr="00B93E61">
        <w:rPr>
          <w:rFonts w:ascii="Segoe UI" w:hAnsi="Segoe UI" w:cs="Segoe UI"/>
          <w:color w:val="172B4D"/>
          <w:sz w:val="21"/>
          <w:szCs w:val="21"/>
          <w:lang w:val="en-US"/>
        </w:rPr>
        <w:t xml:space="preserve"> of the MIMIC-ED dataset. </w:t>
      </w:r>
      <w:proofErr w:type="spellStart"/>
      <w:r>
        <w:rPr>
          <w:rFonts w:ascii="Segoe UI" w:hAnsi="Segoe UI" w:cs="Segoe UI"/>
          <w:color w:val="172B4D"/>
          <w:sz w:val="21"/>
          <w:szCs w:val="21"/>
        </w:rPr>
        <w:t>We</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took</w:t>
      </w:r>
      <w:proofErr w:type="spellEnd"/>
      <w:r>
        <w:rPr>
          <w:rFonts w:ascii="Segoe UI" w:hAnsi="Segoe UI" w:cs="Segoe UI"/>
          <w:color w:val="172B4D"/>
          <w:sz w:val="21"/>
          <w:szCs w:val="21"/>
        </w:rPr>
        <w:t xml:space="preserve"> the following steps. </w:t>
      </w:r>
    </w:p>
    <w:p w14:paraId="4306E0D6" w14:textId="77777777" w:rsidR="00B93E61" w:rsidRPr="00B93E61" w:rsidRDefault="00B93E61" w:rsidP="00B93E61">
      <w:pPr>
        <w:numPr>
          <w:ilvl w:val="0"/>
          <w:numId w:val="25"/>
        </w:numPr>
        <w:shd w:val="clear" w:color="auto" w:fill="FFFFFF"/>
        <w:spacing w:before="100" w:beforeAutospacing="1" w:after="100" w:afterAutospacing="1" w:line="240" w:lineRule="auto"/>
        <w:rPr>
          <w:rFonts w:ascii="Segoe UI" w:hAnsi="Segoe UI" w:cs="Segoe UI"/>
          <w:color w:val="172B4D"/>
          <w:sz w:val="21"/>
          <w:szCs w:val="21"/>
          <w:lang w:val="en-US"/>
        </w:rPr>
      </w:pPr>
      <w:r w:rsidRPr="00B93E61">
        <w:rPr>
          <w:rFonts w:ascii="Segoe UI" w:hAnsi="Segoe UI" w:cs="Segoe UI"/>
          <w:color w:val="172B4D"/>
          <w:sz w:val="21"/>
          <w:szCs w:val="21"/>
          <w:lang w:val="en-US"/>
        </w:rPr>
        <w:t xml:space="preserve">Model the data and metadata conforming the FHIR data model (using the Patient, Encounter, Condition, </w:t>
      </w:r>
      <w:proofErr w:type="spellStart"/>
      <w:r w:rsidRPr="00B93E61">
        <w:rPr>
          <w:rFonts w:ascii="Segoe UI" w:hAnsi="Segoe UI" w:cs="Segoe UI"/>
          <w:color w:val="172B4D"/>
          <w:sz w:val="21"/>
          <w:szCs w:val="21"/>
          <w:lang w:val="en-US"/>
        </w:rPr>
        <w:t>MedicationStatement</w:t>
      </w:r>
      <w:proofErr w:type="spellEnd"/>
      <w:r w:rsidRPr="00B93E61">
        <w:rPr>
          <w:rFonts w:ascii="Segoe UI" w:hAnsi="Segoe UI" w:cs="Segoe UI"/>
          <w:color w:val="172B4D"/>
          <w:sz w:val="21"/>
          <w:szCs w:val="21"/>
          <w:lang w:val="en-US"/>
        </w:rPr>
        <w:t xml:space="preserve">, </w:t>
      </w:r>
      <w:proofErr w:type="spellStart"/>
      <w:r w:rsidRPr="00B93E61">
        <w:rPr>
          <w:rFonts w:ascii="Segoe UI" w:hAnsi="Segoe UI" w:cs="Segoe UI"/>
          <w:color w:val="172B4D"/>
          <w:sz w:val="21"/>
          <w:szCs w:val="21"/>
          <w:lang w:val="en-US"/>
        </w:rPr>
        <w:t>MedicationDispense</w:t>
      </w:r>
      <w:proofErr w:type="spellEnd"/>
      <w:r w:rsidRPr="00B93E61">
        <w:rPr>
          <w:rFonts w:ascii="Segoe UI" w:hAnsi="Segoe UI" w:cs="Segoe UI"/>
          <w:color w:val="172B4D"/>
          <w:sz w:val="21"/>
          <w:szCs w:val="21"/>
          <w:lang w:val="en-US"/>
        </w:rPr>
        <w:t>, Observation, and Procedure resources)</w:t>
      </w:r>
    </w:p>
    <w:p w14:paraId="79EC541F" w14:textId="77777777" w:rsidR="00B93E61" w:rsidRPr="00B93E61" w:rsidRDefault="00B93E61" w:rsidP="00B93E61">
      <w:pPr>
        <w:numPr>
          <w:ilvl w:val="0"/>
          <w:numId w:val="25"/>
        </w:numPr>
        <w:shd w:val="clear" w:color="auto" w:fill="FFFFFF"/>
        <w:spacing w:before="100" w:beforeAutospacing="1" w:after="100" w:afterAutospacing="1" w:line="240" w:lineRule="auto"/>
        <w:rPr>
          <w:rFonts w:ascii="Segoe UI" w:hAnsi="Segoe UI" w:cs="Segoe UI"/>
          <w:color w:val="172B4D"/>
          <w:sz w:val="21"/>
          <w:szCs w:val="21"/>
          <w:lang w:val="en-US"/>
        </w:rPr>
      </w:pPr>
      <w:r w:rsidRPr="00B93E61">
        <w:rPr>
          <w:rFonts w:ascii="Segoe UI" w:hAnsi="Segoe UI" w:cs="Segoe UI"/>
          <w:color w:val="172B4D"/>
          <w:sz w:val="21"/>
          <w:szCs w:val="21"/>
          <w:lang w:val="en-US"/>
        </w:rPr>
        <w:t>Set up a FHIR facade server that can serve the (meta)data via the FHIR REST API</w:t>
      </w:r>
    </w:p>
    <w:p w14:paraId="7A64160E" w14:textId="77777777" w:rsidR="00B93E61" w:rsidRPr="00B93E61" w:rsidRDefault="00B93E61" w:rsidP="00B93E61">
      <w:pPr>
        <w:numPr>
          <w:ilvl w:val="0"/>
          <w:numId w:val="25"/>
        </w:numPr>
        <w:shd w:val="clear" w:color="auto" w:fill="FFFFFF"/>
        <w:spacing w:before="100" w:beforeAutospacing="1" w:after="100" w:afterAutospacing="1" w:line="240" w:lineRule="auto"/>
        <w:rPr>
          <w:rFonts w:ascii="Segoe UI" w:hAnsi="Segoe UI" w:cs="Segoe UI"/>
          <w:color w:val="172B4D"/>
          <w:sz w:val="21"/>
          <w:szCs w:val="21"/>
          <w:lang w:val="en-US"/>
        </w:rPr>
      </w:pPr>
      <w:r w:rsidRPr="00B93E61">
        <w:rPr>
          <w:rFonts w:ascii="Segoe UI" w:hAnsi="Segoe UI" w:cs="Segoe UI"/>
          <w:color w:val="172B4D"/>
          <w:sz w:val="21"/>
          <w:szCs w:val="21"/>
          <w:lang w:val="en-US"/>
        </w:rPr>
        <w:t>Enable SEARCH operations that allow queries such as “retrieve all ED stays of patient X” or “which patients were discharged from the ED with diagnose Y”</w:t>
      </w:r>
    </w:p>
    <w:p w14:paraId="6CAF0D65" w14:textId="77777777" w:rsidR="00B93E61" w:rsidRPr="00B93E61" w:rsidRDefault="00B93E61" w:rsidP="00B93E61">
      <w:pPr>
        <w:pStyle w:val="NormaleWeb"/>
        <w:shd w:val="clear" w:color="auto" w:fill="FFFFFF"/>
        <w:spacing w:before="150" w:beforeAutospacing="0" w:after="0" w:afterAutospacing="0"/>
        <w:rPr>
          <w:rFonts w:ascii="Segoe UI" w:hAnsi="Segoe UI" w:cs="Segoe UI"/>
          <w:color w:val="172B4D"/>
          <w:sz w:val="21"/>
          <w:szCs w:val="21"/>
          <w:lang w:val="en-US"/>
        </w:rPr>
      </w:pPr>
    </w:p>
    <w:p w14:paraId="12A1D4B4" w14:textId="5AE2C5B0" w:rsidR="00B93E61" w:rsidRDefault="00B93E61" w:rsidP="00B93E61">
      <w:pPr>
        <w:pStyle w:val="NormaleWeb"/>
        <w:shd w:val="clear" w:color="auto" w:fill="FFFFFF"/>
        <w:spacing w:before="150" w:beforeAutospacing="0" w:after="0" w:afterAutospacing="0"/>
        <w:rPr>
          <w:rFonts w:ascii="Segoe UI" w:hAnsi="Segoe UI" w:cs="Segoe UI"/>
          <w:color w:val="172B4D"/>
          <w:sz w:val="21"/>
          <w:szCs w:val="21"/>
        </w:rPr>
      </w:pPr>
      <w:r>
        <w:rPr>
          <w:rFonts w:ascii="Segoe UI" w:hAnsi="Segoe UI" w:cs="Segoe UI"/>
          <w:noProof/>
          <w:color w:val="172B4D"/>
          <w:sz w:val="21"/>
          <w:szCs w:val="21"/>
        </w:rPr>
        <w:drawing>
          <wp:inline distT="0" distB="0" distL="0" distR="0" wp14:anchorId="2BF00A4C" wp14:editId="17678DE6">
            <wp:extent cx="4127863" cy="1130348"/>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4097" cy="1134794"/>
                    </a:xfrm>
                    <a:prstGeom prst="rect">
                      <a:avLst/>
                    </a:prstGeom>
                    <a:noFill/>
                    <a:ln>
                      <a:noFill/>
                    </a:ln>
                  </pic:spPr>
                </pic:pic>
              </a:graphicData>
            </a:graphic>
          </wp:inline>
        </w:drawing>
      </w:r>
    </w:p>
    <w:p w14:paraId="6569BE5A" w14:textId="77777777" w:rsidR="00B93E61" w:rsidRPr="00B93E61" w:rsidRDefault="00B93E61" w:rsidP="00B93E61">
      <w:pPr>
        <w:pStyle w:val="NormaleWeb"/>
        <w:shd w:val="clear" w:color="auto" w:fill="FFFFFF"/>
        <w:spacing w:before="150" w:beforeAutospacing="0" w:after="0" w:afterAutospacing="0"/>
        <w:rPr>
          <w:rFonts w:ascii="Segoe UI" w:hAnsi="Segoe UI" w:cs="Segoe UI"/>
          <w:color w:val="172B4D"/>
          <w:sz w:val="21"/>
          <w:szCs w:val="21"/>
          <w:lang w:val="en-US"/>
        </w:rPr>
      </w:pPr>
      <w:r w:rsidRPr="00B93E61">
        <w:rPr>
          <w:rStyle w:val="Enfasigrassetto"/>
          <w:rFonts w:ascii="Segoe UI" w:hAnsi="Segoe UI" w:cs="Segoe UI"/>
          <w:color w:val="172B4D"/>
          <w:sz w:val="21"/>
          <w:szCs w:val="21"/>
          <w:lang w:val="en-US"/>
        </w:rPr>
        <w:t>Figure 2.</w:t>
      </w:r>
      <w:r w:rsidRPr="00B93E61">
        <w:rPr>
          <w:rFonts w:ascii="Segoe UI" w:hAnsi="Segoe UI" w:cs="Segoe UI"/>
          <w:color w:val="172B4D"/>
          <w:sz w:val="21"/>
          <w:szCs w:val="21"/>
          <w:lang w:val="en-US"/>
        </w:rPr>
        <w:t> </w:t>
      </w:r>
      <w:r w:rsidRPr="00B93E61">
        <w:rPr>
          <w:rStyle w:val="Enfasicorsivo"/>
          <w:rFonts w:ascii="Segoe UI" w:hAnsi="Segoe UI" w:cs="Segoe UI"/>
          <w:color w:val="172B4D"/>
          <w:sz w:val="21"/>
          <w:szCs w:val="21"/>
          <w:lang w:val="en-US"/>
        </w:rPr>
        <w:t>Exemplar implementation of a FHIR facade for serving MIMIC-ED data. </w:t>
      </w:r>
    </w:p>
    <w:p w14:paraId="4BC79E92" w14:textId="7116C8F2" w:rsidR="00EA42BA" w:rsidRPr="00B93E61" w:rsidRDefault="00EA42BA" w:rsidP="00B93E61">
      <w:pPr>
        <w:rPr>
          <w:lang w:val="en-US"/>
        </w:rPr>
      </w:pPr>
    </w:p>
    <w:sectPr w:rsidR="00EA42BA" w:rsidRPr="00B93E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3D0"/>
    <w:multiLevelType w:val="multilevel"/>
    <w:tmpl w:val="88E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AA7C31"/>
    <w:multiLevelType w:val="multilevel"/>
    <w:tmpl w:val="907E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857354"/>
    <w:multiLevelType w:val="multilevel"/>
    <w:tmpl w:val="67302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00258"/>
    <w:multiLevelType w:val="multilevel"/>
    <w:tmpl w:val="222C4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B338F"/>
    <w:multiLevelType w:val="multilevel"/>
    <w:tmpl w:val="8558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E566EA"/>
    <w:multiLevelType w:val="multilevel"/>
    <w:tmpl w:val="E73EF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F0351B1"/>
    <w:multiLevelType w:val="multilevel"/>
    <w:tmpl w:val="60F65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4552"/>
    <w:multiLevelType w:val="multilevel"/>
    <w:tmpl w:val="4FE0A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886613"/>
    <w:multiLevelType w:val="multilevel"/>
    <w:tmpl w:val="56546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7"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05454"/>
    <w:multiLevelType w:val="multilevel"/>
    <w:tmpl w:val="BDF2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E271302"/>
    <w:multiLevelType w:val="multilevel"/>
    <w:tmpl w:val="C1EE5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334011"/>
    <w:multiLevelType w:val="multilevel"/>
    <w:tmpl w:val="FA24E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8"/>
  </w:num>
  <w:num w:numId="4">
    <w:abstractNumId w:val="3"/>
  </w:num>
  <w:num w:numId="5">
    <w:abstractNumId w:val="11"/>
  </w:num>
  <w:num w:numId="6">
    <w:abstractNumId w:val="17"/>
  </w:num>
  <w:num w:numId="7">
    <w:abstractNumId w:val="1"/>
  </w:num>
  <w:num w:numId="8">
    <w:abstractNumId w:val="16"/>
  </w:num>
  <w:num w:numId="9">
    <w:abstractNumId w:val="21"/>
  </w:num>
  <w:num w:numId="10">
    <w:abstractNumId w:val="12"/>
  </w:num>
  <w:num w:numId="11">
    <w:abstractNumId w:val="22"/>
  </w:num>
  <w:num w:numId="12">
    <w:abstractNumId w:val="20"/>
  </w:num>
  <w:num w:numId="13">
    <w:abstractNumId w:val="14"/>
  </w:num>
  <w:num w:numId="14">
    <w:abstractNumId w:val="2"/>
  </w:num>
  <w:num w:numId="15">
    <w:abstractNumId w:val="19"/>
  </w:num>
  <w:num w:numId="16">
    <w:abstractNumId w:val="23"/>
  </w:num>
  <w:num w:numId="17">
    <w:abstractNumId w:val="6"/>
  </w:num>
  <w:num w:numId="18">
    <w:abstractNumId w:val="15"/>
  </w:num>
  <w:num w:numId="19">
    <w:abstractNumId w:val="4"/>
  </w:num>
  <w:num w:numId="20">
    <w:abstractNumId w:val="7"/>
  </w:num>
  <w:num w:numId="21">
    <w:abstractNumId w:val="24"/>
  </w:num>
  <w:num w:numId="22">
    <w:abstractNumId w:val="5"/>
  </w:num>
  <w:num w:numId="23">
    <w:abstractNumId w:val="10"/>
  </w:num>
  <w:num w:numId="24">
    <w:abstractNumId w:val="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136BA"/>
    <w:rsid w:val="001242CD"/>
    <w:rsid w:val="00126888"/>
    <w:rsid w:val="0012690E"/>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9264F"/>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7475A"/>
    <w:rsid w:val="00875A72"/>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4650E"/>
    <w:rsid w:val="00B543EB"/>
    <w:rsid w:val="00B73DD8"/>
    <w:rsid w:val="00B847A0"/>
    <w:rsid w:val="00B93E61"/>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paragraph" w:customStyle="1" w:styleId="page-metadata-modification-info">
    <w:name w:val="page-metadata-modification-info"/>
    <w:basedOn w:val="Normale"/>
    <w:rsid w:val="004926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uthor">
    <w:name w:val="author"/>
    <w:basedOn w:val="Carpredefinitoparagrafo"/>
    <w:rsid w:val="0049264F"/>
  </w:style>
  <w:style w:type="character" w:customStyle="1" w:styleId="editor">
    <w:name w:val="editor"/>
    <w:basedOn w:val="Carpredefinitoparagrafo"/>
    <w:rsid w:val="0049264F"/>
  </w:style>
  <w:style w:type="character" w:styleId="Enfasicorsivo">
    <w:name w:val="Emphasis"/>
    <w:basedOn w:val="Carpredefinitoparagrafo"/>
    <w:uiPriority w:val="20"/>
    <w:qFormat/>
    <w:rsid w:val="004926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50983398">
      <w:bodyDiv w:val="1"/>
      <w:marLeft w:val="0"/>
      <w:marRight w:val="0"/>
      <w:marTop w:val="0"/>
      <w:marBottom w:val="0"/>
      <w:divBdr>
        <w:top w:val="none" w:sz="0" w:space="0" w:color="auto"/>
        <w:left w:val="none" w:sz="0" w:space="0" w:color="auto"/>
        <w:bottom w:val="none" w:sz="0" w:space="0" w:color="auto"/>
        <w:right w:val="none" w:sz="0" w:space="0" w:color="auto"/>
      </w:divBdr>
      <w:divsChild>
        <w:div w:id="1477527017">
          <w:marLeft w:val="0"/>
          <w:marRight w:val="0"/>
          <w:marTop w:val="0"/>
          <w:marBottom w:val="300"/>
          <w:divBdr>
            <w:top w:val="none" w:sz="0" w:space="0" w:color="auto"/>
            <w:left w:val="none" w:sz="0" w:space="0" w:color="auto"/>
            <w:bottom w:val="none" w:sz="0" w:space="0" w:color="auto"/>
            <w:right w:val="none" w:sz="0" w:space="0" w:color="auto"/>
          </w:divBdr>
          <w:divsChild>
            <w:div w:id="249849131">
              <w:marLeft w:val="0"/>
              <w:marRight w:val="0"/>
              <w:marTop w:val="0"/>
              <w:marBottom w:val="0"/>
              <w:divBdr>
                <w:top w:val="none" w:sz="0" w:space="0" w:color="auto"/>
                <w:left w:val="none" w:sz="0" w:space="0" w:color="auto"/>
                <w:bottom w:val="none" w:sz="0" w:space="0" w:color="auto"/>
                <w:right w:val="none" w:sz="0" w:space="0" w:color="auto"/>
              </w:divBdr>
            </w:div>
          </w:divsChild>
        </w:div>
        <w:div w:id="1395006472">
          <w:marLeft w:val="0"/>
          <w:marRight w:val="0"/>
          <w:marTop w:val="0"/>
          <w:marBottom w:val="0"/>
          <w:divBdr>
            <w:top w:val="none" w:sz="0" w:space="0" w:color="auto"/>
            <w:left w:val="none" w:sz="0" w:space="0" w:color="auto"/>
            <w:bottom w:val="none" w:sz="0" w:space="0" w:color="auto"/>
            <w:right w:val="none" w:sz="0" w:space="0" w:color="auto"/>
          </w:divBdr>
          <w:divsChild>
            <w:div w:id="893084541">
              <w:marLeft w:val="0"/>
              <w:marRight w:val="0"/>
              <w:marTop w:val="0"/>
              <w:marBottom w:val="300"/>
              <w:divBdr>
                <w:top w:val="none" w:sz="0" w:space="0" w:color="auto"/>
                <w:left w:val="none" w:sz="0" w:space="0" w:color="auto"/>
                <w:bottom w:val="none" w:sz="0" w:space="0" w:color="auto"/>
                <w:right w:val="none" w:sz="0" w:space="0" w:color="auto"/>
              </w:divBdr>
            </w:div>
            <w:div w:id="4432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1980264378">
      <w:bodyDiv w:val="1"/>
      <w:marLeft w:val="0"/>
      <w:marRight w:val="0"/>
      <w:marTop w:val="0"/>
      <w:marBottom w:val="0"/>
      <w:divBdr>
        <w:top w:val="none" w:sz="0" w:space="0" w:color="auto"/>
        <w:left w:val="none" w:sz="0" w:space="0" w:color="auto"/>
        <w:bottom w:val="none" w:sz="0" w:space="0" w:color="auto"/>
        <w:right w:val="none" w:sz="0" w:space="0" w:color="auto"/>
      </w:divBdr>
      <w:divsChild>
        <w:div w:id="33627995">
          <w:marLeft w:val="0"/>
          <w:marRight w:val="0"/>
          <w:marTop w:val="150"/>
          <w:marBottom w:val="0"/>
          <w:divBdr>
            <w:top w:val="none" w:sz="0" w:space="0" w:color="auto"/>
            <w:left w:val="none" w:sz="0" w:space="0" w:color="auto"/>
            <w:bottom w:val="none" w:sz="0" w:space="0" w:color="auto"/>
            <w:right w:val="none" w:sz="0" w:space="0" w:color="auto"/>
          </w:divBdr>
          <w:divsChild>
            <w:div w:id="825517746">
              <w:marLeft w:val="0"/>
              <w:marRight w:val="0"/>
              <w:marTop w:val="0"/>
              <w:marBottom w:val="0"/>
              <w:divBdr>
                <w:top w:val="none" w:sz="0" w:space="0" w:color="auto"/>
                <w:left w:val="none" w:sz="0" w:space="0" w:color="auto"/>
                <w:bottom w:val="none" w:sz="0" w:space="0" w:color="auto"/>
                <w:right w:val="none" w:sz="0" w:space="0" w:color="auto"/>
              </w:divBdr>
            </w:div>
            <w:div w:id="1585450122">
              <w:marLeft w:val="0"/>
              <w:marRight w:val="0"/>
              <w:marTop w:val="0"/>
              <w:marBottom w:val="0"/>
              <w:divBdr>
                <w:top w:val="none" w:sz="0" w:space="0" w:color="auto"/>
                <w:left w:val="none" w:sz="0" w:space="0" w:color="auto"/>
                <w:bottom w:val="none" w:sz="0" w:space="0" w:color="auto"/>
                <w:right w:val="none" w:sz="0" w:space="0" w:color="auto"/>
              </w:divBdr>
            </w:div>
            <w:div w:id="250705164">
              <w:marLeft w:val="0"/>
              <w:marRight w:val="0"/>
              <w:marTop w:val="0"/>
              <w:marBottom w:val="0"/>
              <w:divBdr>
                <w:top w:val="none" w:sz="0" w:space="0" w:color="auto"/>
                <w:left w:val="none" w:sz="0" w:space="0" w:color="auto"/>
                <w:bottom w:val="none" w:sz="0" w:space="0" w:color="auto"/>
                <w:right w:val="none" w:sz="0" w:space="0" w:color="auto"/>
              </w:divBdr>
            </w:div>
            <w:div w:id="1961108875">
              <w:marLeft w:val="0"/>
              <w:marRight w:val="0"/>
              <w:marTop w:val="0"/>
              <w:marBottom w:val="0"/>
              <w:divBdr>
                <w:top w:val="none" w:sz="0" w:space="0" w:color="auto"/>
                <w:left w:val="none" w:sz="0" w:space="0" w:color="auto"/>
                <w:bottom w:val="none" w:sz="0" w:space="0" w:color="auto"/>
                <w:right w:val="none" w:sz="0" w:space="0" w:color="auto"/>
              </w:divBdr>
            </w:div>
            <w:div w:id="14579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onet.org/content/mimic-iv-ed/1.0/" TargetMode="External"/><Relationship Id="rId13" Type="http://schemas.openxmlformats.org/officeDocument/2006/relationships/hyperlink" Target="https://docs.google.com/spreadsheets/d/1N0SKq7iT-MOqCxl3rZAYQsUBGbrh9s5QDHazetFzrGA/edit?usp=sharing" TargetMode="External"/><Relationship Id="rId3" Type="http://schemas.openxmlformats.org/officeDocument/2006/relationships/styles" Target="styles.xml"/><Relationship Id="rId7" Type="http://schemas.openxmlformats.org/officeDocument/2006/relationships/hyperlink" Target="https://physionet.org/content/mimiciv/0.4/" TargetMode="External"/><Relationship Id="rId12" Type="http://schemas.openxmlformats.org/officeDocument/2006/relationships/hyperlink" Target="https://confluence.hl7.org/x/rJw7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hysionet.org/content/mimic-iv-ed/1.0/"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hysionet.org/content/mimic-iv-ed/get-zip/1.0/" TargetMode="External"/><Relationship Id="rId4" Type="http://schemas.openxmlformats.org/officeDocument/2006/relationships/settings" Target="settings.xml"/><Relationship Id="rId9" Type="http://schemas.openxmlformats.org/officeDocument/2006/relationships/hyperlink" Target="https://doi.org/10.13026/77z6-9w59"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Pages>
  <Words>882</Words>
  <Characters>5028</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171</cp:revision>
  <dcterms:created xsi:type="dcterms:W3CDTF">2020-04-05T12:56:00Z</dcterms:created>
  <dcterms:modified xsi:type="dcterms:W3CDTF">2021-09-28T15:58:00Z</dcterms:modified>
</cp:coreProperties>
</file>