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D5AAF" w14:textId="77777777" w:rsidR="00AC0532" w:rsidRPr="004C04C6" w:rsidRDefault="00AC0532" w:rsidP="00093D0A"/>
    <w:p w14:paraId="3EACD0A7" w14:textId="77777777" w:rsidR="00AC0532" w:rsidRPr="004C04C6" w:rsidRDefault="00AC0532" w:rsidP="00093D0A"/>
    <w:p w14:paraId="06CD71C9" w14:textId="77777777" w:rsidR="00AC0532" w:rsidRPr="004C04C6" w:rsidRDefault="00AC0532" w:rsidP="00093D0A"/>
    <w:p w14:paraId="1292DAB4" w14:textId="77777777" w:rsidR="00AC0532" w:rsidRPr="004C04C6" w:rsidRDefault="00AC0532" w:rsidP="00093D0A"/>
    <w:p w14:paraId="26DCE516" w14:textId="3EDC9A36" w:rsidR="00424E46" w:rsidRPr="004C04C6" w:rsidRDefault="00424E46" w:rsidP="00093D0A">
      <w:pPr>
        <w:pStyle w:val="Title"/>
      </w:pPr>
      <w:r w:rsidRPr="004C04C6">
        <w:t xml:space="preserve">Digital Format for Publication of </w:t>
      </w:r>
      <w:r w:rsidR="00F41DD6" w:rsidRPr="004C04C6">
        <w:br/>
      </w:r>
      <w:r w:rsidRPr="004C04C6">
        <w:t>LOINC</w:t>
      </w:r>
      <w:r w:rsidR="00C74663" w:rsidRPr="004C04C6">
        <w:rPr>
          <w:vertAlign w:val="superscript"/>
        </w:rPr>
        <w:t>®</w:t>
      </w:r>
      <w:r w:rsidRPr="004C04C6">
        <w:t xml:space="preserve"> </w:t>
      </w:r>
      <w:r w:rsidR="00647E0B" w:rsidRPr="004C04C6">
        <w:t xml:space="preserve">to </w:t>
      </w:r>
      <w:r w:rsidRPr="004C04C6">
        <w:t xml:space="preserve">Vendor IVD </w:t>
      </w:r>
      <w:commentRangeStart w:id="0"/>
      <w:commentRangeStart w:id="1"/>
      <w:r w:rsidRPr="004C04C6">
        <w:t>Test</w:t>
      </w:r>
      <w:r w:rsidR="00C82927" w:rsidRPr="004C04C6">
        <w:t xml:space="preserve"> Results</w:t>
      </w:r>
      <w:commentRangeEnd w:id="0"/>
      <w:r w:rsidR="009C50E8">
        <w:rPr>
          <w:rStyle w:val="CommentReference"/>
          <w:rFonts w:asciiTheme="minorHAnsi" w:eastAsiaTheme="minorHAnsi" w:hAnsiTheme="minorHAnsi" w:cstheme="minorBidi"/>
          <w:b w:val="0"/>
          <w:color w:val="auto"/>
          <w:spacing w:val="0"/>
          <w:kern w:val="0"/>
        </w:rPr>
        <w:commentReference w:id="0"/>
      </w:r>
      <w:commentRangeEnd w:id="1"/>
      <w:r w:rsidR="00985210">
        <w:rPr>
          <w:rStyle w:val="CommentReference"/>
          <w:rFonts w:asciiTheme="minorHAnsi" w:eastAsiaTheme="minorHAnsi" w:hAnsiTheme="minorHAnsi" w:cstheme="minorBidi"/>
          <w:b w:val="0"/>
          <w:color w:val="auto"/>
          <w:spacing w:val="0"/>
          <w:kern w:val="0"/>
        </w:rPr>
        <w:commentReference w:id="1"/>
      </w:r>
    </w:p>
    <w:p w14:paraId="034D5197" w14:textId="254DF296" w:rsidR="00600187" w:rsidRPr="004C04C6" w:rsidRDefault="00600187" w:rsidP="00093D0A">
      <w:r w:rsidRPr="004C04C6">
        <w:t>Date:</w:t>
      </w:r>
      <w:r w:rsidRPr="004C04C6">
        <w:tab/>
      </w:r>
      <w:r w:rsidRPr="004C04C6">
        <w:tab/>
      </w:r>
      <w:commentRangeStart w:id="2"/>
      <w:r w:rsidR="00814BA8" w:rsidRPr="004C04C6">
        <w:t>TBD</w:t>
      </w:r>
      <w:commentRangeEnd w:id="2"/>
      <w:r w:rsidR="00960DF2">
        <w:rPr>
          <w:rStyle w:val="CommentReference"/>
        </w:rPr>
        <w:commentReference w:id="2"/>
      </w:r>
    </w:p>
    <w:p w14:paraId="483FC41A" w14:textId="3836D4F0" w:rsidR="00600187" w:rsidRPr="004C04C6" w:rsidRDefault="00600187">
      <w:r w:rsidRPr="004C04C6">
        <w:t>Authors:</w:t>
      </w:r>
      <w:r w:rsidRPr="004C04C6">
        <w:tab/>
      </w:r>
      <w:commentRangeStart w:id="3"/>
      <w:r w:rsidR="00D43156">
        <w:t xml:space="preserve">Cornelia Felder, Xavier </w:t>
      </w:r>
      <w:proofErr w:type="spellStart"/>
      <w:r w:rsidR="00D43156">
        <w:t>Gansel</w:t>
      </w:r>
      <w:proofErr w:type="spellEnd"/>
      <w:r w:rsidR="00D43156">
        <w:t>,</w:t>
      </w:r>
      <w:r w:rsidR="00D43156" w:rsidRPr="004C04C6">
        <w:t xml:space="preserve"> </w:t>
      </w:r>
      <w:r w:rsidRPr="004C04C6">
        <w:t xml:space="preserve">Ed Heierman, </w:t>
      </w:r>
      <w:r w:rsidR="00CE27FE">
        <w:t xml:space="preserve">Laurent </w:t>
      </w:r>
      <w:proofErr w:type="spellStart"/>
      <w:r w:rsidR="00CE27FE">
        <w:t>Lardin</w:t>
      </w:r>
      <w:proofErr w:type="spellEnd"/>
      <w:r w:rsidR="004C30AF">
        <w:t>, Riki Merrick, Mike Waters</w:t>
      </w:r>
      <w:commentRangeEnd w:id="3"/>
      <w:r w:rsidR="00D43156">
        <w:rPr>
          <w:rStyle w:val="CommentReference"/>
        </w:rPr>
        <w:commentReference w:id="3"/>
      </w:r>
    </w:p>
    <w:p w14:paraId="515306C4" w14:textId="77777777" w:rsidR="00600187" w:rsidRPr="004C04C6" w:rsidRDefault="00600187">
      <w:r w:rsidRPr="004C04C6">
        <w:t>Email:</w:t>
      </w:r>
      <w:r w:rsidRPr="004C04C6">
        <w:tab/>
      </w:r>
      <w:r w:rsidRPr="004C04C6">
        <w:tab/>
        <w:t>info@ivdconnectivity.org</w:t>
      </w:r>
    </w:p>
    <w:p w14:paraId="79377E91" w14:textId="77777777" w:rsidR="00600187" w:rsidRPr="004C04C6" w:rsidRDefault="00600187"/>
    <w:p w14:paraId="60FF7A0F" w14:textId="77777777" w:rsidR="00600187" w:rsidRPr="004C04C6" w:rsidRDefault="00600187"/>
    <w:p w14:paraId="43FA752E" w14:textId="77777777" w:rsidR="00600187" w:rsidRPr="004C04C6" w:rsidRDefault="00600187"/>
    <w:p w14:paraId="7A6E367B" w14:textId="77777777" w:rsidR="00600187" w:rsidRPr="004C04C6" w:rsidRDefault="00600187"/>
    <w:p w14:paraId="712D058A" w14:textId="77777777" w:rsidR="00600187" w:rsidRPr="004C04C6" w:rsidRDefault="00600187"/>
    <w:p w14:paraId="673A7EE2" w14:textId="77777777" w:rsidR="00600187" w:rsidRPr="004C04C6" w:rsidRDefault="00600187"/>
    <w:p w14:paraId="4A2298C4" w14:textId="77777777" w:rsidR="00600187" w:rsidRPr="004C04C6" w:rsidRDefault="00600187"/>
    <w:p w14:paraId="2C4B69ED" w14:textId="77777777" w:rsidR="00600187" w:rsidRPr="004C04C6" w:rsidRDefault="00600187"/>
    <w:p w14:paraId="642B70F4" w14:textId="77777777" w:rsidR="00600187" w:rsidRPr="004C04C6" w:rsidRDefault="00600187"/>
    <w:p w14:paraId="719921E5" w14:textId="77777777" w:rsidR="00600187" w:rsidRPr="004C04C6" w:rsidRDefault="00600187"/>
    <w:p w14:paraId="1AB6458E" w14:textId="0920777A" w:rsidR="00600187" w:rsidRPr="004C04C6" w:rsidRDefault="00600187" w:rsidP="00B066E0">
      <w:r w:rsidRPr="004C04C6">
        <w:t xml:space="preserve">Copyright © </w:t>
      </w:r>
      <w:r w:rsidR="00814BA8" w:rsidRPr="004C04C6">
        <w:t xml:space="preserve">2020 </w:t>
      </w:r>
      <w:r w:rsidRPr="004C04C6">
        <w:t>– IVD Industry Connectivity Consortium</w:t>
      </w:r>
    </w:p>
    <w:p w14:paraId="5D9719B2" w14:textId="77777777" w:rsidR="00424E46" w:rsidRPr="004C04C6" w:rsidRDefault="00424E46">
      <w:pPr>
        <w:pStyle w:val="Heading1"/>
      </w:pPr>
      <w:r w:rsidRPr="004C04C6">
        <w:lastRenderedPageBreak/>
        <w:t>Back</w:t>
      </w:r>
      <w:r w:rsidR="00B71B44" w:rsidRPr="004C04C6">
        <w:t>g</w:t>
      </w:r>
      <w:r w:rsidRPr="004C04C6">
        <w:t>round</w:t>
      </w:r>
    </w:p>
    <w:p w14:paraId="08C1BBF3" w14:textId="7E638D32" w:rsidR="006602F5" w:rsidRPr="004C04C6" w:rsidRDefault="006602F5">
      <w:r w:rsidRPr="004C04C6">
        <w:t xml:space="preserve">Entities from </w:t>
      </w:r>
      <w:r w:rsidR="002E5DA2" w:rsidRPr="004C04C6">
        <w:t>government</w:t>
      </w:r>
      <w:r w:rsidRPr="004C04C6">
        <w:t xml:space="preserve">, industry, and academia have long recognized the essential role of semantic interoperability of </w:t>
      </w:r>
      <w:r w:rsidRPr="00B066E0">
        <w:rPr>
          <w:i/>
          <w:iCs/>
        </w:rPr>
        <w:t>in vitro</w:t>
      </w:r>
      <w:r w:rsidRPr="004C04C6">
        <w:t xml:space="preserve"> diagnostic (IVD) test results in health care information technology. This discussion paper adopts the same definition of interoperability laid out by Office of the National Coordinator for Health IT (ONC) in its Shared Nationwide Interoperability Roadmap</w:t>
      </w:r>
      <w:r w:rsidR="00A64765" w:rsidRPr="004C04C6">
        <w:rPr>
          <w:rStyle w:val="FootnoteReference"/>
        </w:rPr>
        <w:footnoteReference w:id="2"/>
      </w:r>
      <w:r w:rsidRPr="004C04C6">
        <w:t>. Specifically, interoperability is intended to mean: the ability of a system to exchange electronic health information with</w:t>
      </w:r>
      <w:r w:rsidR="00A64765" w:rsidRPr="004C04C6">
        <w:t>,</w:t>
      </w:r>
      <w:r w:rsidRPr="004C04C6">
        <w:t xml:space="preserve"> and use electronic health information from</w:t>
      </w:r>
      <w:r w:rsidR="00A64765" w:rsidRPr="004C04C6">
        <w:t>,</w:t>
      </w:r>
      <w:r w:rsidRPr="004C04C6">
        <w:t xml:space="preserve"> other systems without excessive effort on the part of the user</w:t>
      </w:r>
      <w:r w:rsidR="00A64765" w:rsidRPr="004C04C6">
        <w:t>. F</w:t>
      </w:r>
      <w:r w:rsidRPr="004C04C6">
        <w:t xml:space="preserve">or semantic interoperability, </w:t>
      </w:r>
      <w:r w:rsidR="00A64765" w:rsidRPr="004C04C6">
        <w:t xml:space="preserve">it is </w:t>
      </w:r>
      <w:r w:rsidRPr="004C04C6">
        <w:t>the ability of this data to be shared with unambiguous meaning</w:t>
      </w:r>
      <w:r w:rsidR="00F61A64" w:rsidRPr="004C04C6">
        <w:t xml:space="preserve"> and without separate negotiations between sender and receiver</w:t>
      </w:r>
      <w:r w:rsidRPr="004C04C6">
        <w:t>. Many successful efforts have thus far made substantial contributions to different aspects of semantic interoperability, with LOINC® (Logical Observation Identifiers Names and Codes), SNOMED</w:t>
      </w:r>
      <w:r w:rsidR="00CE729F" w:rsidRPr="004C04C6">
        <w:t xml:space="preserve"> </w:t>
      </w:r>
      <w:r w:rsidRPr="004C04C6">
        <w:t>CT</w:t>
      </w:r>
      <w:r w:rsidR="00CE729F" w:rsidRPr="004C04C6">
        <w:t>®</w:t>
      </w:r>
      <w:r w:rsidRPr="004C04C6">
        <w:t xml:space="preserve"> (Systematized Nomenclature of Medicine – Clinical Terms), and UCUM</w:t>
      </w:r>
      <w:r w:rsidR="00CE729F" w:rsidRPr="004C04C6">
        <w:t>®</w:t>
      </w:r>
      <w:r w:rsidRPr="004C04C6">
        <w:t xml:space="preserve"> (Unified Code for Units of Measure) perhaps most recognizable. With the increased use of software systems in the health care environment, it is now critical for IVD instruments and IVD software systems to have the capability to efficiently and unambiguously exchange IVD test results, regardless of their location or setting (e.g., hospital-based laboratories, reference laboratories, physician office laboratories, home use testing, etc.).</w:t>
      </w:r>
    </w:p>
    <w:p w14:paraId="0B541D8A" w14:textId="583E5308" w:rsidR="008136DF" w:rsidRPr="004C04C6" w:rsidRDefault="009740F6">
      <w:commentRangeStart w:id="4"/>
      <w:commentRangeStart w:id="5"/>
      <w:r>
        <w:t xml:space="preserve">2015 </w:t>
      </w:r>
      <w:commentRangeEnd w:id="4"/>
      <w:r w:rsidR="00AA7795">
        <w:rPr>
          <w:rStyle w:val="CommentReference"/>
        </w:rPr>
        <w:commentReference w:id="4"/>
      </w:r>
      <w:commentRangeEnd w:id="5"/>
      <w:r w:rsidR="00960DF2">
        <w:rPr>
          <w:rStyle w:val="CommentReference"/>
        </w:rPr>
        <w:commentReference w:id="5"/>
      </w:r>
      <w:r>
        <w:t>&amp; 2016</w:t>
      </w:r>
      <w:r w:rsidR="003E3FA7">
        <w:rPr>
          <w:rStyle w:val="FootnoteReference"/>
        </w:rPr>
        <w:footnoteReference w:id="3"/>
      </w:r>
      <w:r>
        <w:t xml:space="preserve"> </w:t>
      </w:r>
      <w:r w:rsidR="006602F5" w:rsidRPr="004C04C6">
        <w:t>public workshops</w:t>
      </w:r>
      <w:r w:rsidR="00CE27FE">
        <w:t>,</w:t>
      </w:r>
      <w:r w:rsidR="006602F5" w:rsidRPr="004C04C6">
        <w:t xml:space="preserve"> focused on the advancement of the interoperability of IVD test results</w:t>
      </w:r>
      <w:r w:rsidR="00CE27FE">
        <w:t>,</w:t>
      </w:r>
      <w:r w:rsidR="006602F5" w:rsidRPr="004C04C6">
        <w:t xml:space="preserve"> proposed promoting greater adoption of standardized codes and terminologies.</w:t>
      </w:r>
      <w:r w:rsidR="00093D0A" w:rsidRPr="004C04C6">
        <w:t xml:space="preserve"> This was further endorsed by the SHIELD</w:t>
      </w:r>
      <w:r w:rsidR="00AF6DF1" w:rsidRPr="004C04C6">
        <w:rPr>
          <w:rStyle w:val="FootnoteReference"/>
        </w:rPr>
        <w:footnoteReference w:id="4"/>
      </w:r>
      <w:r w:rsidR="00093D0A" w:rsidRPr="004C04C6">
        <w:t xml:space="preserve"> project managed under an MDIC</w:t>
      </w:r>
      <w:r w:rsidR="00093D0A" w:rsidRPr="004C04C6">
        <w:rPr>
          <w:rStyle w:val="FootnoteReference"/>
        </w:rPr>
        <w:footnoteReference w:id="5"/>
      </w:r>
      <w:r w:rsidR="00093D0A" w:rsidRPr="004C04C6">
        <w:t xml:space="preserve"> private-public partnership.</w:t>
      </w:r>
      <w:r w:rsidR="006602F5" w:rsidRPr="004C04C6">
        <w:t xml:space="preserve"> The proposed work involved facilitating the following model:</w:t>
      </w:r>
    </w:p>
    <w:p w14:paraId="34FDFCD1" w14:textId="0A4DCDD2" w:rsidR="008136DF" w:rsidRPr="004C04C6" w:rsidRDefault="006602F5" w:rsidP="00B066E0">
      <w:pPr>
        <w:pStyle w:val="ListBullet2"/>
      </w:pPr>
      <w:r w:rsidRPr="004C04C6">
        <w:t xml:space="preserve">Vendor IVD tests </w:t>
      </w:r>
      <w:r w:rsidR="000B6188" w:rsidRPr="004C04C6">
        <w:t xml:space="preserve">results </w:t>
      </w:r>
      <w:r w:rsidRPr="004C04C6">
        <w:t>would be associated with a set of predefined LOINC</w:t>
      </w:r>
      <w:r w:rsidR="00093D0A" w:rsidRPr="004C04C6">
        <w:t>®</w:t>
      </w:r>
      <w:r w:rsidRPr="004C04C6">
        <w:t xml:space="preserve"> codes that identify the distinct observations produced by the tes</w:t>
      </w:r>
      <w:r w:rsidR="00093D0A" w:rsidRPr="004C04C6">
        <w:t>t</w:t>
      </w:r>
    </w:p>
    <w:p w14:paraId="0FDDC7C5" w14:textId="1382E285" w:rsidR="00093D0A" w:rsidRPr="004C04C6" w:rsidRDefault="006602F5" w:rsidP="00B066E0">
      <w:pPr>
        <w:pStyle w:val="ListBullet2"/>
      </w:pPr>
      <w:r w:rsidRPr="004C04C6">
        <w:t>Observations with numeric values would be associated with the UCUM</w:t>
      </w:r>
      <w:r w:rsidR="00093D0A" w:rsidRPr="004C04C6">
        <w:t>®</w:t>
      </w:r>
      <w:r w:rsidRPr="004C04C6">
        <w:t xml:space="preserve"> representation of their reporting units</w:t>
      </w:r>
    </w:p>
    <w:p w14:paraId="2AA170CA" w14:textId="31D2B423" w:rsidR="0066084C" w:rsidRPr="004C04C6" w:rsidRDefault="006602F5" w:rsidP="00B066E0">
      <w:pPr>
        <w:pStyle w:val="ListBullet2"/>
      </w:pPr>
      <w:r w:rsidRPr="004C04C6">
        <w:t xml:space="preserve">Observations with categorical (multiple choice) values would be associated with a </w:t>
      </w:r>
      <w:r w:rsidR="00E60545" w:rsidRPr="004C04C6">
        <w:t>response set t</w:t>
      </w:r>
      <w:r w:rsidR="00BC1C67" w:rsidRPr="004C04C6">
        <w:t>hat defined the possible values</w:t>
      </w:r>
      <w:r w:rsidR="00E60545" w:rsidRPr="004C04C6">
        <w:t xml:space="preserve">, with the response set drawn from appropriate code systems such as </w:t>
      </w:r>
      <w:r w:rsidRPr="004C04C6">
        <w:t xml:space="preserve">SNOMED </w:t>
      </w:r>
      <w:r w:rsidR="00E60545" w:rsidRPr="004C04C6">
        <w:t>CT</w:t>
      </w:r>
      <w:r w:rsidR="00093D0A" w:rsidRPr="004C04C6">
        <w:t>®</w:t>
      </w:r>
    </w:p>
    <w:p w14:paraId="0E70D1EC" w14:textId="5FC2D35E" w:rsidR="00F61A64" w:rsidRPr="004C04C6" w:rsidRDefault="006602F5">
      <w:r w:rsidRPr="004C04C6">
        <w:t xml:space="preserve">In addition, the </w:t>
      </w:r>
      <w:r w:rsidR="00142055" w:rsidRPr="004C04C6">
        <w:t xml:space="preserve">public </w:t>
      </w:r>
      <w:r w:rsidRPr="004C04C6">
        <w:t xml:space="preserve">workshops </w:t>
      </w:r>
      <w:r w:rsidR="00095361" w:rsidRPr="004C04C6">
        <w:t>and SHIE</w:t>
      </w:r>
      <w:r w:rsidR="009C50E8">
        <w:t>L</w:t>
      </w:r>
      <w:r w:rsidR="00095361" w:rsidRPr="004C04C6">
        <w:t xml:space="preserve">D </w:t>
      </w:r>
      <w:r w:rsidRPr="004C04C6">
        <w:t xml:space="preserve">recognized that defining methods for distributing the standard codes associated with a measure could have an immediate impact on laboratory interoperability. </w:t>
      </w:r>
      <w:r w:rsidR="00F61A64" w:rsidRPr="004C04C6">
        <w:t>For example, doctors often need to observe laboratory results of their patients</w:t>
      </w:r>
      <w:r w:rsidR="004C1146">
        <w:t xml:space="preserve"> over time to assess a patient’s disease status</w:t>
      </w:r>
      <w:r w:rsidR="00F61A64" w:rsidRPr="004C04C6">
        <w:t>. In many cases, these laboratory results are from different IVD vendor tests and equipment. For doctors, it is therefore important to know whether a result was measured using the same</w:t>
      </w:r>
      <w:r w:rsidR="00793199">
        <w:t xml:space="preserve"> </w:t>
      </w:r>
      <w:r w:rsidR="004C1146">
        <w:t>sample type</w:t>
      </w:r>
      <w:r w:rsidR="00F61A64" w:rsidRPr="004C04C6">
        <w:t xml:space="preserve"> and method as the previous or the following result. Otherwise they will not be able </w:t>
      </w:r>
      <w:r w:rsidR="004C1146">
        <w:t>to consistently</w:t>
      </w:r>
      <w:r w:rsidR="00F61A64" w:rsidRPr="004C04C6">
        <w:t xml:space="preserve"> interpret </w:t>
      </w:r>
      <w:r w:rsidR="004C1146">
        <w:t xml:space="preserve">and compare </w:t>
      </w:r>
      <w:r w:rsidR="00F61A64" w:rsidRPr="004C04C6">
        <w:t>test results in order to make a proper diagnosis and treatment recommendations.</w:t>
      </w:r>
    </w:p>
    <w:p w14:paraId="2FD239B1" w14:textId="13117EE5" w:rsidR="00F41DD6" w:rsidRPr="004C04C6" w:rsidRDefault="006602F5">
      <w:r w:rsidRPr="004C04C6">
        <w:t>In support of these concepts, this paper proposes an industry-defined format to publish the LOINC codes associated with the distinct observations that may be produced by an IVD instrument</w:t>
      </w:r>
      <w:r w:rsidR="002108EC">
        <w:t>,</w:t>
      </w:r>
      <w:r w:rsidRPr="004C04C6">
        <w:t xml:space="preserve"> through the execution of </w:t>
      </w:r>
      <w:r w:rsidR="009740F6" w:rsidRPr="004C04C6">
        <w:t>vendor-defined manual IVD test</w:t>
      </w:r>
      <w:r w:rsidR="009740F6">
        <w:t xml:space="preserve"> kit</w:t>
      </w:r>
      <w:r w:rsidR="009740F6" w:rsidRPr="004C04C6">
        <w:t xml:space="preserve">s </w:t>
      </w:r>
      <w:r w:rsidR="002108EC">
        <w:t>or by a test kit that may be run on either one dedicated IVD system or accommodate several such systems (</w:t>
      </w:r>
      <w:r w:rsidR="00BA53E1">
        <w:t>possibly</w:t>
      </w:r>
      <w:r w:rsidR="002108EC">
        <w:t xml:space="preserve"> from different manufacturers)</w:t>
      </w:r>
      <w:r w:rsidRPr="004C04C6">
        <w:t xml:space="preserve">. </w:t>
      </w:r>
      <w:r w:rsidR="0000081B" w:rsidRPr="004C04C6">
        <w:t>IVD v</w:t>
      </w:r>
      <w:r w:rsidRPr="004C04C6">
        <w:t xml:space="preserve">endors would </w:t>
      </w:r>
      <w:r w:rsidR="0000081B" w:rsidRPr="004C04C6">
        <w:t xml:space="preserve">voluntarily adopt this </w:t>
      </w:r>
      <w:r w:rsidRPr="004C04C6">
        <w:t xml:space="preserve">format to establish IVD vendor test </w:t>
      </w:r>
      <w:r w:rsidR="000B6188" w:rsidRPr="004C04C6">
        <w:t xml:space="preserve">result </w:t>
      </w:r>
      <w:r w:rsidRPr="004C04C6">
        <w:t>to LOINC mapping</w:t>
      </w:r>
      <w:r w:rsidR="0000081B" w:rsidRPr="004C04C6">
        <w:t>s</w:t>
      </w:r>
      <w:r w:rsidRPr="004C04C6">
        <w:t xml:space="preserve"> in a standardized manner. Ultimately, this could reduce differences of coding between vendors for similar test</w:t>
      </w:r>
      <w:r w:rsidR="000B6188" w:rsidRPr="004C04C6">
        <w:t xml:space="preserve"> results</w:t>
      </w:r>
      <w:r w:rsidRPr="004C04C6">
        <w:t xml:space="preserve"> and align codes between labs using similar classes of systems in order to achieve operational outcomes.</w:t>
      </w:r>
    </w:p>
    <w:p w14:paraId="732ECFBC" w14:textId="7EEBAE5A" w:rsidR="004D16C2" w:rsidRPr="004C04C6" w:rsidRDefault="004D16C2">
      <w:r w:rsidRPr="004C04C6">
        <w:t xml:space="preserve">This file format may also be used by organizations to aggregate manufacturer defined LOINC codes </w:t>
      </w:r>
      <w:r w:rsidR="008F6B29">
        <w:t>for specific</w:t>
      </w:r>
      <w:r w:rsidRPr="004C04C6">
        <w:t xml:space="preserve"> needs</w:t>
      </w:r>
      <w:r w:rsidR="008F6B29">
        <w:t>, for example at the disease level for operational or public health reporting needs</w:t>
      </w:r>
      <w:r w:rsidRPr="004C04C6">
        <w:t>.</w:t>
      </w:r>
    </w:p>
    <w:p w14:paraId="2EFC1704" w14:textId="77777777" w:rsidR="008136DF" w:rsidRPr="004C04C6" w:rsidRDefault="006602F5">
      <w:r w:rsidRPr="004C04C6">
        <w:t>Example benefits may include:</w:t>
      </w:r>
    </w:p>
    <w:p w14:paraId="180BB485" w14:textId="77777777" w:rsidR="008136DF" w:rsidRPr="004C04C6" w:rsidRDefault="00772853">
      <w:pPr>
        <w:pStyle w:val="ListParagraph"/>
        <w:numPr>
          <w:ilvl w:val="0"/>
          <w:numId w:val="7"/>
        </w:numPr>
      </w:pPr>
      <w:r w:rsidRPr="004C04C6">
        <w:t>Decreasing the time required for a lab’s deployment of IVD instruments.</w:t>
      </w:r>
    </w:p>
    <w:p w14:paraId="14191169" w14:textId="2420F8BD" w:rsidR="00424E46" w:rsidRPr="004C04C6" w:rsidRDefault="00EB6975">
      <w:pPr>
        <w:pStyle w:val="ListParagraph"/>
        <w:numPr>
          <w:ilvl w:val="0"/>
          <w:numId w:val="7"/>
        </w:numPr>
      </w:pPr>
      <w:r w:rsidRPr="009C50E8">
        <w:rPr>
          <w:noProof/>
          <w:lang w:val="fr-FR" w:eastAsia="zh-CN" w:bidi="th-TH"/>
        </w:rPr>
        <mc:AlternateContent>
          <mc:Choice Requires="wps">
            <w:drawing>
              <wp:anchor distT="91440" distB="91440" distL="182880" distR="182880" simplePos="0" relativeHeight="251658241" behindDoc="1" locked="0" layoutInCell="0" allowOverlap="1" wp14:anchorId="0513810B" wp14:editId="542DB3A3">
                <wp:simplePos x="0" y="0"/>
                <wp:positionH relativeFrom="margin">
                  <wp:align>center</wp:align>
                </wp:positionH>
                <wp:positionV relativeFrom="paragraph">
                  <wp:posOffset>613410</wp:posOffset>
                </wp:positionV>
                <wp:extent cx="5153025" cy="1015365"/>
                <wp:effectExtent l="0" t="0" r="0" b="0"/>
                <wp:wrapTopAndBottom/>
                <wp:docPr id="38" name="Rectangle 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53025" cy="1015365"/>
                        </a:xfrm>
                        <a:prstGeom prst="rect">
                          <a:avLst/>
                        </a:prstGeom>
                        <a:noFill/>
                        <a:effectLst>
                          <a:outerShdw dist="107763" dir="2700000" sx="101000" sy="101000" algn="ctr" rotWithShape="0">
                            <a:srgbClr val="2F6EBE">
                              <a:alpha val="50000"/>
                            </a:srgb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90B5E3"/>
                              </a:solidFill>
                              <a:miter lim="800000"/>
                              <a:headEnd/>
                              <a:tailEnd/>
                            </a14:hiddenLine>
                          </a:ext>
                        </a:extLst>
                      </wps:spPr>
                      <wps:txbx>
                        <w:txbxContent>
                          <w:p w14:paraId="70FC3D56" w14:textId="77777777" w:rsidR="00FD4B50" w:rsidRPr="00FA005A" w:rsidRDefault="00FD4B50" w:rsidP="00093D0A">
                            <w:r w:rsidRPr="00FA005A">
                              <w:t>To create and ensure adoption of an interoperable connectivity paradigm to reduce the complexity and variability of data exchange between IVD testing systems and healthcare informatics systems</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0</wp14:pctHeight>
                </wp14:sizeRelV>
              </wp:anchor>
            </w:drawing>
          </mc:Choice>
          <mc:Fallback>
            <w:pict>
              <v:rect w14:anchorId="0513810B" id="Rectangle 386" o:spid="_x0000_s1026" style="position:absolute;left:0;text-align:left;margin-left:0;margin-top:48.3pt;width:405.75pt;height:79.95pt;z-index:-251658239;visibility:visible;mso-wrap-style:square;mso-width-percent:0;mso-height-percent:0;mso-wrap-distance-left:14.4pt;mso-wrap-distance-top:7.2pt;mso-wrap-distance-right:14.4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" o:allowincell="f" filled="f" stroked="f" strokecolor="#90b5e3" strokeweight="6pt">
                <v:shadow on="t" type="perspective" color="#2f6ebe" opacity=".5" offset="6pt,6pt" matrix="66191f,,,66191f"/>
                <v:textbox style="mso-fit-shape-to-text:t" inset="0,0,0,0">
                  <w:txbxContent>
                    <w:p w14:paraId="70FC3D56" w14:textId="77777777" w:rsidR="00FD4B50" w:rsidRPr="00FA005A" w:rsidRDefault="00FD4B50" w:rsidP="00093D0A">
                      <w:r w:rsidRPr="00FA005A">
                        <w:t>To create and ensure adoption of an interoperable connectivity paradigm to reduce the complexity and variability of data exchange between IVD testing systems and healthcare informatics systems</w:t>
                      </w:r>
                    </w:p>
                  </w:txbxContent>
                </v:textbox>
                <w10:wrap type="topAndBottom" anchorx="margin"/>
              </v:rect>
            </w:pict>
          </mc:Fallback>
        </mc:AlternateContent>
      </w:r>
      <w:r w:rsidR="00772853" w:rsidRPr="004C04C6">
        <w:t>Facilitating electronic clinician decision support on test outcomes from disparate sources</w:t>
      </w:r>
      <w:r w:rsidR="00424E46" w:rsidRPr="004C04C6">
        <w:t xml:space="preserve">. </w:t>
      </w:r>
    </w:p>
    <w:p w14:paraId="20BD9A60" w14:textId="3B4012E0" w:rsidR="00542855" w:rsidRPr="004C04C6" w:rsidRDefault="00542855">
      <w:r w:rsidRPr="004C04C6">
        <w:t>The</w:t>
      </w:r>
      <w:r w:rsidR="00A51CB6" w:rsidRPr="004C04C6">
        <w:t xml:space="preserve"> IVD I</w:t>
      </w:r>
      <w:r w:rsidRPr="004C04C6">
        <w:t>ndustry Connectivity Consortium (IICC) is publishing this paper in support of its mission:</w:t>
      </w:r>
    </w:p>
    <w:p w14:paraId="24D81551" w14:textId="54751A22" w:rsidR="00695ACE" w:rsidRPr="004C04C6" w:rsidRDefault="004C23D6" w:rsidP="00EE7490">
      <w:r w:rsidRPr="004C04C6">
        <w:t xml:space="preserve">IICC </w:t>
      </w:r>
      <w:r w:rsidR="00312FC2" w:rsidRPr="004C04C6">
        <w:t xml:space="preserve">collaborated with </w:t>
      </w:r>
      <w:r w:rsidR="00D327DF" w:rsidRPr="004C04C6">
        <w:t xml:space="preserve">the </w:t>
      </w:r>
      <w:r w:rsidR="00312FC2" w:rsidRPr="004C04C6">
        <w:t>IHE Pathology and Laboratory Medicine (</w:t>
      </w:r>
      <w:proofErr w:type="spellStart"/>
      <w:r w:rsidR="00312FC2" w:rsidRPr="004C04C6">
        <w:t>PaLM</w:t>
      </w:r>
      <w:proofErr w:type="spellEnd"/>
      <w:r w:rsidR="00312FC2" w:rsidRPr="004C04C6">
        <w:t>) domain to develop the Laboratory Analytical Workflow (LAW) Profile</w:t>
      </w:r>
      <w:r w:rsidR="00893406">
        <w:rPr>
          <w:rStyle w:val="FootnoteReference"/>
        </w:rPr>
        <w:footnoteReference w:id="6"/>
      </w:r>
      <w:r w:rsidR="00312FC2" w:rsidRPr="004C04C6">
        <w:t xml:space="preserve"> that </w:t>
      </w:r>
      <w:r w:rsidR="00D327DF" w:rsidRPr="004C04C6">
        <w:t>defines</w:t>
      </w:r>
      <w:r w:rsidR="00312FC2" w:rsidRPr="004C04C6">
        <w:t xml:space="preserve"> the next generation interface between IVD Analyzers and Analyzer Managers. </w:t>
      </w:r>
      <w:r w:rsidR="00D327DF" w:rsidRPr="004C04C6">
        <w:t xml:space="preserve">The </w:t>
      </w:r>
      <w:r w:rsidR="00312FC2" w:rsidRPr="004C04C6">
        <w:t xml:space="preserve">LAW </w:t>
      </w:r>
      <w:r w:rsidR="00D327DF" w:rsidRPr="004C04C6">
        <w:t>Profile establishes use cases, transactions, and message definitions</w:t>
      </w:r>
      <w:r w:rsidR="00312FC2" w:rsidRPr="004C04C6">
        <w:t xml:space="preserve"> based on the HL7</w:t>
      </w:r>
      <w:r w:rsidR="00C74663" w:rsidRPr="004C04C6">
        <w:rPr>
          <w:rFonts w:cstheme="minorHAnsi"/>
        </w:rPr>
        <w:t>®</w:t>
      </w:r>
      <w:r w:rsidR="00312FC2" w:rsidRPr="004C04C6">
        <w:t xml:space="preserve"> Messaging Standard v2.5.1. </w:t>
      </w:r>
      <w:r w:rsidR="00D327DF" w:rsidRPr="004C04C6">
        <w:t xml:space="preserve">LAW </w:t>
      </w:r>
      <w:r w:rsidR="00EE7490" w:rsidRPr="004C04C6">
        <w:t>w</w:t>
      </w:r>
      <w:r w:rsidR="00D327DF" w:rsidRPr="004C04C6">
        <w:t xml:space="preserve">as </w:t>
      </w:r>
      <w:r w:rsidR="00EE7490" w:rsidRPr="004C04C6">
        <w:t xml:space="preserve">published as </w:t>
      </w:r>
      <w:r w:rsidR="00D327DF" w:rsidRPr="004C04C6">
        <w:t>the CLSI AUTO16 standard</w:t>
      </w:r>
      <w:r w:rsidR="009B68B1">
        <w:rPr>
          <w:rStyle w:val="FootnoteReference"/>
        </w:rPr>
        <w:footnoteReference w:id="7"/>
      </w:r>
      <w:r w:rsidR="00D327DF" w:rsidRPr="004C04C6">
        <w:t xml:space="preserve"> for the exchange of analytical testing data between in vitro diagnostic instruments and health care informatics systems.</w:t>
      </w:r>
    </w:p>
    <w:p w14:paraId="10B67FFF" w14:textId="77777777" w:rsidR="003B746D" w:rsidRPr="004C04C6" w:rsidRDefault="00841F16">
      <w:pPr>
        <w:rPr>
          <w:rFonts w:asciiTheme="majorHAnsi" w:eastAsiaTheme="majorEastAsia" w:hAnsiTheme="majorHAnsi" w:cstheme="majorBidi"/>
          <w:b/>
          <w:bCs/>
          <w:color w:val="365F91" w:themeColor="accent1" w:themeShade="BF"/>
          <w:sz w:val="28"/>
          <w:szCs w:val="28"/>
        </w:rPr>
      </w:pPr>
      <w:r w:rsidRPr="004C04C6">
        <w:t>The LAW profile supports the transmission of LOINC, and IICC reco</w:t>
      </w:r>
      <w:r w:rsidR="004A0C3E" w:rsidRPr="004C04C6">
        <w:t>gnized the importance of this industry initiative for the adoption of standardized codes and terminologies.</w:t>
      </w:r>
      <w:r w:rsidR="00695ACE" w:rsidRPr="004C04C6">
        <w:t xml:space="preserve"> When possible, data elements discussed in this proposal were aligned with similar data elements defined by the LAW profile.</w:t>
      </w:r>
    </w:p>
    <w:p w14:paraId="44591C9F" w14:textId="77777777" w:rsidR="00424E46" w:rsidRPr="004C04C6" w:rsidRDefault="00424E46">
      <w:pPr>
        <w:pStyle w:val="Heading1"/>
      </w:pPr>
      <w:r w:rsidRPr="004C04C6">
        <w:t>Scope</w:t>
      </w:r>
    </w:p>
    <w:p w14:paraId="2F6522AA" w14:textId="28D25E37" w:rsidR="00F755F9" w:rsidRPr="004C04C6" w:rsidRDefault="006602F5">
      <w:r w:rsidRPr="004C04C6">
        <w:t>The objective of this analysis is to define a</w:t>
      </w:r>
      <w:r w:rsidR="00F755F9" w:rsidRPr="004C04C6">
        <w:t xml:space="preserve"> joint Public Health authorities &amp; </w:t>
      </w:r>
      <w:r w:rsidRPr="004C04C6">
        <w:t xml:space="preserve">IVD industry format to facilitate the publication and exchange of </w:t>
      </w:r>
      <w:r w:rsidR="00DA7D39" w:rsidRPr="004C04C6">
        <w:t>LOINC codes</w:t>
      </w:r>
    </w:p>
    <w:p w14:paraId="29ABE870" w14:textId="3D4D8AD7" w:rsidR="00657BF1" w:rsidRPr="00733758" w:rsidRDefault="00F755F9" w:rsidP="00B066E0">
      <w:pPr>
        <w:pStyle w:val="ListBullet4"/>
        <w:rPr>
          <w:lang w:val="en-US"/>
        </w:rPr>
      </w:pPr>
      <w:r w:rsidRPr="004C04C6">
        <w:rPr>
          <w:lang w:val="en-US"/>
        </w:rPr>
        <w:t>F</w:t>
      </w:r>
      <w:r w:rsidR="00DA7D39" w:rsidRPr="004C04C6">
        <w:rPr>
          <w:lang w:val="en-US"/>
        </w:rPr>
        <w:t>or vendor IVD test results</w:t>
      </w:r>
      <w:r w:rsidR="006602F5" w:rsidRPr="004C04C6">
        <w:rPr>
          <w:lang w:val="en-US"/>
        </w:rPr>
        <w:t>, based on either vendor IVD test transmission codes or manual test identification, for use by laboratory personnel or laboratory applications. It is not intended to cover information for other related activities, such as purchasing tests from a vendor.</w:t>
      </w:r>
      <w:r w:rsidR="00E60545" w:rsidRPr="004C04C6">
        <w:rPr>
          <w:lang w:val="en-US"/>
        </w:rPr>
        <w:t xml:space="preserve"> Expected systems include Laboratory Information Systems (LIS), clinical middleware applications, databases, and terminology servers.</w:t>
      </w:r>
    </w:p>
    <w:p w14:paraId="76D17A2E" w14:textId="61CA5B48" w:rsidR="00F755F9" w:rsidRPr="00733758" w:rsidRDefault="00F755F9" w:rsidP="00B066E0">
      <w:pPr>
        <w:pStyle w:val="ListBullet4"/>
        <w:rPr>
          <w:lang w:val="en-US"/>
        </w:rPr>
      </w:pPr>
      <w:r w:rsidRPr="004C04C6">
        <w:rPr>
          <w:lang w:val="en-US"/>
        </w:rPr>
        <w:t xml:space="preserve">For </w:t>
      </w:r>
      <w:r w:rsidR="00B066E0">
        <w:rPr>
          <w:lang w:val="en-US"/>
        </w:rPr>
        <w:t>organizations (e.g</w:t>
      </w:r>
      <w:r w:rsidR="009C301E">
        <w:rPr>
          <w:lang w:val="en-US"/>
        </w:rPr>
        <w:t>.</w:t>
      </w:r>
      <w:r w:rsidR="00B066E0">
        <w:rPr>
          <w:lang w:val="en-US"/>
        </w:rPr>
        <w:t xml:space="preserve"> pub</w:t>
      </w:r>
      <w:r w:rsidR="009C301E">
        <w:rPr>
          <w:lang w:val="en-US"/>
        </w:rPr>
        <w:t>l</w:t>
      </w:r>
      <w:r w:rsidR="00B066E0">
        <w:rPr>
          <w:lang w:val="en-US"/>
        </w:rPr>
        <w:t>ic health)</w:t>
      </w:r>
      <w:r w:rsidRPr="004C04C6">
        <w:rPr>
          <w:lang w:val="en-US"/>
        </w:rPr>
        <w:t xml:space="preserve"> aggregat</w:t>
      </w:r>
      <w:r w:rsidR="00B066E0">
        <w:rPr>
          <w:lang w:val="en-US"/>
        </w:rPr>
        <w:t>ing</w:t>
      </w:r>
      <w:r w:rsidRPr="004C04C6">
        <w:rPr>
          <w:lang w:val="en-US"/>
        </w:rPr>
        <w:t xml:space="preserve"> LOINC codes </w:t>
      </w:r>
      <w:r w:rsidR="00C67812">
        <w:rPr>
          <w:lang w:val="en-US"/>
        </w:rPr>
        <w:t xml:space="preserve">from several IVD manufacturers </w:t>
      </w:r>
      <w:r w:rsidRPr="004C04C6">
        <w:rPr>
          <w:lang w:val="en-US"/>
        </w:rPr>
        <w:t xml:space="preserve">for a </w:t>
      </w:r>
      <w:proofErr w:type="gramStart"/>
      <w:r w:rsidRPr="004C04C6">
        <w:rPr>
          <w:lang w:val="en-US"/>
        </w:rPr>
        <w:t>particular need</w:t>
      </w:r>
      <w:proofErr w:type="gramEnd"/>
      <w:r w:rsidR="00B066E0">
        <w:rPr>
          <w:lang w:val="en-US"/>
        </w:rPr>
        <w:t xml:space="preserve"> (such as SARS-CoV-2)</w:t>
      </w:r>
      <w:r w:rsidR="00C67812">
        <w:rPr>
          <w:lang w:val="en-US"/>
        </w:rPr>
        <w:t>.</w:t>
      </w:r>
    </w:p>
    <w:p w14:paraId="077CD3C2" w14:textId="04BE0255" w:rsidR="000D71B9" w:rsidRPr="004C04C6" w:rsidRDefault="00657BF1" w:rsidP="00B066E0">
      <w:r w:rsidRPr="004C04C6">
        <w:t xml:space="preserve">This proposal will define a </w:t>
      </w:r>
      <w:r w:rsidR="00D4219C" w:rsidRPr="004C04C6">
        <w:t>digital</w:t>
      </w:r>
      <w:r w:rsidRPr="004C04C6">
        <w:t xml:space="preserve"> format that</w:t>
      </w:r>
      <w:r w:rsidR="00662330" w:rsidRPr="004C04C6">
        <w:t xml:space="preserve"> c</w:t>
      </w:r>
      <w:r w:rsidR="006602F5" w:rsidRPr="004C04C6">
        <w:t>an be used as-is by IVD software systems to automate the mapping between vendor IVD test transmission codes and LOINC codes.</w:t>
      </w:r>
      <w:r w:rsidR="00E60545" w:rsidRPr="004C04C6">
        <w:t xml:space="preserve"> </w:t>
      </w:r>
      <w:r w:rsidR="00662330" w:rsidRPr="004C04C6">
        <w:t>It c</w:t>
      </w:r>
      <w:r w:rsidR="006602F5" w:rsidRPr="004C04C6">
        <w:t xml:space="preserve">an </w:t>
      </w:r>
      <w:r w:rsidR="00662330" w:rsidRPr="004C04C6">
        <w:t xml:space="preserve">also </w:t>
      </w:r>
      <w:r w:rsidR="006602F5" w:rsidRPr="004C04C6">
        <w:t xml:space="preserve">easily </w:t>
      </w:r>
      <w:r w:rsidR="00662330" w:rsidRPr="004C04C6">
        <w:t xml:space="preserve">be </w:t>
      </w:r>
      <w:r w:rsidR="006602F5" w:rsidRPr="004C04C6">
        <w:t xml:space="preserve">transformed into an alternate format, such as an Excel spreadsheet, to support the </w:t>
      </w:r>
      <w:r w:rsidR="00DA7D39" w:rsidRPr="004C04C6">
        <w:t xml:space="preserve">manual </w:t>
      </w:r>
      <w:r w:rsidR="006602F5" w:rsidRPr="004C04C6">
        <w:t>selection of LOINC codes for results produced by vendor IVD tests used by the laboratory.</w:t>
      </w:r>
    </w:p>
    <w:p w14:paraId="5AD47E7C" w14:textId="7C0B7B12" w:rsidR="006602F5" w:rsidRPr="004C04C6" w:rsidRDefault="009740F6">
      <w:r>
        <w:t>V</w:t>
      </w:r>
      <w:r w:rsidR="006602F5" w:rsidRPr="004C04C6">
        <w:t>endor-defined IVD tests performed by a vendor IVD instrument</w:t>
      </w:r>
      <w:r>
        <w:t>,</w:t>
      </w:r>
      <w:r w:rsidR="006602F5" w:rsidRPr="004C04C6">
        <w:t xml:space="preserve"> vendor-defined manual IVD tests</w:t>
      </w:r>
      <w:r>
        <w:t xml:space="preserve">, or </w:t>
      </w:r>
      <w:r w:rsidR="00B066E0">
        <w:t xml:space="preserve">vendor-defined </w:t>
      </w:r>
      <w:r>
        <w:t>test kit</w:t>
      </w:r>
      <w:r w:rsidR="00B066E0">
        <w:t>s</w:t>
      </w:r>
      <w:r>
        <w:t xml:space="preserve"> that may be run on </w:t>
      </w:r>
      <w:r w:rsidR="00B066E0">
        <w:t>a</w:t>
      </w:r>
      <w:r>
        <w:t xml:space="preserve"> dedicated IVD system or several such systems (possibly from different manufacturers</w:t>
      </w:r>
      <w:r w:rsidR="005F31E9">
        <w:t xml:space="preserve">) </w:t>
      </w:r>
      <w:r w:rsidR="006602F5" w:rsidRPr="004C04C6">
        <w:t>are in scope.</w:t>
      </w:r>
    </w:p>
    <w:p w14:paraId="2505400D" w14:textId="77777777" w:rsidR="006B54CB" w:rsidRPr="004C04C6" w:rsidRDefault="006602F5">
      <w:r w:rsidRPr="004C04C6">
        <w:t>This proposal will provide specific guidance on how the digital content should be structured i.e., recommendations for combining of test mapping records into aggregates.</w:t>
      </w:r>
    </w:p>
    <w:p w14:paraId="557706DE" w14:textId="3A02060C" w:rsidR="003D3519" w:rsidRPr="004C04C6" w:rsidRDefault="004942DB">
      <w:r w:rsidRPr="004C04C6">
        <w:t>Outcomes out of scope</w:t>
      </w:r>
    </w:p>
    <w:p w14:paraId="524F4BD0" w14:textId="49219BD1" w:rsidR="003D3519" w:rsidRPr="004C04C6" w:rsidRDefault="000B6188" w:rsidP="00B066E0">
      <w:pPr>
        <w:pStyle w:val="ListParagraph"/>
        <w:numPr>
          <w:ilvl w:val="0"/>
          <w:numId w:val="9"/>
        </w:numPr>
        <w:spacing w:before="0" w:after="0"/>
      </w:pPr>
      <w:r w:rsidRPr="004C04C6">
        <w:t>This proposal does not address the mapping of IVD Test Orders</w:t>
      </w:r>
      <w:r w:rsidR="0097318A" w:rsidRPr="004C04C6">
        <w:t xml:space="preserve">, which requires additional data and alignment on a standardized coding system for orders. Although IVD Test Orders and IVD Test Results are </w:t>
      </w:r>
      <w:r w:rsidR="00B14E68" w:rsidRPr="004C04C6">
        <w:t>related</w:t>
      </w:r>
      <w:r w:rsidR="0097318A" w:rsidRPr="004C04C6">
        <w:t xml:space="preserve">, information required for </w:t>
      </w:r>
      <w:r w:rsidR="00B14E68" w:rsidRPr="004C04C6">
        <w:t>IVD Test</w:t>
      </w:r>
      <w:r w:rsidR="0097318A" w:rsidRPr="004C04C6">
        <w:t xml:space="preserve"> Order mapping should be provided by a separate mapping table.</w:t>
      </w:r>
    </w:p>
    <w:p w14:paraId="471C4A3F" w14:textId="77777777" w:rsidR="003D3519" w:rsidRPr="004C04C6" w:rsidRDefault="001617B4">
      <w:pPr>
        <w:pStyle w:val="ListParagraph"/>
        <w:numPr>
          <w:ilvl w:val="0"/>
          <w:numId w:val="9"/>
        </w:numPr>
      </w:pPr>
      <w:r w:rsidRPr="004C04C6">
        <w:t>This proposal does not address any long-term or common storage locations vendors may agree upon to host the published LOINC codes or regulatory impacts of vendors providing LOINC codes for their IVD tests.</w:t>
      </w:r>
    </w:p>
    <w:p w14:paraId="23592B01" w14:textId="77777777" w:rsidR="003D3519" w:rsidRPr="004C04C6" w:rsidRDefault="001617B4">
      <w:pPr>
        <w:pStyle w:val="ListParagraph"/>
        <w:numPr>
          <w:ilvl w:val="0"/>
          <w:numId w:val="9"/>
        </w:numPr>
      </w:pPr>
      <w:r w:rsidRPr="004C04C6">
        <w:t>This proposal does not address the use of specific protocols or technologies that could be used to transmit the industry-defined digital content between IVD systems.</w:t>
      </w:r>
    </w:p>
    <w:p w14:paraId="2ED39038" w14:textId="77777777" w:rsidR="003D3519" w:rsidRPr="004C04C6" w:rsidRDefault="001617B4">
      <w:pPr>
        <w:pStyle w:val="ListParagraph"/>
        <w:numPr>
          <w:ilvl w:val="0"/>
          <w:numId w:val="9"/>
        </w:numPr>
      </w:pPr>
      <w:r w:rsidRPr="004C04C6">
        <w:t>This proposal does not include transmitting LOINC codes directly from IVD instruments, leaving that content to be represented by vendor-defined codes due to issues in achieving one-to-one appropriate LOINC codes, as discussed in the Data Definition section.</w:t>
      </w:r>
    </w:p>
    <w:p w14:paraId="0550796E" w14:textId="6744823C" w:rsidR="003D3519" w:rsidRPr="004C04C6" w:rsidRDefault="001617B4">
      <w:pPr>
        <w:pStyle w:val="ListParagraph"/>
        <w:numPr>
          <w:ilvl w:val="0"/>
          <w:numId w:val="9"/>
        </w:numPr>
      </w:pPr>
      <w:r w:rsidRPr="004C04C6">
        <w:t xml:space="preserve">This proposal does not address which LOINC codes </w:t>
      </w:r>
      <w:r w:rsidR="00E66C9D" w:rsidRPr="004C04C6">
        <w:t xml:space="preserve">publishers </w:t>
      </w:r>
      <w:r w:rsidRPr="004C04C6">
        <w:t>should choose for their tests, or what content is needed to make this decision</w:t>
      </w:r>
      <w:r w:rsidR="00E66C9D" w:rsidRPr="004C04C6">
        <w:t>; readers should refer to the guides offered by LOINC for this purpose</w:t>
      </w:r>
      <w:r w:rsidR="001A2944" w:rsidRPr="004C04C6">
        <w:rPr>
          <w:rStyle w:val="FootnoteReference"/>
        </w:rPr>
        <w:footnoteReference w:id="8"/>
      </w:r>
      <w:r w:rsidRPr="004C04C6">
        <w:t>. It only addresses the format used to publish these associations, for use by laboratory personnel or laboratory applications.</w:t>
      </w:r>
    </w:p>
    <w:p w14:paraId="3C627B92" w14:textId="77777777" w:rsidR="001A2944" w:rsidRPr="004C04C6" w:rsidRDefault="001617B4">
      <w:pPr>
        <w:pStyle w:val="ListParagraph"/>
        <w:numPr>
          <w:ilvl w:val="0"/>
          <w:numId w:val="9"/>
        </w:numPr>
      </w:pPr>
      <w:r w:rsidRPr="004C04C6">
        <w:t>This proposal does not address what information is required to automatically set up a configuration between an IVD instrument and an IVD software system.</w:t>
      </w:r>
    </w:p>
    <w:p w14:paraId="7024564A" w14:textId="77777777" w:rsidR="001A2944" w:rsidRPr="004C04C6" w:rsidRDefault="001A2944" w:rsidP="00B066E0"/>
    <w:p w14:paraId="7B4F3691" w14:textId="69D42936" w:rsidR="00AF02ED" w:rsidRPr="004C04C6" w:rsidRDefault="00AF02ED" w:rsidP="00B066E0"/>
    <w:p w14:paraId="177C3204" w14:textId="77777777" w:rsidR="00CE27FE" w:rsidRPr="004C04C6" w:rsidRDefault="00CE27FE" w:rsidP="00CE27FE">
      <w:pPr>
        <w:pStyle w:val="Heading1"/>
      </w:pPr>
      <w:r w:rsidRPr="004C04C6">
        <w:t>Data Definition</w:t>
      </w:r>
    </w:p>
    <w:p w14:paraId="1297707D" w14:textId="77777777" w:rsidR="00CE27FE" w:rsidRPr="004C04C6" w:rsidRDefault="00CE27FE" w:rsidP="00CE27FE">
      <w:r w:rsidRPr="004C04C6">
        <w:t>The following data definition is proposed as the content for the publication of LOINC codes for vendor IVD test results. The data definition supports the following mappings:</w:t>
      </w:r>
    </w:p>
    <w:p w14:paraId="56C32541" w14:textId="77777777" w:rsidR="00CE27FE" w:rsidRPr="004C04C6" w:rsidRDefault="00CE27FE" w:rsidP="00CE27FE">
      <w:pPr>
        <w:pStyle w:val="ListParagraph"/>
        <w:numPr>
          <w:ilvl w:val="0"/>
          <w:numId w:val="10"/>
        </w:numPr>
      </w:pPr>
      <w:r w:rsidRPr="004C04C6">
        <w:t xml:space="preserve">One vendor </w:t>
      </w:r>
      <w:r w:rsidRPr="004C04C6">
        <w:rPr>
          <w:b/>
          <w:i/>
        </w:rPr>
        <w:t>IVD Test Result</w:t>
      </w:r>
      <w:r w:rsidRPr="004C04C6">
        <w:t xml:space="preserve"> to many </w:t>
      </w:r>
      <w:r w:rsidRPr="004C04C6">
        <w:rPr>
          <w:b/>
          <w:i/>
        </w:rPr>
        <w:t>LOINC</w:t>
      </w:r>
      <w:r w:rsidRPr="004C04C6">
        <w:t>s</w:t>
      </w:r>
      <w:r w:rsidRPr="004C04C6">
        <w:rPr>
          <w:b/>
          <w:i/>
        </w:rPr>
        <w:t xml:space="preserve"> </w:t>
      </w:r>
    </w:p>
    <w:p w14:paraId="17791126" w14:textId="77777777" w:rsidR="00CE27FE" w:rsidRPr="004C04C6" w:rsidRDefault="00CE27FE" w:rsidP="00CE27FE">
      <w:pPr>
        <w:pStyle w:val="ListParagraph"/>
        <w:numPr>
          <w:ilvl w:val="1"/>
          <w:numId w:val="10"/>
        </w:numPr>
      </w:pPr>
      <w:r w:rsidRPr="004C04C6">
        <w:t>This is a very common occurrence. For example, an IVD test for serum glucose could map to a LOINC code for a mass concentration (e.g. mg/dL) or one that defines a substance concentration (e.g. mol/L). Or, a urine albumin could map to a LOINC test for a 24 hour excretion rate with units of mg</w:t>
      </w:r>
      <w:proofErr w:type="gramStart"/>
      <w:r w:rsidRPr="004C04C6">
        <w:t>/(</w:t>
      </w:r>
      <w:proofErr w:type="gramEnd"/>
      <w:r w:rsidRPr="004C04C6">
        <w:t>24.h),  versus one for a random urine with unit of md/dL.</w:t>
      </w:r>
    </w:p>
    <w:p w14:paraId="1A938CD0" w14:textId="77777777" w:rsidR="00CE27FE" w:rsidRPr="004C04C6" w:rsidRDefault="00CE27FE" w:rsidP="00CE27FE">
      <w:pPr>
        <w:pStyle w:val="ListParagraph"/>
        <w:numPr>
          <w:ilvl w:val="1"/>
          <w:numId w:val="10"/>
        </w:numPr>
      </w:pPr>
      <w:r w:rsidRPr="004C04C6">
        <w:t>The structure of the data definition naturally supports this relationship.</w:t>
      </w:r>
      <w:r w:rsidRPr="004C04C6">
        <w:br/>
      </w:r>
    </w:p>
    <w:p w14:paraId="298DCF45" w14:textId="77777777" w:rsidR="00CE27FE" w:rsidRPr="004C04C6" w:rsidRDefault="00CE27FE" w:rsidP="00CE27FE">
      <w:pPr>
        <w:pStyle w:val="ListParagraph"/>
        <w:numPr>
          <w:ilvl w:val="0"/>
          <w:numId w:val="10"/>
        </w:numPr>
      </w:pPr>
      <w:r w:rsidRPr="004C04C6">
        <w:t xml:space="preserve">One </w:t>
      </w:r>
      <w:r w:rsidRPr="004C04C6">
        <w:rPr>
          <w:b/>
        </w:rPr>
        <w:t xml:space="preserve">LOINC </w:t>
      </w:r>
      <w:r w:rsidRPr="004C04C6">
        <w:t xml:space="preserve">to many vendor </w:t>
      </w:r>
      <w:r w:rsidRPr="004C04C6">
        <w:rPr>
          <w:b/>
        </w:rPr>
        <w:t>IVD Test Result</w:t>
      </w:r>
      <w:r w:rsidRPr="004C04C6">
        <w:t xml:space="preserve">s </w:t>
      </w:r>
    </w:p>
    <w:p w14:paraId="40555D63" w14:textId="77777777" w:rsidR="00CE27FE" w:rsidRPr="004C04C6" w:rsidRDefault="00CE27FE" w:rsidP="00CE27FE">
      <w:pPr>
        <w:pStyle w:val="ListParagraph"/>
        <w:numPr>
          <w:ilvl w:val="1"/>
          <w:numId w:val="10"/>
        </w:numPr>
      </w:pPr>
      <w:r w:rsidRPr="004C04C6">
        <w:t>This is a much less common occurrence</w:t>
      </w:r>
      <w:r>
        <w:t xml:space="preserve"> for </w:t>
      </w:r>
      <w:r w:rsidRPr="00622681">
        <w:rPr>
          <w:b/>
          <w:i/>
        </w:rPr>
        <w:t>IVD Test Result</w:t>
      </w:r>
      <w:r>
        <w:t>s published by a single vendor</w:t>
      </w:r>
      <w:r w:rsidRPr="004C04C6">
        <w:t xml:space="preserve">. </w:t>
      </w:r>
    </w:p>
    <w:p w14:paraId="25EC7835" w14:textId="77777777" w:rsidR="00CE27FE" w:rsidRPr="004C04C6" w:rsidRDefault="00CE27FE" w:rsidP="00CE27FE">
      <w:pPr>
        <w:pStyle w:val="ListParagraph"/>
        <w:numPr>
          <w:ilvl w:val="2"/>
          <w:numId w:val="10"/>
        </w:numPr>
      </w:pPr>
      <w:r w:rsidRPr="004C04C6">
        <w:t>For example, an IVD instrument may distinguish stat tests from routine tests by the IVD test code. In this case, the LOINC [</w:t>
      </w:r>
      <w:bookmarkStart w:id="6" w:name="__DdeLink__4897_1623027674"/>
      <w:r w:rsidRPr="004C04C6">
        <w:t>13969-1</w:t>
      </w:r>
      <w:bookmarkEnd w:id="6"/>
      <w:r w:rsidRPr="004C04C6">
        <w:t xml:space="preserve">] </w:t>
      </w:r>
      <w:r w:rsidRPr="004C04C6">
        <w:rPr>
          <w:i/>
          <w:iCs/>
        </w:rPr>
        <w:t xml:space="preserve">Creatine </w:t>
      </w:r>
      <w:proofErr w:type="spellStart"/>
      <w:proofErr w:type="gramStart"/>
      <w:r w:rsidRPr="004C04C6">
        <w:rPr>
          <w:i/>
          <w:iCs/>
        </w:rPr>
        <w:t>kinase.MB</w:t>
      </w:r>
      <w:proofErr w:type="spellEnd"/>
      <w:proofErr w:type="gramEnd"/>
      <w:r w:rsidRPr="004C04C6">
        <w:rPr>
          <w:i/>
          <w:iCs/>
        </w:rPr>
        <w:t xml:space="preserve"> [Mass/​volume] in Serum or Plasma</w:t>
      </w:r>
      <w:r w:rsidRPr="004C04C6">
        <w:t xml:space="preserve"> is associated with two </w:t>
      </w:r>
      <w:r w:rsidRPr="004C04C6">
        <w:rPr>
          <w:b/>
          <w:i/>
        </w:rPr>
        <w:t>IVD Test Result</w:t>
      </w:r>
      <w:r w:rsidRPr="004C04C6">
        <w:t xml:space="preserve">s, depending if the test is routine or stat (prioritized). </w:t>
      </w:r>
    </w:p>
    <w:p w14:paraId="7BCC498A" w14:textId="77777777" w:rsidR="00CE27FE" w:rsidRPr="004C04C6" w:rsidRDefault="00CE27FE" w:rsidP="00CE27FE">
      <w:pPr>
        <w:pStyle w:val="ListParagraph"/>
        <w:numPr>
          <w:ilvl w:val="2"/>
          <w:numId w:val="10"/>
        </w:numPr>
      </w:pPr>
      <w:r w:rsidRPr="004C04C6">
        <w:t>Or, consider a susceptibility test that has different IVD Test IDs based on the original specimen source. In this case, the LOINC [</w:t>
      </w:r>
      <w:bookmarkStart w:id="7" w:name="__DdeLink__4899_1623027674"/>
      <w:r w:rsidRPr="004C04C6">
        <w:t>6932-8</w:t>
      </w:r>
      <w:bookmarkEnd w:id="7"/>
      <w:r w:rsidRPr="004C04C6">
        <w:t xml:space="preserve">] </w:t>
      </w:r>
      <w:r w:rsidRPr="004C04C6">
        <w:rPr>
          <w:i/>
          <w:iCs/>
        </w:rPr>
        <w:t xml:space="preserve">Penicillin [Susceptibility] by Minimum inhibitory concentration (MIC), </w:t>
      </w:r>
      <w:r w:rsidRPr="004C04C6">
        <w:rPr>
          <w:iCs/>
        </w:rPr>
        <w:t>which is named for testing on the isolate,</w:t>
      </w:r>
      <w:r w:rsidRPr="004C04C6">
        <w:t xml:space="preserve"> could be associated with multiple </w:t>
      </w:r>
      <w:r w:rsidRPr="004C04C6">
        <w:rPr>
          <w:b/>
          <w:i/>
        </w:rPr>
        <w:t>IVD Test Result</w:t>
      </w:r>
      <w:r w:rsidRPr="004C04C6">
        <w:t>s for one IVD Instrument depending on the clinical context. For example, the break points are different for suspected meningitis versus blood infections and to date LOINC has only distinguished test codes by suspected source of infection for some antibiotic susceptibility codes.</w:t>
      </w:r>
    </w:p>
    <w:p w14:paraId="672E2D7D" w14:textId="77777777" w:rsidR="00CE27FE" w:rsidRPr="004C04C6" w:rsidRDefault="00CE27FE" w:rsidP="00CE27FE">
      <w:pPr>
        <w:pStyle w:val="ListParagraph"/>
        <w:numPr>
          <w:ilvl w:val="1"/>
          <w:numId w:val="10"/>
        </w:numPr>
      </w:pPr>
      <w:r w:rsidRPr="004C04C6">
        <w:t xml:space="preserve">The structure of the data definition supports this relationship through repeating LOINC data content across multiple </w:t>
      </w:r>
      <w:r w:rsidRPr="004C04C6">
        <w:rPr>
          <w:b/>
          <w:i/>
        </w:rPr>
        <w:t>IVD Test Result</w:t>
      </w:r>
      <w:r w:rsidRPr="004C04C6">
        <w:t>s.</w:t>
      </w:r>
    </w:p>
    <w:p w14:paraId="71940613" w14:textId="77777777" w:rsidR="00CE27FE" w:rsidRPr="004C04C6" w:rsidRDefault="00CE27FE" w:rsidP="00CE27FE">
      <w:pPr>
        <w:spacing w:before="0"/>
        <w:ind w:left="0"/>
        <w:jc w:val="left"/>
      </w:pPr>
      <w:r w:rsidRPr="004C04C6">
        <w:br w:type="page"/>
      </w:r>
    </w:p>
    <w:p w14:paraId="480360BF" w14:textId="77777777" w:rsidR="00CE27FE" w:rsidRPr="004C04C6" w:rsidRDefault="00CE27FE" w:rsidP="00CE27FE">
      <w:pPr>
        <w:pStyle w:val="Heading2"/>
      </w:pPr>
      <w:r w:rsidRPr="009C50E8">
        <w:rPr>
          <w:noProof/>
          <w:lang w:val="fr-FR" w:eastAsia="zh-CN" w:bidi="th-TH"/>
        </w:rPr>
        <mc:AlternateContent>
          <mc:Choice Requires="wps">
            <w:drawing>
              <wp:anchor distT="0" distB="0" distL="114300" distR="114300" simplePos="0" relativeHeight="251660289" behindDoc="1" locked="0" layoutInCell="1" allowOverlap="1" wp14:anchorId="2C5AE2F8" wp14:editId="35C20AD4">
                <wp:simplePos x="0" y="0"/>
                <wp:positionH relativeFrom="column">
                  <wp:posOffset>914400</wp:posOffset>
                </wp:positionH>
                <wp:positionV relativeFrom="paragraph">
                  <wp:posOffset>347980</wp:posOffset>
                </wp:positionV>
                <wp:extent cx="5648325" cy="2558415"/>
                <wp:effectExtent l="0" t="0" r="28575" b="2349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2558415"/>
                        </a:xfrm>
                        <a:prstGeom prst="rect">
                          <a:avLst/>
                        </a:prstGeom>
                        <a:solidFill>
                          <a:srgbClr val="FFFFFF"/>
                        </a:solidFill>
                        <a:ln w="9525">
                          <a:solidFill>
                            <a:srgbClr val="000000"/>
                          </a:solidFill>
                          <a:miter lim="800000"/>
                          <a:headEnd/>
                          <a:tailEnd/>
                        </a:ln>
                      </wps:spPr>
                      <wps:txbx>
                        <w:txbxContent>
                          <w:p w14:paraId="40736E49" w14:textId="77777777" w:rsidR="00FD4B50" w:rsidRPr="00A55A39" w:rsidRDefault="00FD4B50" w:rsidP="00CE27FE">
                            <w:pPr>
                              <w:pStyle w:val="Tabletext"/>
                            </w:pPr>
                            <w:r w:rsidRPr="00A55A39">
                              <w:t>Conventions for the Data Definition</w:t>
                            </w:r>
                          </w:p>
                          <w:p w14:paraId="275AB07A" w14:textId="77777777" w:rsidR="00FD4B50" w:rsidRPr="00A55A39" w:rsidRDefault="00FD4B50" w:rsidP="00CE27FE">
                            <w:pPr>
                              <w:pStyle w:val="Tabletext"/>
                            </w:pPr>
                            <w:r>
                              <w:t xml:space="preserve">(k) </w:t>
                            </w:r>
                            <w:r w:rsidRPr="00A55A39">
                              <w:t xml:space="preserve">Used to identify the elements that identify a unique </w:t>
                            </w:r>
                            <w:r w:rsidRPr="006D569A">
                              <w:rPr>
                                <w:i/>
                              </w:rPr>
                              <w:t>IVD Test Result</w:t>
                            </w:r>
                            <w:r w:rsidRPr="00A55A39">
                              <w:t xml:space="preserve"> to </w:t>
                            </w:r>
                            <w:r w:rsidRPr="006D569A">
                              <w:rPr>
                                <w:i/>
                              </w:rPr>
                              <w:t>LOINC</w:t>
                            </w:r>
                            <w:r w:rsidRPr="00A55A39">
                              <w:t xml:space="preserve"> mapping. Each element is a member of the composite key.</w:t>
                            </w:r>
                          </w:p>
                          <w:p w14:paraId="5D30F682" w14:textId="77777777" w:rsidR="00FD4B50" w:rsidRPr="00A55A39" w:rsidRDefault="00FD4B50" w:rsidP="00CE27FE">
                            <w:pPr>
                              <w:pStyle w:val="Tabletext"/>
                            </w:pPr>
                            <w:r>
                              <w:t>1..1</w:t>
                            </w:r>
                            <w:r>
                              <w:tab/>
                            </w:r>
                            <w:r w:rsidRPr="00A55A39">
                              <w:t>The item is mandatory, and only one occurrence of the item must be included.</w:t>
                            </w:r>
                          </w:p>
                          <w:p w14:paraId="3A6DD04A" w14:textId="77777777" w:rsidR="00FD4B50" w:rsidRPr="00A55A39" w:rsidRDefault="00FD4B50" w:rsidP="00CE27FE">
                            <w:pPr>
                              <w:pStyle w:val="Tabletext"/>
                            </w:pPr>
                            <w:proofErr w:type="gramStart"/>
                            <w:r>
                              <w:t>1..*</w:t>
                            </w:r>
                            <w:proofErr w:type="gramEnd"/>
                            <w:r>
                              <w:tab/>
                            </w:r>
                            <w:r w:rsidRPr="00A55A39">
                              <w:t>The item is mandatory, and one or more occurrences of the items must be provided.</w:t>
                            </w:r>
                          </w:p>
                          <w:p w14:paraId="21DC726A" w14:textId="77777777" w:rsidR="00FD4B50" w:rsidRPr="00A55A39" w:rsidRDefault="00FD4B50" w:rsidP="00CE27FE">
                            <w:pPr>
                              <w:pStyle w:val="Tabletext"/>
                            </w:pPr>
                            <w:r>
                              <w:t>0..1</w:t>
                            </w:r>
                            <w:r>
                              <w:tab/>
                            </w:r>
                            <w:r w:rsidRPr="00A55A39">
                              <w:t>The item is optional. If provided, only one occurrence is included.</w:t>
                            </w:r>
                          </w:p>
                          <w:p w14:paraId="211E0395" w14:textId="77777777" w:rsidR="00FD4B50" w:rsidRPr="00A55A39" w:rsidRDefault="00FD4B50" w:rsidP="00CE27FE">
                            <w:pPr>
                              <w:pStyle w:val="Tabletext"/>
                            </w:pPr>
                            <w:proofErr w:type="gramStart"/>
                            <w:r>
                              <w:t>0..*</w:t>
                            </w:r>
                            <w:proofErr w:type="gramEnd"/>
                            <w:r>
                              <w:tab/>
                            </w:r>
                            <w:r w:rsidRPr="00A55A39">
                              <w:t>The item is optional. If provided, one or more occurrences of the item may be included.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5AE2F8" id="_x0000_t202" coordsize="21600,21600" o:spt="202" path="m,l,21600r21600,l21600,xe">
                <v:stroke joinstyle="miter"/>
                <v:path gradientshapeok="t" o:connecttype="rect"/>
              </v:shapetype>
              <v:shape id="Text Box 2" o:spid="_x0000_s1027" type="#_x0000_t202" style="position:absolute;left:0;text-align:left;margin-left:1in;margin-top:27.4pt;width:444.75pt;height:201.45pt;z-index:-251656191;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">
                <v:textbox style="mso-fit-shape-to-text:t">
                  <w:txbxContent>
                    <w:p w14:paraId="40736E49" w14:textId="77777777" w:rsidR="00FD4B50" w:rsidRPr="00A55A39" w:rsidRDefault="00FD4B50" w:rsidP="00CE27FE">
                      <w:pPr>
                        <w:pStyle w:val="Tabletext"/>
                      </w:pPr>
                      <w:r w:rsidRPr="00A55A39">
                        <w:t>Conventions for the Data Definition</w:t>
                      </w:r>
                    </w:p>
                    <w:p w14:paraId="275AB07A" w14:textId="77777777" w:rsidR="00FD4B50" w:rsidRPr="00A55A39" w:rsidRDefault="00FD4B50" w:rsidP="00CE27FE">
                      <w:pPr>
                        <w:pStyle w:val="Tabletext"/>
                      </w:pPr>
                      <w:r>
                        <w:t xml:space="preserve">(k) </w:t>
                      </w:r>
                      <w:r w:rsidRPr="00A55A39">
                        <w:t xml:space="preserve">Used to identify the elements that identify a unique </w:t>
                      </w:r>
                      <w:r w:rsidRPr="006D569A">
                        <w:rPr>
                          <w:i/>
                        </w:rPr>
                        <w:t>IVD Test Result</w:t>
                      </w:r>
                      <w:r w:rsidRPr="00A55A39">
                        <w:t xml:space="preserve"> to </w:t>
                      </w:r>
                      <w:r w:rsidRPr="006D569A">
                        <w:rPr>
                          <w:i/>
                        </w:rPr>
                        <w:t>LOINC</w:t>
                      </w:r>
                      <w:r w:rsidRPr="00A55A39">
                        <w:t xml:space="preserve"> mapping. Each element is a member of the composite key.</w:t>
                      </w:r>
                    </w:p>
                    <w:p w14:paraId="5D30F682" w14:textId="77777777" w:rsidR="00FD4B50" w:rsidRPr="00A55A39" w:rsidRDefault="00FD4B50" w:rsidP="00CE27FE">
                      <w:pPr>
                        <w:pStyle w:val="Tabletext"/>
                      </w:pPr>
                      <w:r>
                        <w:t>1..1</w:t>
                      </w:r>
                      <w:r>
                        <w:tab/>
                      </w:r>
                      <w:r w:rsidRPr="00A55A39">
                        <w:t>The item is mandatory, and only one occurrence of the item must be included.</w:t>
                      </w:r>
                    </w:p>
                    <w:p w14:paraId="3A6DD04A" w14:textId="77777777" w:rsidR="00FD4B50" w:rsidRPr="00A55A39" w:rsidRDefault="00FD4B50" w:rsidP="00CE27FE">
                      <w:pPr>
                        <w:pStyle w:val="Tabletext"/>
                      </w:pPr>
                      <w:proofErr w:type="gramStart"/>
                      <w:r>
                        <w:t>1..*</w:t>
                      </w:r>
                      <w:proofErr w:type="gramEnd"/>
                      <w:r>
                        <w:tab/>
                      </w:r>
                      <w:r w:rsidRPr="00A55A39">
                        <w:t>The item is mandatory, and one or more occurrences of the items must be provided.</w:t>
                      </w:r>
                    </w:p>
                    <w:p w14:paraId="21DC726A" w14:textId="77777777" w:rsidR="00FD4B50" w:rsidRPr="00A55A39" w:rsidRDefault="00FD4B50" w:rsidP="00CE27FE">
                      <w:pPr>
                        <w:pStyle w:val="Tabletext"/>
                      </w:pPr>
                      <w:r>
                        <w:t>0..1</w:t>
                      </w:r>
                      <w:r>
                        <w:tab/>
                      </w:r>
                      <w:r w:rsidRPr="00A55A39">
                        <w:t>The item is optional. If provided, only one occurrence is included.</w:t>
                      </w:r>
                    </w:p>
                    <w:p w14:paraId="211E0395" w14:textId="77777777" w:rsidR="00FD4B50" w:rsidRPr="00A55A39" w:rsidRDefault="00FD4B50" w:rsidP="00CE27FE">
                      <w:pPr>
                        <w:pStyle w:val="Tabletext"/>
                      </w:pPr>
                      <w:proofErr w:type="gramStart"/>
                      <w:r>
                        <w:t>0..*</w:t>
                      </w:r>
                      <w:proofErr w:type="gramEnd"/>
                      <w:r>
                        <w:tab/>
                      </w:r>
                      <w:r w:rsidRPr="00A55A39">
                        <w:t>The item is optional. If provided, one or more occurrences of the item may be included.</w:t>
                      </w:r>
                    </w:p>
                  </w:txbxContent>
                </v:textbox>
                <w10:wrap type="topAndBottom"/>
              </v:shape>
            </w:pict>
          </mc:Fallback>
        </mc:AlternateContent>
      </w:r>
      <w:r w:rsidRPr="004C04C6">
        <w:t>Conventions</w:t>
      </w:r>
    </w:p>
    <w:p w14:paraId="44A36969" w14:textId="77777777" w:rsidR="00CE27FE" w:rsidRPr="004C04C6" w:rsidRDefault="00CE27FE" w:rsidP="00CE27FE"/>
    <w:p w14:paraId="5644F588" w14:textId="77777777" w:rsidR="00CE27FE" w:rsidRPr="004C04C6" w:rsidRDefault="00CE27FE" w:rsidP="00473233">
      <w:pPr>
        <w:pStyle w:val="Heading2"/>
      </w:pPr>
      <w:r>
        <w:t xml:space="preserve">LIVD </w:t>
      </w:r>
      <w:r w:rsidRPr="004C04C6">
        <w:t>Publication</w:t>
      </w:r>
    </w:p>
    <w:p w14:paraId="2E8C34C1" w14:textId="77777777" w:rsidR="00CE27FE" w:rsidRPr="004C04C6" w:rsidRDefault="00CE27FE" w:rsidP="00CE27FE">
      <w:r w:rsidRPr="004C04C6">
        <w:t>This information establishes the publisher of the document.</w:t>
      </w:r>
    </w:p>
    <w:p w14:paraId="53D09B7E" w14:textId="77777777" w:rsidR="00CE27FE" w:rsidRPr="000578BD" w:rsidRDefault="00CE27FE" w:rsidP="00CE27FE">
      <w:pPr>
        <w:pStyle w:val="ListBullet4"/>
        <w:rPr>
          <w:lang w:val="en-US"/>
        </w:rPr>
      </w:pPr>
      <w:r w:rsidRPr="000578BD">
        <w:rPr>
          <w:b/>
          <w:i/>
          <w:lang w:val="en-US"/>
        </w:rPr>
        <w:t xml:space="preserve">Publisher </w:t>
      </w:r>
      <w:r w:rsidRPr="000578BD">
        <w:rPr>
          <w:lang w:val="en-US"/>
        </w:rPr>
        <w:t>is the entity publishing the mapping information.</w:t>
      </w:r>
    </w:p>
    <w:p w14:paraId="04EA0047" w14:textId="77777777" w:rsidR="00CE27FE" w:rsidRPr="000578BD" w:rsidRDefault="00CE27FE" w:rsidP="00CE27FE">
      <w:pPr>
        <w:pStyle w:val="ListBullet4"/>
        <w:rPr>
          <w:b/>
          <w:lang w:val="en-US"/>
        </w:rPr>
      </w:pPr>
      <w:r w:rsidRPr="00CB64F4">
        <w:rPr>
          <w:b/>
          <w:bCs/>
          <w:i/>
          <w:iCs/>
          <w:lang w:val="en-US"/>
        </w:rPr>
        <w:t>Document Identifier</w:t>
      </w:r>
      <w:r w:rsidRPr="000578BD">
        <w:rPr>
          <w:lang w:val="en-US"/>
        </w:rPr>
        <w:t xml:space="preserve"> is </w:t>
      </w:r>
      <w:r>
        <w:rPr>
          <w:lang w:val="en-US"/>
        </w:rPr>
        <w:t xml:space="preserve">the </w:t>
      </w:r>
      <w:r w:rsidRPr="000578BD">
        <w:rPr>
          <w:lang w:val="en-US"/>
        </w:rPr>
        <w:t>publisher</w:t>
      </w:r>
      <w:r>
        <w:rPr>
          <w:lang w:val="en-US"/>
        </w:rPr>
        <w:t>’s</w:t>
      </w:r>
      <w:r w:rsidRPr="000578BD">
        <w:rPr>
          <w:lang w:val="en-US"/>
        </w:rPr>
        <w:t xml:space="preserve"> identifier for the document</w:t>
      </w:r>
    </w:p>
    <w:p w14:paraId="20194C8E" w14:textId="77777777" w:rsidR="00CE27FE" w:rsidRPr="000578BD" w:rsidRDefault="00CE27FE" w:rsidP="00CE27FE">
      <w:pPr>
        <w:pStyle w:val="ListBullet4"/>
        <w:rPr>
          <w:b/>
          <w:lang w:val="en-US"/>
        </w:rPr>
      </w:pPr>
      <w:r w:rsidRPr="00CB64F4">
        <w:rPr>
          <w:b/>
          <w:bCs/>
          <w:i/>
          <w:iCs/>
          <w:lang w:val="en-US"/>
        </w:rPr>
        <w:t>Publication date</w:t>
      </w:r>
      <w:r w:rsidRPr="000578BD">
        <w:rPr>
          <w:lang w:val="en-US"/>
        </w:rPr>
        <w:t xml:space="preserve"> is the date of publication</w:t>
      </w:r>
    </w:p>
    <w:p w14:paraId="059AB63C" w14:textId="77777777" w:rsidR="00CE27FE" w:rsidRPr="000578BD" w:rsidRDefault="00CE27FE" w:rsidP="00CE27FE">
      <w:pPr>
        <w:pStyle w:val="ListBullet4"/>
        <w:rPr>
          <w:b/>
          <w:lang w:val="en-US"/>
        </w:rPr>
      </w:pPr>
      <w:r w:rsidRPr="00CB64F4">
        <w:rPr>
          <w:b/>
          <w:bCs/>
          <w:i/>
          <w:iCs/>
          <w:lang w:val="en-US"/>
        </w:rPr>
        <w:t>Publisher URL</w:t>
      </w:r>
      <w:r w:rsidRPr="000578BD">
        <w:rPr>
          <w:lang w:val="en-US"/>
        </w:rPr>
        <w:t xml:space="preserve"> is </w:t>
      </w:r>
      <w:r>
        <w:rPr>
          <w:lang w:val="en-US"/>
        </w:rPr>
        <w:t>to the</w:t>
      </w:r>
      <w:r w:rsidRPr="000578BD">
        <w:rPr>
          <w:lang w:val="en-US"/>
        </w:rPr>
        <w:t xml:space="preserve"> publisher website</w:t>
      </w:r>
    </w:p>
    <w:p w14:paraId="1B4DDCB0" w14:textId="77777777" w:rsidR="00CE27FE" w:rsidRPr="000578BD" w:rsidRDefault="00CE27FE" w:rsidP="00CE27FE">
      <w:pPr>
        <w:pStyle w:val="ListBullet4"/>
        <w:rPr>
          <w:lang w:val="en-US"/>
        </w:rPr>
      </w:pPr>
      <w:r w:rsidRPr="00CB64F4">
        <w:rPr>
          <w:b/>
          <w:bCs/>
          <w:i/>
          <w:iCs/>
          <w:lang w:val="en-US"/>
        </w:rPr>
        <w:t>Publisher Statement</w:t>
      </w:r>
      <w:r w:rsidRPr="000578BD">
        <w:rPr>
          <w:lang w:val="en-US"/>
        </w:rPr>
        <w:t xml:space="preserve"> is </w:t>
      </w:r>
      <w:r>
        <w:rPr>
          <w:lang w:val="en-US"/>
        </w:rPr>
        <w:t xml:space="preserve">a publisher </w:t>
      </w:r>
      <w:r w:rsidRPr="000578BD">
        <w:rPr>
          <w:lang w:val="en-US"/>
        </w:rPr>
        <w:t xml:space="preserve">statement </w:t>
      </w:r>
      <w:r>
        <w:rPr>
          <w:lang w:val="en-US"/>
        </w:rPr>
        <w:t>about</w:t>
      </w:r>
      <w:r w:rsidRPr="000578BD">
        <w:rPr>
          <w:lang w:val="en-US"/>
        </w:rPr>
        <w:t xml:space="preserve"> </w:t>
      </w:r>
      <w:r>
        <w:rPr>
          <w:lang w:val="en-US"/>
        </w:rPr>
        <w:t xml:space="preserve">the </w:t>
      </w:r>
      <w:r w:rsidRPr="000578BD">
        <w:rPr>
          <w:lang w:val="en-US"/>
        </w:rPr>
        <w:t>document</w:t>
      </w:r>
    </w:p>
    <w:p w14:paraId="15180AF5" w14:textId="77777777" w:rsidR="00CE27FE" w:rsidRPr="000578BD" w:rsidRDefault="00CE27FE" w:rsidP="00CE27FE">
      <w:pPr>
        <w:pStyle w:val="ListBullet4"/>
        <w:rPr>
          <w:lang w:val="en-US"/>
        </w:rPr>
      </w:pPr>
      <w:r w:rsidRPr="000578BD">
        <w:rPr>
          <w:lang w:val="en-US"/>
        </w:rPr>
        <w:t xml:space="preserve">The </w:t>
      </w:r>
      <w:hyperlink r:id="rId11">
        <w:r w:rsidRPr="000578BD">
          <w:rPr>
            <w:rStyle w:val="InternetLink"/>
            <w:lang w:val="en-US"/>
          </w:rPr>
          <w:t>LOINC License</w:t>
        </w:r>
      </w:hyperlink>
      <w:r w:rsidRPr="000578BD">
        <w:rPr>
          <w:lang w:val="en-US"/>
        </w:rPr>
        <w:t xml:space="preserve"> requires a statement of attribution and notice that LOINC content is copyrighted. The </w:t>
      </w:r>
      <w:r w:rsidRPr="000578BD">
        <w:rPr>
          <w:b/>
          <w:i/>
          <w:lang w:val="en-US"/>
        </w:rPr>
        <w:t>LOINC</w:t>
      </w:r>
      <w:r w:rsidRPr="000578BD">
        <w:rPr>
          <w:lang w:val="en-US"/>
        </w:rPr>
        <w:t xml:space="preserve"> </w:t>
      </w:r>
      <w:r w:rsidRPr="000578BD">
        <w:rPr>
          <w:b/>
          <w:bCs/>
          <w:i/>
          <w:lang w:val="en-US"/>
        </w:rPr>
        <w:t>Copyright</w:t>
      </w:r>
      <w:r w:rsidRPr="000578BD">
        <w:rPr>
          <w:lang w:val="en-US"/>
        </w:rPr>
        <w:t xml:space="preserve"> component holds the required attribution statement.</w:t>
      </w:r>
    </w:p>
    <w:p w14:paraId="56690343" w14:textId="77777777" w:rsidR="00CE27FE" w:rsidRPr="000578BD" w:rsidRDefault="00CE27FE" w:rsidP="00CE27FE">
      <w:pPr>
        <w:pStyle w:val="ListBullet4"/>
        <w:rPr>
          <w:lang w:val="en-US"/>
        </w:rPr>
      </w:pPr>
      <w:r w:rsidRPr="000578BD">
        <w:rPr>
          <w:b/>
          <w:i/>
          <w:lang w:val="en-US"/>
        </w:rPr>
        <w:t>Localization</w:t>
      </w:r>
      <w:r w:rsidRPr="000578BD">
        <w:rPr>
          <w:lang w:val="en-US"/>
        </w:rPr>
        <w:t xml:space="preserve"> is the language used for this publication.</w:t>
      </w:r>
    </w:p>
    <w:p w14:paraId="15AF0C44" w14:textId="77777777" w:rsidR="00CE27FE" w:rsidRPr="000578BD" w:rsidRDefault="00CE27FE" w:rsidP="00CE27FE">
      <w:pPr>
        <w:pStyle w:val="ListBullet4"/>
        <w:rPr>
          <w:lang w:val="en-US"/>
        </w:rPr>
      </w:pPr>
      <w:r w:rsidRPr="000578BD">
        <w:rPr>
          <w:b/>
          <w:i/>
          <w:lang w:val="en-US"/>
        </w:rPr>
        <w:t>Region</w:t>
      </w:r>
      <w:r w:rsidRPr="000578BD">
        <w:rPr>
          <w:lang w:val="en-US"/>
        </w:rPr>
        <w:t xml:space="preserve"> is an optional vendor description for which geographic or administrative region this localization is valid, e.g. de-CH is self-explanatory, but not </w:t>
      </w:r>
      <w:proofErr w:type="spellStart"/>
      <w:r w:rsidRPr="000578BD">
        <w:rPr>
          <w:lang w:val="en-US"/>
        </w:rPr>
        <w:t>en</w:t>
      </w:r>
      <w:proofErr w:type="spellEnd"/>
      <w:r w:rsidRPr="000578BD">
        <w:rPr>
          <w:lang w:val="en-US"/>
        </w:rPr>
        <w:t>-CH.</w:t>
      </w:r>
    </w:p>
    <w:p w14:paraId="777647E5" w14:textId="77777777" w:rsidR="00CE27FE" w:rsidRPr="001D18AB" w:rsidRDefault="00CE27FE" w:rsidP="00CE27FE">
      <w:pPr>
        <w:pStyle w:val="ListBullet4"/>
        <w:numPr>
          <w:ilvl w:val="0"/>
          <w:numId w:val="0"/>
        </w:numPr>
        <w:ind w:left="2345"/>
        <w:rPr>
          <w:lang w:val="en-US"/>
        </w:rPr>
      </w:pPr>
    </w:p>
    <w:tbl>
      <w:tblPr>
        <w:tblStyle w:val="TableGrid"/>
        <w:tblW w:w="8890" w:type="dxa"/>
        <w:tblInd w:w="1455" w:type="dxa"/>
        <w:tblLayout w:type="fixed"/>
        <w:tblLook w:val="04A0" w:firstRow="1" w:lastRow="0" w:firstColumn="1" w:lastColumn="0" w:noHBand="0" w:noVBand="1"/>
      </w:tblPr>
      <w:tblGrid>
        <w:gridCol w:w="2253"/>
        <w:gridCol w:w="1365"/>
        <w:gridCol w:w="810"/>
        <w:gridCol w:w="1335"/>
        <w:gridCol w:w="3127"/>
      </w:tblGrid>
      <w:tr w:rsidR="00CE27FE" w:rsidRPr="004C04C6" w14:paraId="7667B3E2" w14:textId="77777777" w:rsidTr="00CE27FE">
        <w:trPr>
          <w:cantSplit/>
          <w:tblHeader/>
        </w:trPr>
        <w:tc>
          <w:tcPr>
            <w:tcW w:w="2253" w:type="dxa"/>
            <w:tcBorders>
              <w:top w:val="single" w:sz="4" w:space="0" w:color="auto"/>
              <w:bottom w:val="single" w:sz="4" w:space="0" w:color="auto"/>
            </w:tcBorders>
            <w:shd w:val="clear" w:color="auto" w:fill="BFBFBF" w:themeFill="background1" w:themeFillShade="BF"/>
          </w:tcPr>
          <w:p w14:paraId="0FB10911" w14:textId="77777777" w:rsidR="00CE27FE" w:rsidRPr="004C04C6" w:rsidRDefault="00CE27FE" w:rsidP="00CE27FE">
            <w:pPr>
              <w:pStyle w:val="Tabletext"/>
            </w:pPr>
            <w:r w:rsidRPr="004C04C6">
              <w:t>Component</w:t>
            </w:r>
          </w:p>
        </w:tc>
        <w:tc>
          <w:tcPr>
            <w:tcW w:w="1365" w:type="dxa"/>
            <w:tcBorders>
              <w:top w:val="single" w:sz="4" w:space="0" w:color="auto"/>
              <w:bottom w:val="single" w:sz="4" w:space="0" w:color="auto"/>
            </w:tcBorders>
            <w:shd w:val="clear" w:color="auto" w:fill="BFBFBF" w:themeFill="background1" w:themeFillShade="BF"/>
          </w:tcPr>
          <w:p w14:paraId="15B581CF" w14:textId="77777777" w:rsidR="00CE27FE" w:rsidRPr="004C04C6" w:rsidRDefault="00CE27FE" w:rsidP="00CE27FE">
            <w:pPr>
              <w:pStyle w:val="Tabletext"/>
            </w:pPr>
            <w:r w:rsidRPr="004C04C6">
              <w:t>Type</w:t>
            </w:r>
          </w:p>
        </w:tc>
        <w:tc>
          <w:tcPr>
            <w:tcW w:w="810" w:type="dxa"/>
            <w:tcBorders>
              <w:top w:val="single" w:sz="4" w:space="0" w:color="auto"/>
              <w:bottom w:val="single" w:sz="4" w:space="0" w:color="auto"/>
            </w:tcBorders>
            <w:shd w:val="clear" w:color="auto" w:fill="BFBFBF" w:themeFill="background1" w:themeFillShade="BF"/>
          </w:tcPr>
          <w:p w14:paraId="6F419140" w14:textId="77777777" w:rsidR="00CE27FE" w:rsidRPr="004C04C6" w:rsidRDefault="00CE27FE" w:rsidP="00CE27FE">
            <w:pPr>
              <w:pStyle w:val="Tabletext"/>
            </w:pPr>
            <w:r w:rsidRPr="004C04C6">
              <w:t>Card.</w:t>
            </w:r>
          </w:p>
        </w:tc>
        <w:tc>
          <w:tcPr>
            <w:tcW w:w="1335" w:type="dxa"/>
            <w:tcBorders>
              <w:top w:val="single" w:sz="4" w:space="0" w:color="auto"/>
              <w:bottom w:val="single" w:sz="4" w:space="0" w:color="auto"/>
            </w:tcBorders>
            <w:shd w:val="clear" w:color="auto" w:fill="BFBFBF" w:themeFill="background1" w:themeFillShade="BF"/>
          </w:tcPr>
          <w:p w14:paraId="416E4726" w14:textId="77777777" w:rsidR="00CE27FE" w:rsidRPr="004C04C6" w:rsidRDefault="00CE27FE" w:rsidP="00CE27FE">
            <w:pPr>
              <w:pStyle w:val="Tabletext"/>
            </w:pPr>
            <w:r w:rsidRPr="004C04C6">
              <w:t>Reference</w:t>
            </w:r>
          </w:p>
        </w:tc>
        <w:tc>
          <w:tcPr>
            <w:tcW w:w="3127" w:type="dxa"/>
            <w:tcBorders>
              <w:top w:val="single" w:sz="4" w:space="0" w:color="auto"/>
            </w:tcBorders>
            <w:shd w:val="clear" w:color="auto" w:fill="BFBFBF" w:themeFill="background1" w:themeFillShade="BF"/>
          </w:tcPr>
          <w:p w14:paraId="3EAC633B" w14:textId="77777777" w:rsidR="00CE27FE" w:rsidRPr="004C04C6" w:rsidRDefault="00CE27FE" w:rsidP="00CE27FE">
            <w:pPr>
              <w:pStyle w:val="Tabletext"/>
            </w:pPr>
            <w:r w:rsidRPr="004C04C6">
              <w:t>Comments</w:t>
            </w:r>
          </w:p>
        </w:tc>
      </w:tr>
      <w:tr w:rsidR="00CE27FE" w:rsidRPr="004C04C6" w14:paraId="38ACFEB0" w14:textId="77777777" w:rsidTr="00CE27FE">
        <w:trPr>
          <w:cantSplit/>
        </w:trPr>
        <w:tc>
          <w:tcPr>
            <w:tcW w:w="2253" w:type="dxa"/>
            <w:tcBorders>
              <w:left w:val="single" w:sz="4" w:space="0" w:color="auto"/>
              <w:right w:val="single" w:sz="4" w:space="0" w:color="auto"/>
            </w:tcBorders>
          </w:tcPr>
          <w:p w14:paraId="036CE30F" w14:textId="77777777" w:rsidR="00CE27FE" w:rsidRPr="00B066E0" w:rsidRDefault="00CE27FE" w:rsidP="00CE27FE">
            <w:pPr>
              <w:pStyle w:val="Tabletext"/>
              <w:rPr>
                <w:b w:val="0"/>
                <w:bCs/>
              </w:rPr>
            </w:pPr>
            <w:r w:rsidRPr="00B066E0">
              <w:rPr>
                <w:b w:val="0"/>
                <w:bCs/>
              </w:rPr>
              <w:t>Publisher</w:t>
            </w:r>
          </w:p>
        </w:tc>
        <w:tc>
          <w:tcPr>
            <w:tcW w:w="1365" w:type="dxa"/>
            <w:tcBorders>
              <w:left w:val="single" w:sz="4" w:space="0" w:color="auto"/>
              <w:right w:val="single" w:sz="4" w:space="0" w:color="auto"/>
            </w:tcBorders>
          </w:tcPr>
          <w:p w14:paraId="034F76F7" w14:textId="77777777" w:rsidR="00CE27FE" w:rsidRPr="00B066E0" w:rsidRDefault="00CE27FE" w:rsidP="00CE27FE">
            <w:pPr>
              <w:pStyle w:val="Tabletext"/>
              <w:rPr>
                <w:b w:val="0"/>
                <w:bCs/>
              </w:rPr>
            </w:pPr>
            <w:r w:rsidRPr="00B066E0">
              <w:rPr>
                <w:b w:val="0"/>
                <w:bCs/>
              </w:rPr>
              <w:t>String, 199</w:t>
            </w:r>
          </w:p>
        </w:tc>
        <w:tc>
          <w:tcPr>
            <w:tcW w:w="810" w:type="dxa"/>
            <w:tcBorders>
              <w:left w:val="single" w:sz="4" w:space="0" w:color="auto"/>
              <w:right w:val="single" w:sz="4" w:space="0" w:color="auto"/>
            </w:tcBorders>
          </w:tcPr>
          <w:p w14:paraId="1A93A445" w14:textId="77777777" w:rsidR="00CE27FE" w:rsidRPr="00B066E0" w:rsidRDefault="00CE27FE" w:rsidP="00CE27FE">
            <w:pPr>
              <w:pStyle w:val="Tabletext"/>
              <w:rPr>
                <w:b w:val="0"/>
                <w:bCs/>
              </w:rPr>
            </w:pPr>
            <w:r w:rsidRPr="00B066E0">
              <w:rPr>
                <w:b w:val="0"/>
                <w:bCs/>
              </w:rPr>
              <w:t>1..1</w:t>
            </w:r>
          </w:p>
        </w:tc>
        <w:tc>
          <w:tcPr>
            <w:tcW w:w="1335" w:type="dxa"/>
            <w:tcBorders>
              <w:left w:val="single" w:sz="4" w:space="0" w:color="auto"/>
            </w:tcBorders>
          </w:tcPr>
          <w:p w14:paraId="2D11A9EF" w14:textId="77777777" w:rsidR="00CE27FE" w:rsidRPr="00B066E0" w:rsidRDefault="00CE27FE" w:rsidP="00CE27FE">
            <w:pPr>
              <w:pStyle w:val="Tabletext"/>
              <w:rPr>
                <w:b w:val="0"/>
                <w:bCs/>
              </w:rPr>
            </w:pPr>
          </w:p>
        </w:tc>
        <w:tc>
          <w:tcPr>
            <w:tcW w:w="3127" w:type="dxa"/>
          </w:tcPr>
          <w:p w14:paraId="19B10F84" w14:textId="77777777" w:rsidR="00CE27FE" w:rsidRPr="00B066E0" w:rsidRDefault="00CE27FE" w:rsidP="00CE27FE">
            <w:pPr>
              <w:pStyle w:val="Tabletext"/>
              <w:rPr>
                <w:b w:val="0"/>
                <w:bCs/>
              </w:rPr>
            </w:pPr>
            <w:r w:rsidRPr="00B066E0">
              <w:rPr>
                <w:b w:val="0"/>
                <w:bCs/>
              </w:rPr>
              <w:t>Vendor publishing the mapping</w:t>
            </w:r>
          </w:p>
        </w:tc>
      </w:tr>
      <w:tr w:rsidR="00CE27FE" w:rsidRPr="004C04C6" w14:paraId="122C9295" w14:textId="77777777" w:rsidTr="00CE27FE">
        <w:trPr>
          <w:cantSplit/>
        </w:trPr>
        <w:tc>
          <w:tcPr>
            <w:tcW w:w="2253" w:type="dxa"/>
            <w:tcBorders>
              <w:left w:val="single" w:sz="4" w:space="0" w:color="auto"/>
              <w:right w:val="single" w:sz="4" w:space="0" w:color="auto"/>
            </w:tcBorders>
          </w:tcPr>
          <w:p w14:paraId="5FB38791" w14:textId="77777777" w:rsidR="00CE27FE" w:rsidRPr="00B066E0" w:rsidRDefault="00CE27FE" w:rsidP="00CE27FE">
            <w:pPr>
              <w:pStyle w:val="Tabletext"/>
              <w:rPr>
                <w:b w:val="0"/>
                <w:bCs/>
              </w:rPr>
            </w:pPr>
            <w:r w:rsidRPr="00B066E0">
              <w:rPr>
                <w:b w:val="0"/>
                <w:bCs/>
              </w:rPr>
              <w:t>Document Identifier</w:t>
            </w:r>
          </w:p>
        </w:tc>
        <w:tc>
          <w:tcPr>
            <w:tcW w:w="1365" w:type="dxa"/>
            <w:tcBorders>
              <w:left w:val="single" w:sz="4" w:space="0" w:color="auto"/>
              <w:right w:val="single" w:sz="4" w:space="0" w:color="auto"/>
            </w:tcBorders>
          </w:tcPr>
          <w:p w14:paraId="0564B985" w14:textId="77777777" w:rsidR="00CE27FE" w:rsidRPr="00B066E0" w:rsidRDefault="00CE27FE" w:rsidP="00CE27FE">
            <w:pPr>
              <w:pStyle w:val="Tabletext"/>
              <w:rPr>
                <w:b w:val="0"/>
                <w:bCs/>
              </w:rPr>
            </w:pPr>
            <w:r w:rsidRPr="00B066E0">
              <w:rPr>
                <w:b w:val="0"/>
                <w:bCs/>
              </w:rPr>
              <w:t>String, 199</w:t>
            </w:r>
          </w:p>
        </w:tc>
        <w:tc>
          <w:tcPr>
            <w:tcW w:w="810" w:type="dxa"/>
            <w:tcBorders>
              <w:left w:val="single" w:sz="4" w:space="0" w:color="auto"/>
              <w:right w:val="single" w:sz="4" w:space="0" w:color="auto"/>
            </w:tcBorders>
          </w:tcPr>
          <w:p w14:paraId="042DCFC1" w14:textId="77777777" w:rsidR="00CE27FE" w:rsidRPr="00B066E0" w:rsidRDefault="00CE27FE" w:rsidP="00CE27FE">
            <w:pPr>
              <w:pStyle w:val="Tabletext"/>
              <w:rPr>
                <w:b w:val="0"/>
                <w:bCs/>
              </w:rPr>
            </w:pPr>
            <w:r w:rsidRPr="00B066E0">
              <w:rPr>
                <w:b w:val="0"/>
                <w:bCs/>
              </w:rPr>
              <w:t>0..1</w:t>
            </w:r>
          </w:p>
        </w:tc>
        <w:tc>
          <w:tcPr>
            <w:tcW w:w="1335" w:type="dxa"/>
            <w:tcBorders>
              <w:left w:val="single" w:sz="4" w:space="0" w:color="auto"/>
            </w:tcBorders>
          </w:tcPr>
          <w:p w14:paraId="6C87C792" w14:textId="77777777" w:rsidR="00CE27FE" w:rsidRPr="00B066E0" w:rsidRDefault="00CE27FE" w:rsidP="00CE27FE">
            <w:pPr>
              <w:pStyle w:val="Tabletext"/>
              <w:rPr>
                <w:b w:val="0"/>
                <w:bCs/>
              </w:rPr>
            </w:pPr>
          </w:p>
        </w:tc>
        <w:tc>
          <w:tcPr>
            <w:tcW w:w="3127" w:type="dxa"/>
          </w:tcPr>
          <w:p w14:paraId="30002F8A" w14:textId="77777777" w:rsidR="00CE27FE" w:rsidRPr="00B066E0" w:rsidRDefault="00CE27FE" w:rsidP="00CE27FE">
            <w:pPr>
              <w:pStyle w:val="Tabletext"/>
              <w:rPr>
                <w:b w:val="0"/>
                <w:bCs/>
              </w:rPr>
            </w:pPr>
            <w:r w:rsidRPr="00B066E0">
              <w:rPr>
                <w:b w:val="0"/>
                <w:bCs/>
              </w:rPr>
              <w:t>Vendor Document Identifier</w:t>
            </w:r>
          </w:p>
        </w:tc>
      </w:tr>
      <w:tr w:rsidR="00CE27FE" w:rsidRPr="004C04C6" w14:paraId="46644922" w14:textId="77777777" w:rsidTr="00CE27FE">
        <w:trPr>
          <w:cantSplit/>
        </w:trPr>
        <w:tc>
          <w:tcPr>
            <w:tcW w:w="2253" w:type="dxa"/>
            <w:tcBorders>
              <w:left w:val="single" w:sz="4" w:space="0" w:color="auto"/>
              <w:right w:val="single" w:sz="4" w:space="0" w:color="auto"/>
            </w:tcBorders>
          </w:tcPr>
          <w:p w14:paraId="5300229D" w14:textId="77777777" w:rsidR="00CE27FE" w:rsidRDefault="00CE27FE" w:rsidP="00CE27FE">
            <w:pPr>
              <w:pStyle w:val="Tabletext"/>
              <w:rPr>
                <w:b w:val="0"/>
                <w:bCs/>
              </w:rPr>
            </w:pPr>
            <w:r w:rsidRPr="00B066E0">
              <w:rPr>
                <w:b w:val="0"/>
                <w:bCs/>
              </w:rPr>
              <w:t>Publication date</w:t>
            </w:r>
          </w:p>
        </w:tc>
        <w:tc>
          <w:tcPr>
            <w:tcW w:w="1365" w:type="dxa"/>
            <w:tcBorders>
              <w:left w:val="single" w:sz="4" w:space="0" w:color="auto"/>
              <w:right w:val="single" w:sz="4" w:space="0" w:color="auto"/>
            </w:tcBorders>
          </w:tcPr>
          <w:p w14:paraId="473CBBA0" w14:textId="77777777" w:rsidR="00CE27FE" w:rsidRPr="00B066E0" w:rsidRDefault="00CE27FE" w:rsidP="00CE27FE">
            <w:pPr>
              <w:pStyle w:val="Tabletext"/>
              <w:rPr>
                <w:b w:val="0"/>
                <w:bCs/>
              </w:rPr>
            </w:pPr>
            <w:r w:rsidRPr="00B066E0">
              <w:rPr>
                <w:b w:val="0"/>
                <w:bCs/>
              </w:rPr>
              <w:t>String, 199</w:t>
            </w:r>
          </w:p>
        </w:tc>
        <w:tc>
          <w:tcPr>
            <w:tcW w:w="810" w:type="dxa"/>
            <w:tcBorders>
              <w:left w:val="single" w:sz="4" w:space="0" w:color="auto"/>
              <w:right w:val="single" w:sz="4" w:space="0" w:color="auto"/>
            </w:tcBorders>
          </w:tcPr>
          <w:p w14:paraId="7FF6B3C0" w14:textId="77777777" w:rsidR="00CE27FE" w:rsidRPr="00B066E0" w:rsidRDefault="00CE27FE" w:rsidP="00CE27FE">
            <w:pPr>
              <w:pStyle w:val="Tabletext"/>
              <w:rPr>
                <w:b w:val="0"/>
                <w:bCs/>
              </w:rPr>
            </w:pPr>
            <w:r w:rsidRPr="00B066E0">
              <w:rPr>
                <w:b w:val="0"/>
                <w:bCs/>
              </w:rPr>
              <w:t>0..1</w:t>
            </w:r>
          </w:p>
        </w:tc>
        <w:tc>
          <w:tcPr>
            <w:tcW w:w="1335" w:type="dxa"/>
            <w:tcBorders>
              <w:left w:val="single" w:sz="4" w:space="0" w:color="auto"/>
            </w:tcBorders>
          </w:tcPr>
          <w:p w14:paraId="365AC9A8" w14:textId="77777777" w:rsidR="00CE27FE" w:rsidRPr="00B066E0" w:rsidRDefault="00CE27FE" w:rsidP="00CE27FE">
            <w:pPr>
              <w:pStyle w:val="Tabletext"/>
              <w:rPr>
                <w:b w:val="0"/>
                <w:bCs/>
              </w:rPr>
            </w:pPr>
          </w:p>
        </w:tc>
        <w:tc>
          <w:tcPr>
            <w:tcW w:w="3127" w:type="dxa"/>
          </w:tcPr>
          <w:p w14:paraId="53F70414" w14:textId="77777777" w:rsidR="00CE27FE" w:rsidRDefault="00CE27FE" w:rsidP="00CE27FE">
            <w:pPr>
              <w:pStyle w:val="Tabletext"/>
              <w:rPr>
                <w:b w:val="0"/>
                <w:bCs/>
              </w:rPr>
            </w:pPr>
            <w:r w:rsidRPr="00B066E0">
              <w:rPr>
                <w:b w:val="0"/>
                <w:bCs/>
              </w:rPr>
              <w:t>Date of publication</w:t>
            </w:r>
          </w:p>
        </w:tc>
      </w:tr>
      <w:tr w:rsidR="00CE27FE" w:rsidRPr="004C04C6" w14:paraId="21FFB7B3" w14:textId="77777777" w:rsidTr="00CE27FE">
        <w:trPr>
          <w:cantSplit/>
        </w:trPr>
        <w:tc>
          <w:tcPr>
            <w:tcW w:w="2253" w:type="dxa"/>
            <w:tcBorders>
              <w:left w:val="single" w:sz="4" w:space="0" w:color="auto"/>
              <w:right w:val="single" w:sz="4" w:space="0" w:color="auto"/>
            </w:tcBorders>
          </w:tcPr>
          <w:p w14:paraId="10567D57" w14:textId="77777777" w:rsidR="00CE27FE" w:rsidRDefault="00CE27FE" w:rsidP="00CE27FE">
            <w:pPr>
              <w:pStyle w:val="Tabletext"/>
              <w:rPr>
                <w:b w:val="0"/>
                <w:bCs/>
              </w:rPr>
            </w:pPr>
            <w:r w:rsidRPr="00B066E0">
              <w:rPr>
                <w:b w:val="0"/>
                <w:bCs/>
              </w:rPr>
              <w:t>Publisher URL</w:t>
            </w:r>
          </w:p>
        </w:tc>
        <w:tc>
          <w:tcPr>
            <w:tcW w:w="1365" w:type="dxa"/>
            <w:tcBorders>
              <w:left w:val="single" w:sz="4" w:space="0" w:color="auto"/>
              <w:right w:val="single" w:sz="4" w:space="0" w:color="auto"/>
            </w:tcBorders>
          </w:tcPr>
          <w:p w14:paraId="611319DE" w14:textId="77777777" w:rsidR="00CE27FE" w:rsidRPr="00B066E0" w:rsidRDefault="00CE27FE" w:rsidP="00CE27FE">
            <w:pPr>
              <w:pStyle w:val="Tabletext"/>
              <w:rPr>
                <w:b w:val="0"/>
                <w:bCs/>
              </w:rPr>
            </w:pPr>
            <w:r w:rsidRPr="00B066E0">
              <w:rPr>
                <w:b w:val="0"/>
                <w:bCs/>
              </w:rPr>
              <w:t>String, 199</w:t>
            </w:r>
          </w:p>
        </w:tc>
        <w:tc>
          <w:tcPr>
            <w:tcW w:w="810" w:type="dxa"/>
            <w:tcBorders>
              <w:left w:val="single" w:sz="4" w:space="0" w:color="auto"/>
              <w:right w:val="single" w:sz="4" w:space="0" w:color="auto"/>
            </w:tcBorders>
          </w:tcPr>
          <w:p w14:paraId="34D43A62" w14:textId="77777777" w:rsidR="00CE27FE" w:rsidRPr="00B066E0" w:rsidRDefault="00CE27FE" w:rsidP="00CE27FE">
            <w:pPr>
              <w:pStyle w:val="Tabletext"/>
              <w:rPr>
                <w:b w:val="0"/>
                <w:bCs/>
              </w:rPr>
            </w:pPr>
            <w:r w:rsidRPr="00B066E0">
              <w:rPr>
                <w:b w:val="0"/>
                <w:bCs/>
              </w:rPr>
              <w:t>0..1</w:t>
            </w:r>
          </w:p>
        </w:tc>
        <w:tc>
          <w:tcPr>
            <w:tcW w:w="1335" w:type="dxa"/>
            <w:tcBorders>
              <w:left w:val="single" w:sz="4" w:space="0" w:color="auto"/>
            </w:tcBorders>
          </w:tcPr>
          <w:p w14:paraId="4CD0882F" w14:textId="77777777" w:rsidR="00CE27FE" w:rsidRPr="00B066E0" w:rsidRDefault="00CE27FE" w:rsidP="00CE27FE">
            <w:pPr>
              <w:pStyle w:val="Tabletext"/>
              <w:rPr>
                <w:b w:val="0"/>
                <w:bCs/>
              </w:rPr>
            </w:pPr>
          </w:p>
        </w:tc>
        <w:tc>
          <w:tcPr>
            <w:tcW w:w="3127" w:type="dxa"/>
          </w:tcPr>
          <w:p w14:paraId="770550F5" w14:textId="77777777" w:rsidR="00CE27FE" w:rsidRDefault="00CE27FE" w:rsidP="00CE27FE">
            <w:pPr>
              <w:pStyle w:val="Tabletext"/>
              <w:rPr>
                <w:b w:val="0"/>
                <w:bCs/>
              </w:rPr>
            </w:pPr>
            <w:r w:rsidRPr="00B066E0">
              <w:rPr>
                <w:b w:val="0"/>
                <w:bCs/>
              </w:rPr>
              <w:t>URL to Publisher web site</w:t>
            </w:r>
          </w:p>
        </w:tc>
      </w:tr>
      <w:tr w:rsidR="00CE27FE" w:rsidRPr="00B066E0" w14:paraId="046A2C74" w14:textId="77777777" w:rsidTr="00CE27FE">
        <w:tc>
          <w:tcPr>
            <w:tcW w:w="2253" w:type="dxa"/>
          </w:tcPr>
          <w:p w14:paraId="6A3708B2" w14:textId="77777777" w:rsidR="00CE27FE" w:rsidRPr="00B066E0" w:rsidRDefault="00CE27FE" w:rsidP="00CE27FE">
            <w:pPr>
              <w:pStyle w:val="Tabletext"/>
              <w:rPr>
                <w:b w:val="0"/>
                <w:bCs/>
              </w:rPr>
            </w:pPr>
            <w:r w:rsidRPr="00B066E0">
              <w:rPr>
                <w:b w:val="0"/>
                <w:bCs/>
              </w:rPr>
              <w:t>Publisher Statement</w:t>
            </w:r>
          </w:p>
        </w:tc>
        <w:tc>
          <w:tcPr>
            <w:tcW w:w="1365" w:type="dxa"/>
          </w:tcPr>
          <w:p w14:paraId="5C55771E" w14:textId="77777777" w:rsidR="00CE27FE" w:rsidRPr="00B066E0" w:rsidRDefault="00CE27FE" w:rsidP="00CE27FE">
            <w:pPr>
              <w:pStyle w:val="Tabletext"/>
              <w:rPr>
                <w:b w:val="0"/>
                <w:bCs/>
              </w:rPr>
            </w:pPr>
            <w:r w:rsidRPr="00B066E0">
              <w:rPr>
                <w:b w:val="0"/>
                <w:bCs/>
              </w:rPr>
              <w:t>String, 500</w:t>
            </w:r>
          </w:p>
        </w:tc>
        <w:tc>
          <w:tcPr>
            <w:tcW w:w="810" w:type="dxa"/>
          </w:tcPr>
          <w:p w14:paraId="55C7ADA9" w14:textId="77777777" w:rsidR="00CE27FE" w:rsidRPr="00B066E0" w:rsidRDefault="00CE27FE" w:rsidP="00CE27FE">
            <w:pPr>
              <w:pStyle w:val="Tabletext"/>
              <w:rPr>
                <w:b w:val="0"/>
                <w:bCs/>
              </w:rPr>
            </w:pPr>
            <w:r w:rsidRPr="00B066E0">
              <w:rPr>
                <w:b w:val="0"/>
                <w:bCs/>
              </w:rPr>
              <w:t>0..1</w:t>
            </w:r>
          </w:p>
        </w:tc>
        <w:tc>
          <w:tcPr>
            <w:tcW w:w="1335" w:type="dxa"/>
          </w:tcPr>
          <w:p w14:paraId="685E1E95" w14:textId="77777777" w:rsidR="00CE27FE" w:rsidRPr="00B066E0" w:rsidRDefault="00CE27FE" w:rsidP="00CE27FE">
            <w:pPr>
              <w:pStyle w:val="Tabletext"/>
              <w:rPr>
                <w:b w:val="0"/>
                <w:bCs/>
              </w:rPr>
            </w:pPr>
          </w:p>
        </w:tc>
        <w:tc>
          <w:tcPr>
            <w:tcW w:w="3127" w:type="dxa"/>
          </w:tcPr>
          <w:p w14:paraId="7DC8336F" w14:textId="77777777" w:rsidR="00CE27FE" w:rsidRPr="00B066E0" w:rsidRDefault="00CE27FE" w:rsidP="00CE27FE">
            <w:pPr>
              <w:pStyle w:val="Tabletext"/>
              <w:rPr>
                <w:b w:val="0"/>
                <w:bCs/>
              </w:rPr>
            </w:pPr>
            <w:r w:rsidRPr="00B066E0">
              <w:rPr>
                <w:b w:val="0"/>
                <w:bCs/>
              </w:rPr>
              <w:t>A statement from the publisher about the publication</w:t>
            </w:r>
          </w:p>
        </w:tc>
      </w:tr>
      <w:tr w:rsidR="00CE27FE" w:rsidRPr="004C04C6" w14:paraId="5AA032AC" w14:textId="77777777" w:rsidTr="00CE27FE">
        <w:trPr>
          <w:cantSplit/>
        </w:trPr>
        <w:tc>
          <w:tcPr>
            <w:tcW w:w="2253" w:type="dxa"/>
            <w:tcBorders>
              <w:left w:val="single" w:sz="4" w:space="0" w:color="auto"/>
              <w:right w:val="single" w:sz="4" w:space="0" w:color="auto"/>
            </w:tcBorders>
          </w:tcPr>
          <w:p w14:paraId="78380CD1" w14:textId="77777777" w:rsidR="00CE27FE" w:rsidRPr="00B066E0" w:rsidRDefault="00CE27FE" w:rsidP="00CE27FE">
            <w:pPr>
              <w:pStyle w:val="Tabletext"/>
              <w:rPr>
                <w:b w:val="0"/>
                <w:bCs/>
              </w:rPr>
            </w:pPr>
            <w:r w:rsidRPr="00B066E0">
              <w:rPr>
                <w:b w:val="0"/>
                <w:bCs/>
              </w:rPr>
              <w:t>LOINC Copyright</w:t>
            </w:r>
          </w:p>
        </w:tc>
        <w:tc>
          <w:tcPr>
            <w:tcW w:w="1365" w:type="dxa"/>
            <w:tcBorders>
              <w:left w:val="single" w:sz="4" w:space="0" w:color="auto"/>
              <w:right w:val="single" w:sz="4" w:space="0" w:color="auto"/>
            </w:tcBorders>
          </w:tcPr>
          <w:p w14:paraId="1950B45A" w14:textId="77777777" w:rsidR="00CE27FE" w:rsidRPr="00B066E0" w:rsidRDefault="00CE27FE" w:rsidP="00CE27FE">
            <w:pPr>
              <w:pStyle w:val="Tabletext"/>
              <w:rPr>
                <w:b w:val="0"/>
                <w:bCs/>
              </w:rPr>
            </w:pPr>
            <w:r w:rsidRPr="00B066E0">
              <w:rPr>
                <w:b w:val="0"/>
                <w:bCs/>
              </w:rPr>
              <w:t>String, 500</w:t>
            </w:r>
          </w:p>
        </w:tc>
        <w:tc>
          <w:tcPr>
            <w:tcW w:w="810" w:type="dxa"/>
            <w:tcBorders>
              <w:left w:val="single" w:sz="4" w:space="0" w:color="auto"/>
              <w:right w:val="single" w:sz="4" w:space="0" w:color="auto"/>
            </w:tcBorders>
          </w:tcPr>
          <w:p w14:paraId="48238F13" w14:textId="77777777" w:rsidR="00CE27FE" w:rsidRPr="00B066E0" w:rsidRDefault="00CE27FE" w:rsidP="00CE27FE">
            <w:pPr>
              <w:pStyle w:val="Tabletext"/>
              <w:rPr>
                <w:b w:val="0"/>
                <w:bCs/>
              </w:rPr>
            </w:pPr>
            <w:r w:rsidRPr="00B066E0">
              <w:rPr>
                <w:b w:val="0"/>
                <w:bCs/>
              </w:rPr>
              <w:t>1..1</w:t>
            </w:r>
          </w:p>
        </w:tc>
        <w:tc>
          <w:tcPr>
            <w:tcW w:w="1335" w:type="dxa"/>
            <w:tcBorders>
              <w:left w:val="single" w:sz="4" w:space="0" w:color="auto"/>
            </w:tcBorders>
          </w:tcPr>
          <w:p w14:paraId="1734B674" w14:textId="77777777" w:rsidR="00CE27FE" w:rsidRPr="00B066E0" w:rsidRDefault="00CE27FE" w:rsidP="00CE27FE">
            <w:pPr>
              <w:pStyle w:val="Tabletext"/>
              <w:rPr>
                <w:b w:val="0"/>
                <w:bCs/>
              </w:rPr>
            </w:pPr>
            <w:r w:rsidRPr="00B066E0">
              <w:rPr>
                <w:b w:val="0"/>
                <w:bCs/>
              </w:rPr>
              <w:t>LOINC License</w:t>
            </w:r>
          </w:p>
        </w:tc>
        <w:tc>
          <w:tcPr>
            <w:tcW w:w="3127" w:type="dxa"/>
          </w:tcPr>
          <w:p w14:paraId="5C483EDB" w14:textId="77777777" w:rsidR="00CE27FE" w:rsidRPr="00B066E0" w:rsidRDefault="00CE27FE" w:rsidP="00CE27FE">
            <w:pPr>
              <w:pStyle w:val="Tabletext"/>
              <w:rPr>
                <w:b w:val="0"/>
                <w:bCs/>
              </w:rPr>
            </w:pPr>
            <w:r w:rsidRPr="00B066E0">
              <w:rPr>
                <w:b w:val="0"/>
                <w:bCs/>
              </w:rPr>
              <w:t>LOINC attribution statement</w:t>
            </w:r>
            <w:r w:rsidRPr="00B066E0">
              <w:rPr>
                <w:b w:val="0"/>
                <w:bCs/>
                <w:vertAlign w:val="superscript"/>
              </w:rPr>
              <w:t>1</w:t>
            </w:r>
            <w:r w:rsidRPr="00B066E0">
              <w:rPr>
                <w:b w:val="0"/>
                <w:bCs/>
              </w:rPr>
              <w:t xml:space="preserve"> </w:t>
            </w:r>
          </w:p>
        </w:tc>
      </w:tr>
      <w:tr w:rsidR="00CE27FE" w:rsidRPr="004C04C6" w14:paraId="3A42C7AB" w14:textId="77777777" w:rsidTr="00CE27FE">
        <w:trPr>
          <w:cantSplit/>
        </w:trPr>
        <w:tc>
          <w:tcPr>
            <w:tcW w:w="2253" w:type="dxa"/>
            <w:tcBorders>
              <w:left w:val="single" w:sz="4" w:space="0" w:color="auto"/>
              <w:right w:val="single" w:sz="4" w:space="0" w:color="auto"/>
            </w:tcBorders>
          </w:tcPr>
          <w:p w14:paraId="4EC4C587" w14:textId="77777777" w:rsidR="00CE27FE" w:rsidRPr="00B066E0" w:rsidRDefault="00CE27FE" w:rsidP="00CE27FE">
            <w:pPr>
              <w:pStyle w:val="Tabletext"/>
              <w:rPr>
                <w:b w:val="0"/>
                <w:bCs/>
              </w:rPr>
            </w:pPr>
            <w:r w:rsidRPr="00B066E0">
              <w:rPr>
                <w:b w:val="0"/>
                <w:bCs/>
              </w:rPr>
              <w:t>Localization</w:t>
            </w:r>
          </w:p>
        </w:tc>
        <w:tc>
          <w:tcPr>
            <w:tcW w:w="1365" w:type="dxa"/>
            <w:tcBorders>
              <w:left w:val="single" w:sz="4" w:space="0" w:color="auto"/>
              <w:right w:val="single" w:sz="4" w:space="0" w:color="auto"/>
            </w:tcBorders>
          </w:tcPr>
          <w:p w14:paraId="6DDAAC19" w14:textId="77777777" w:rsidR="00CE27FE" w:rsidRPr="00B066E0" w:rsidRDefault="00CE27FE" w:rsidP="00CE27FE">
            <w:pPr>
              <w:pStyle w:val="Tabletext"/>
              <w:rPr>
                <w:b w:val="0"/>
                <w:bCs/>
              </w:rPr>
            </w:pPr>
            <w:r w:rsidRPr="00B066E0">
              <w:rPr>
                <w:b w:val="0"/>
                <w:bCs/>
              </w:rPr>
              <w:t>String, 10</w:t>
            </w:r>
          </w:p>
        </w:tc>
        <w:tc>
          <w:tcPr>
            <w:tcW w:w="810" w:type="dxa"/>
            <w:tcBorders>
              <w:left w:val="single" w:sz="4" w:space="0" w:color="auto"/>
              <w:right w:val="single" w:sz="4" w:space="0" w:color="auto"/>
            </w:tcBorders>
          </w:tcPr>
          <w:p w14:paraId="79093609" w14:textId="77777777" w:rsidR="00CE27FE" w:rsidRPr="00B066E0" w:rsidRDefault="00CE27FE" w:rsidP="00CE27FE">
            <w:pPr>
              <w:pStyle w:val="Tabletext"/>
              <w:rPr>
                <w:b w:val="0"/>
                <w:bCs/>
              </w:rPr>
            </w:pPr>
            <w:r w:rsidRPr="00B066E0">
              <w:rPr>
                <w:b w:val="0"/>
                <w:bCs/>
              </w:rPr>
              <w:t>1..1</w:t>
            </w:r>
          </w:p>
        </w:tc>
        <w:tc>
          <w:tcPr>
            <w:tcW w:w="1335" w:type="dxa"/>
            <w:tcBorders>
              <w:left w:val="single" w:sz="4" w:space="0" w:color="auto"/>
            </w:tcBorders>
          </w:tcPr>
          <w:p w14:paraId="716AFA51" w14:textId="77777777" w:rsidR="00CE27FE" w:rsidRPr="00B066E0" w:rsidRDefault="00CE27FE" w:rsidP="00CE27FE">
            <w:pPr>
              <w:pStyle w:val="Tabletext"/>
              <w:rPr>
                <w:b w:val="0"/>
                <w:bCs/>
              </w:rPr>
            </w:pPr>
            <w:r w:rsidRPr="00B066E0">
              <w:rPr>
                <w:b w:val="0"/>
                <w:bCs/>
              </w:rPr>
              <w:t>RFC5646</w:t>
            </w:r>
          </w:p>
        </w:tc>
        <w:tc>
          <w:tcPr>
            <w:tcW w:w="3127" w:type="dxa"/>
          </w:tcPr>
          <w:p w14:paraId="3011E9CA" w14:textId="77777777" w:rsidR="00CE27FE" w:rsidRPr="00B066E0" w:rsidRDefault="00CE27FE" w:rsidP="00CE27FE">
            <w:pPr>
              <w:pStyle w:val="Tabletext"/>
              <w:rPr>
                <w:b w:val="0"/>
                <w:bCs/>
              </w:rPr>
            </w:pPr>
            <w:r w:rsidRPr="00B066E0">
              <w:rPr>
                <w:b w:val="0"/>
                <w:bCs/>
              </w:rPr>
              <w:t>e.g. “</w:t>
            </w:r>
            <w:proofErr w:type="spellStart"/>
            <w:r w:rsidRPr="00B066E0">
              <w:rPr>
                <w:b w:val="0"/>
                <w:bCs/>
              </w:rPr>
              <w:t>en</w:t>
            </w:r>
            <w:proofErr w:type="spellEnd"/>
            <w:r w:rsidRPr="00B066E0">
              <w:rPr>
                <w:b w:val="0"/>
                <w:bCs/>
              </w:rPr>
              <w:t>-US”</w:t>
            </w:r>
          </w:p>
        </w:tc>
      </w:tr>
      <w:tr w:rsidR="00CE27FE" w:rsidRPr="004C04C6" w14:paraId="171E08EB" w14:textId="77777777" w:rsidTr="00CE27FE">
        <w:trPr>
          <w:cantSplit/>
        </w:trPr>
        <w:tc>
          <w:tcPr>
            <w:tcW w:w="2253" w:type="dxa"/>
            <w:tcBorders>
              <w:left w:val="single" w:sz="4" w:space="0" w:color="auto"/>
              <w:right w:val="single" w:sz="4" w:space="0" w:color="auto"/>
            </w:tcBorders>
          </w:tcPr>
          <w:p w14:paraId="2EF2CA6E" w14:textId="77777777" w:rsidR="00CE27FE" w:rsidRPr="00B066E0" w:rsidRDefault="00CE27FE" w:rsidP="00CE27FE">
            <w:pPr>
              <w:pStyle w:val="Tabletext"/>
              <w:rPr>
                <w:b w:val="0"/>
                <w:bCs/>
              </w:rPr>
            </w:pPr>
            <w:r w:rsidRPr="00B066E0">
              <w:rPr>
                <w:b w:val="0"/>
                <w:bCs/>
              </w:rPr>
              <w:t>Region</w:t>
            </w:r>
          </w:p>
        </w:tc>
        <w:tc>
          <w:tcPr>
            <w:tcW w:w="1365" w:type="dxa"/>
            <w:tcBorders>
              <w:left w:val="single" w:sz="4" w:space="0" w:color="auto"/>
              <w:right w:val="single" w:sz="4" w:space="0" w:color="auto"/>
            </w:tcBorders>
          </w:tcPr>
          <w:p w14:paraId="334CB999" w14:textId="77777777" w:rsidR="00CE27FE" w:rsidRPr="00B066E0" w:rsidRDefault="00CE27FE" w:rsidP="00CE27FE">
            <w:pPr>
              <w:pStyle w:val="Tabletext"/>
              <w:rPr>
                <w:b w:val="0"/>
                <w:bCs/>
              </w:rPr>
            </w:pPr>
            <w:r w:rsidRPr="00B066E0">
              <w:rPr>
                <w:b w:val="0"/>
                <w:bCs/>
              </w:rPr>
              <w:t>String, 199</w:t>
            </w:r>
          </w:p>
        </w:tc>
        <w:tc>
          <w:tcPr>
            <w:tcW w:w="810" w:type="dxa"/>
            <w:tcBorders>
              <w:left w:val="single" w:sz="4" w:space="0" w:color="auto"/>
              <w:right w:val="single" w:sz="4" w:space="0" w:color="auto"/>
            </w:tcBorders>
          </w:tcPr>
          <w:p w14:paraId="2179020B" w14:textId="77777777" w:rsidR="00CE27FE" w:rsidRPr="00B066E0" w:rsidRDefault="00CE27FE" w:rsidP="00CE27FE">
            <w:pPr>
              <w:pStyle w:val="Tabletext"/>
              <w:rPr>
                <w:b w:val="0"/>
                <w:bCs/>
              </w:rPr>
            </w:pPr>
            <w:r w:rsidRPr="00B066E0">
              <w:rPr>
                <w:b w:val="0"/>
                <w:bCs/>
              </w:rPr>
              <w:t>0..1</w:t>
            </w:r>
          </w:p>
        </w:tc>
        <w:tc>
          <w:tcPr>
            <w:tcW w:w="1335" w:type="dxa"/>
            <w:tcBorders>
              <w:left w:val="single" w:sz="4" w:space="0" w:color="auto"/>
            </w:tcBorders>
          </w:tcPr>
          <w:p w14:paraId="3A502335" w14:textId="77777777" w:rsidR="00CE27FE" w:rsidRPr="00B066E0" w:rsidRDefault="00CE27FE" w:rsidP="00CE27FE">
            <w:pPr>
              <w:pStyle w:val="Tabletext"/>
              <w:rPr>
                <w:b w:val="0"/>
                <w:bCs/>
              </w:rPr>
            </w:pPr>
          </w:p>
        </w:tc>
        <w:tc>
          <w:tcPr>
            <w:tcW w:w="3127" w:type="dxa"/>
          </w:tcPr>
          <w:p w14:paraId="2F637F79" w14:textId="77777777" w:rsidR="00CE27FE" w:rsidRPr="00B066E0" w:rsidRDefault="00CE27FE" w:rsidP="00CE27FE">
            <w:pPr>
              <w:pStyle w:val="Tabletext"/>
              <w:rPr>
                <w:b w:val="0"/>
                <w:bCs/>
              </w:rPr>
            </w:pPr>
            <w:r w:rsidRPr="00B066E0">
              <w:rPr>
                <w:b w:val="0"/>
                <w:bCs/>
              </w:rPr>
              <w:t>e.g. “applicable to the United States”</w:t>
            </w:r>
          </w:p>
        </w:tc>
      </w:tr>
    </w:tbl>
    <w:p w14:paraId="7648EF8B" w14:textId="77777777" w:rsidR="00CE27FE" w:rsidRDefault="00CE27FE" w:rsidP="00CE27FE">
      <w:pPr>
        <w:pStyle w:val="FootnoteText"/>
      </w:pPr>
      <w:r w:rsidRPr="004C04C6">
        <w:t xml:space="preserve">1 The Attribution statement required by LOINC License when LOINC content is included. This statement </w:t>
      </w:r>
      <w:r w:rsidRPr="004C04C6">
        <w:br/>
        <w:t xml:space="preserve">was approved by </w:t>
      </w:r>
      <w:proofErr w:type="spellStart"/>
      <w:r w:rsidRPr="004C04C6">
        <w:t>Regenstrief</w:t>
      </w:r>
      <w:proofErr w:type="spellEnd"/>
      <w:r w:rsidRPr="004C04C6">
        <w:t xml:space="preserve"> Institute.</w:t>
      </w:r>
    </w:p>
    <w:p w14:paraId="671A8EF8" w14:textId="77777777" w:rsidR="00CE27FE" w:rsidRDefault="00CE27FE" w:rsidP="00CE27FE">
      <w:pPr>
        <w:spacing w:before="0"/>
        <w:ind w:left="0"/>
        <w:jc w:val="left"/>
        <w:rPr>
          <w:sz w:val="20"/>
          <w:szCs w:val="20"/>
        </w:rPr>
      </w:pPr>
      <w:r>
        <w:br w:type="page"/>
      </w:r>
    </w:p>
    <w:p w14:paraId="00EBBA75" w14:textId="28A7B62E" w:rsidR="00CE27FE" w:rsidRDefault="00CE27FE" w:rsidP="00473233">
      <w:pPr>
        <w:pStyle w:val="Heading2"/>
      </w:pPr>
      <w:bookmarkStart w:id="8" w:name="_Ref37338138"/>
      <w:r w:rsidRPr="00AE4E2F">
        <w:t>LOINC Mapping</w:t>
      </w:r>
      <w:bookmarkStart w:id="9" w:name="_Ref37334000"/>
      <w:bookmarkEnd w:id="8"/>
    </w:p>
    <w:p w14:paraId="71D98EF0" w14:textId="77777777" w:rsidR="00473233" w:rsidRPr="004C04C6" w:rsidRDefault="00473233" w:rsidP="00473233">
      <w:pPr>
        <w:pStyle w:val="Heading3"/>
      </w:pPr>
      <w:bookmarkStart w:id="10" w:name="_Ref37338094"/>
      <w:r w:rsidRPr="004C04C6">
        <w:t>Data Definition Structure</w:t>
      </w:r>
      <w:bookmarkEnd w:id="10"/>
    </w:p>
    <w:p w14:paraId="424D6E72" w14:textId="77777777" w:rsidR="00473233" w:rsidRPr="004C04C6" w:rsidRDefault="00473233" w:rsidP="00473233">
      <w:r w:rsidRPr="004C04C6">
        <w:t>The data definition structure is described using the HL7</w:t>
      </w:r>
      <w:r w:rsidRPr="004C04C6">
        <w:rPr>
          <w:rFonts w:cstheme="minorHAnsi"/>
        </w:rPr>
        <w:t>®</w:t>
      </w:r>
      <w:r w:rsidRPr="004C04C6">
        <w:t xml:space="preserve"> message syntax of brackets ([…]) to identify optional items and braces ({…}) to identify repeatable items. The </w:t>
      </w:r>
      <w:r w:rsidRPr="004C04C6">
        <w:rPr>
          <w:i/>
        </w:rPr>
        <w:t xml:space="preserve">italic </w:t>
      </w:r>
      <w:r w:rsidRPr="004C04C6">
        <w:t xml:space="preserve">items are used to provide grouping and cardinality, while the </w:t>
      </w:r>
      <w:r w:rsidRPr="004C04C6">
        <w:rPr>
          <w:b/>
        </w:rPr>
        <w:t>bold</w:t>
      </w:r>
      <w:r w:rsidRPr="004C04C6">
        <w:t xml:space="preserve"> items are actual data elements of the definition.</w:t>
      </w:r>
    </w:p>
    <w:p w14:paraId="2F92DC90" w14:textId="77777777" w:rsidR="00473233" w:rsidRPr="004C04C6" w:rsidRDefault="00473233" w:rsidP="00473233">
      <w:pPr>
        <w:keepNext/>
        <w:keepLines/>
      </w:pPr>
      <w:r w:rsidRPr="004C04C6">
        <w:t xml:space="preserve">-- </w:t>
      </w:r>
      <w:commentRangeStart w:id="11"/>
      <w:commentRangeStart w:id="12"/>
      <w:r w:rsidRPr="004C04C6">
        <w:t>IVD LOINC Publication begin</w:t>
      </w:r>
      <w:commentRangeEnd w:id="11"/>
      <w:r>
        <w:rPr>
          <w:rStyle w:val="CommentReference"/>
        </w:rPr>
        <w:commentReference w:id="11"/>
      </w:r>
      <w:commentRangeEnd w:id="12"/>
      <w:r w:rsidR="004C3F95">
        <w:rPr>
          <w:rStyle w:val="CommentReference"/>
        </w:rPr>
        <w:commentReference w:id="12"/>
      </w:r>
    </w:p>
    <w:p w14:paraId="30244F4A" w14:textId="6E7D482E" w:rsidR="00473233" w:rsidRPr="004C04C6" w:rsidRDefault="00473233" w:rsidP="00473233">
      <w:pPr>
        <w:keepNext/>
        <w:keepLines/>
        <w:ind w:firstLine="720"/>
      </w:pPr>
      <w:r w:rsidRPr="004C04C6">
        <w:t xml:space="preserve">-- </w:t>
      </w:r>
      <w:r w:rsidR="004C3F95">
        <w:t>LIVD</w:t>
      </w:r>
      <w:r w:rsidR="004C3F95" w:rsidRPr="004C04C6">
        <w:t xml:space="preserve"> </w:t>
      </w:r>
      <w:r w:rsidRPr="004C04C6">
        <w:t>Publication</w:t>
      </w:r>
    </w:p>
    <w:p w14:paraId="7C028E97" w14:textId="77777777" w:rsidR="00473233" w:rsidRPr="004C04C6" w:rsidRDefault="00473233" w:rsidP="00473233">
      <w:pPr>
        <w:keepNext/>
        <w:keepLines/>
        <w:ind w:left="720"/>
      </w:pPr>
      <w:r w:rsidRPr="004C04C6">
        <w:tab/>
      </w:r>
      <w:r w:rsidRPr="004C04C6">
        <w:tab/>
        <w:t>-- {Vendor Equipment Mapping begin</w:t>
      </w:r>
    </w:p>
    <w:p w14:paraId="0925265A" w14:textId="77777777" w:rsidR="00473233" w:rsidRPr="004C04C6" w:rsidRDefault="00473233" w:rsidP="00473233">
      <w:pPr>
        <w:keepNext/>
        <w:keepLines/>
        <w:ind w:firstLine="720"/>
      </w:pPr>
      <w:r w:rsidRPr="004C04C6">
        <w:t xml:space="preserve">     -- Equipment</w:t>
      </w:r>
    </w:p>
    <w:p w14:paraId="713D08F5" w14:textId="77777777" w:rsidR="00473233" w:rsidRPr="004C04C6" w:rsidRDefault="00473233" w:rsidP="00473233">
      <w:pPr>
        <w:ind w:left="720"/>
      </w:pPr>
      <w:r w:rsidRPr="004C04C6">
        <w:tab/>
        <w:t xml:space="preserve">     </w:t>
      </w:r>
      <w:r w:rsidRPr="004C04C6">
        <w:tab/>
      </w:r>
      <w:r w:rsidRPr="004C04C6">
        <w:tab/>
        <w:t xml:space="preserve">-- {IVD </w:t>
      </w:r>
      <w:r w:rsidRPr="004C04C6">
        <w:rPr>
          <w:i/>
        </w:rPr>
        <w:t>Test Mapping</w:t>
      </w:r>
      <w:r w:rsidRPr="004C04C6">
        <w:t xml:space="preserve"> begin</w:t>
      </w:r>
    </w:p>
    <w:p w14:paraId="4D8D9D08" w14:textId="77777777" w:rsidR="00473233" w:rsidRPr="004C04C6" w:rsidRDefault="00473233" w:rsidP="00473233">
      <w:pPr>
        <w:ind w:left="720"/>
      </w:pPr>
      <w:r w:rsidRPr="004C04C6">
        <w:tab/>
      </w:r>
      <w:r w:rsidRPr="004C04C6">
        <w:tab/>
        <w:t xml:space="preserve">     </w:t>
      </w:r>
      <w:r w:rsidRPr="004C04C6">
        <w:tab/>
      </w:r>
      <w:r w:rsidRPr="004C04C6">
        <w:tab/>
        <w:t>-- IVD Test Result</w:t>
      </w:r>
    </w:p>
    <w:p w14:paraId="4CCE29D3" w14:textId="77777777" w:rsidR="00473233" w:rsidRPr="004C04C6" w:rsidRDefault="00473233" w:rsidP="00473233">
      <w:pPr>
        <w:ind w:left="720"/>
      </w:pPr>
      <w:r w:rsidRPr="004C04C6">
        <w:tab/>
      </w:r>
      <w:r w:rsidRPr="004C04C6">
        <w:tab/>
        <w:t xml:space="preserve">     </w:t>
      </w:r>
      <w:r w:rsidRPr="004C04C6">
        <w:tab/>
      </w:r>
      <w:r w:rsidRPr="004C04C6">
        <w:tab/>
        <w:t>-- [</w:t>
      </w:r>
      <w:r w:rsidRPr="004C04C6">
        <w:rPr>
          <w:b/>
        </w:rPr>
        <w:t>LOINC</w:t>
      </w:r>
      <w:r w:rsidRPr="004C04C6">
        <w:t>]</w:t>
      </w:r>
    </w:p>
    <w:p w14:paraId="1C276F67" w14:textId="77777777" w:rsidR="00473233" w:rsidRPr="004C04C6" w:rsidRDefault="00473233" w:rsidP="00473233">
      <w:pPr>
        <w:keepNext/>
        <w:ind w:left="2160" w:firstLine="720"/>
      </w:pPr>
      <w:r w:rsidRPr="004C04C6">
        <w:t xml:space="preserve">-- IVD </w:t>
      </w:r>
      <w:r w:rsidRPr="004C04C6">
        <w:rPr>
          <w:i/>
        </w:rPr>
        <w:t>Test Mapping</w:t>
      </w:r>
      <w:r w:rsidRPr="004C04C6">
        <w:t xml:space="preserve"> end}</w:t>
      </w:r>
    </w:p>
    <w:p w14:paraId="2FE97D8A" w14:textId="77777777" w:rsidR="00473233" w:rsidRPr="004C04C6" w:rsidRDefault="00473233" w:rsidP="00473233">
      <w:pPr>
        <w:keepNext/>
        <w:ind w:left="2160"/>
      </w:pPr>
      <w:r w:rsidRPr="004C04C6">
        <w:t>-- Vendor Equipment Mapping end}</w:t>
      </w:r>
    </w:p>
    <w:p w14:paraId="2B81D6AC" w14:textId="77777777" w:rsidR="00473233" w:rsidRPr="004C04C6" w:rsidRDefault="00473233" w:rsidP="00473233">
      <w:pPr>
        <w:keepNext/>
      </w:pPr>
      <w:r w:rsidRPr="004C04C6">
        <w:t>-- IVD LOINC Publication end</w:t>
      </w:r>
    </w:p>
    <w:p w14:paraId="4504DCDA" w14:textId="77777777" w:rsidR="00473233" w:rsidRPr="00473233" w:rsidRDefault="00473233" w:rsidP="00473233"/>
    <w:p w14:paraId="6E5CBF5E" w14:textId="77777777" w:rsidR="00CE27FE" w:rsidRPr="004C04C6" w:rsidRDefault="00CE27FE" w:rsidP="00473233">
      <w:pPr>
        <w:pStyle w:val="Heading3"/>
      </w:pPr>
      <w:r>
        <w:t>Publication and LOINC version</w:t>
      </w:r>
    </w:p>
    <w:p w14:paraId="77266112" w14:textId="77777777" w:rsidR="00CE27FE" w:rsidRPr="004C04C6" w:rsidRDefault="00CE27FE" w:rsidP="00CE27FE">
      <w:r w:rsidRPr="004C04C6">
        <w:t>This information establishes the publi</w:t>
      </w:r>
      <w:r>
        <w:t>cation version and the LOINC version used for each LOINC mapping</w:t>
      </w:r>
      <w:r w:rsidRPr="004C04C6">
        <w:t>.</w:t>
      </w:r>
    </w:p>
    <w:p w14:paraId="1666F8E3" w14:textId="77777777" w:rsidR="00CE27FE" w:rsidRPr="00C11BEF" w:rsidRDefault="00CE27FE" w:rsidP="00CE27FE">
      <w:pPr>
        <w:pStyle w:val="ListBullet4"/>
        <w:rPr>
          <w:lang w:val="en-US"/>
        </w:rPr>
      </w:pPr>
      <w:r w:rsidRPr="00B066E0">
        <w:rPr>
          <w:b/>
          <w:i/>
          <w:lang w:val="en-US"/>
        </w:rPr>
        <w:t>Publication Version ID</w:t>
      </w:r>
      <w:r w:rsidRPr="00B066E0">
        <w:rPr>
          <w:lang w:val="en-US"/>
        </w:rPr>
        <w:t xml:space="preserve"> is human-readable information provided by the vendor that can be used to differentiate </w:t>
      </w:r>
      <w:r>
        <w:rPr>
          <w:lang w:val="en-US"/>
        </w:rPr>
        <w:t>mapping</w:t>
      </w:r>
      <w:r w:rsidRPr="00B066E0">
        <w:rPr>
          <w:lang w:val="en-US"/>
        </w:rPr>
        <w:t xml:space="preserve"> publication versions. </w:t>
      </w:r>
    </w:p>
    <w:p w14:paraId="0766CDFF" w14:textId="37A56246" w:rsidR="00CE27FE" w:rsidRDefault="00CE27FE" w:rsidP="00CE27FE">
      <w:pPr>
        <w:pStyle w:val="ListBullet4"/>
        <w:rPr>
          <w:rStyle w:val="gmail-m5385853619221777994treelabel"/>
          <w:lang w:val="en-US"/>
        </w:rPr>
      </w:pPr>
      <w:r w:rsidRPr="00435959">
        <w:rPr>
          <w:b/>
          <w:i/>
          <w:lang w:val="en-US"/>
        </w:rPr>
        <w:t>LOINC Version ID</w:t>
      </w:r>
      <w:r w:rsidRPr="00435959">
        <w:rPr>
          <w:lang w:val="en-US"/>
        </w:rPr>
        <w:t xml:space="preserve"> is </w:t>
      </w:r>
      <w:r w:rsidRPr="00435959">
        <w:rPr>
          <w:rStyle w:val="gmail-m5385853619221777994treelabel"/>
          <w:lang w:val="en-US"/>
        </w:rPr>
        <w:t>the version of LOINC that was used for the mapping</w:t>
      </w:r>
      <w:r>
        <w:rPr>
          <w:rStyle w:val="gmail-m5385853619221777994treelabel"/>
          <w:lang w:val="en-US"/>
        </w:rPr>
        <w:t>.</w:t>
      </w:r>
      <w:r>
        <w:rPr>
          <w:lang w:val="en-US"/>
        </w:rPr>
        <w:t xml:space="preserve"> </w:t>
      </w:r>
      <w:r>
        <w:rPr>
          <w:rStyle w:val="gmail-m5385853619221777994treelabel"/>
          <w:lang w:val="en-US"/>
        </w:rPr>
        <w:t xml:space="preserve">The LOINC version is the version as described by </w:t>
      </w:r>
      <w:proofErr w:type="spellStart"/>
      <w:r>
        <w:rPr>
          <w:rStyle w:val="gmail-m5385853619221777994treelabel"/>
          <w:lang w:val="en-US"/>
        </w:rPr>
        <w:t>Regenstrief</w:t>
      </w:r>
      <w:proofErr w:type="spellEnd"/>
      <w:r>
        <w:rPr>
          <w:rStyle w:val="gmail-m5385853619221777994treelabel"/>
          <w:lang w:val="en-US"/>
        </w:rPr>
        <w:t xml:space="preserve"> Institute.</w:t>
      </w:r>
    </w:p>
    <w:p w14:paraId="0DF96597" w14:textId="77777777" w:rsidR="00CE27FE" w:rsidRPr="00EB6975" w:rsidRDefault="00CE27FE" w:rsidP="00CE27FE">
      <w:pPr>
        <w:pStyle w:val="ListBullet4"/>
        <w:numPr>
          <w:ilvl w:val="0"/>
          <w:numId w:val="0"/>
        </w:numPr>
        <w:ind w:left="2345"/>
        <w:rPr>
          <w:lang w:val="en-US"/>
        </w:rPr>
      </w:pPr>
    </w:p>
    <w:tbl>
      <w:tblPr>
        <w:tblStyle w:val="TableGrid"/>
        <w:tblpPr w:leftFromText="187" w:rightFromText="187" w:vertAnchor="text" w:horzAnchor="page" w:tblpX="2247" w:tblpY="1"/>
        <w:tblW w:w="0" w:type="auto"/>
        <w:tblLook w:val="04A0" w:firstRow="1" w:lastRow="0" w:firstColumn="1" w:lastColumn="0" w:noHBand="0" w:noVBand="1"/>
      </w:tblPr>
      <w:tblGrid>
        <w:gridCol w:w="2245"/>
        <w:gridCol w:w="1229"/>
        <w:gridCol w:w="885"/>
        <w:gridCol w:w="1418"/>
        <w:gridCol w:w="3979"/>
      </w:tblGrid>
      <w:tr w:rsidR="00CE27FE" w:rsidRPr="00D326BC" w14:paraId="21730B2D" w14:textId="77777777" w:rsidTr="00CE27FE">
        <w:trPr>
          <w:cantSplit/>
          <w:tblHeader/>
        </w:trPr>
        <w:tc>
          <w:tcPr>
            <w:tcW w:w="2245" w:type="dxa"/>
            <w:shd w:val="clear" w:color="auto" w:fill="BFBFBF" w:themeFill="background1" w:themeFillShade="BF"/>
          </w:tcPr>
          <w:p w14:paraId="33BAFCF1" w14:textId="77777777" w:rsidR="00CE27FE" w:rsidRPr="00721B6E" w:rsidRDefault="00CE27FE" w:rsidP="00CE27FE">
            <w:pPr>
              <w:pStyle w:val="Tabletext"/>
            </w:pPr>
            <w:r w:rsidRPr="00721B6E">
              <w:t>Component</w:t>
            </w:r>
          </w:p>
        </w:tc>
        <w:tc>
          <w:tcPr>
            <w:tcW w:w="1229" w:type="dxa"/>
            <w:shd w:val="clear" w:color="auto" w:fill="BFBFBF" w:themeFill="background1" w:themeFillShade="BF"/>
          </w:tcPr>
          <w:p w14:paraId="27866E09" w14:textId="77777777" w:rsidR="00CE27FE" w:rsidRPr="00721B6E" w:rsidRDefault="00CE27FE" w:rsidP="00CE27FE">
            <w:pPr>
              <w:pStyle w:val="Tabletext"/>
            </w:pPr>
            <w:r w:rsidRPr="00721B6E">
              <w:t>Type</w:t>
            </w:r>
          </w:p>
        </w:tc>
        <w:tc>
          <w:tcPr>
            <w:tcW w:w="885" w:type="dxa"/>
            <w:shd w:val="clear" w:color="auto" w:fill="BFBFBF" w:themeFill="background1" w:themeFillShade="BF"/>
          </w:tcPr>
          <w:p w14:paraId="6B3829DB" w14:textId="77777777" w:rsidR="00CE27FE" w:rsidRPr="00721B6E" w:rsidRDefault="00CE27FE" w:rsidP="00CE27FE">
            <w:pPr>
              <w:pStyle w:val="Tabletext"/>
            </w:pPr>
            <w:r w:rsidRPr="00721B6E">
              <w:t>Card.</w:t>
            </w:r>
          </w:p>
        </w:tc>
        <w:tc>
          <w:tcPr>
            <w:tcW w:w="1418" w:type="dxa"/>
            <w:shd w:val="clear" w:color="auto" w:fill="BFBFBF" w:themeFill="background1" w:themeFillShade="BF"/>
          </w:tcPr>
          <w:p w14:paraId="64AAA78C" w14:textId="77777777" w:rsidR="00CE27FE" w:rsidRPr="00721B6E" w:rsidRDefault="00CE27FE" w:rsidP="00CE27FE">
            <w:pPr>
              <w:pStyle w:val="Tabletext"/>
            </w:pPr>
            <w:r w:rsidRPr="00721B6E">
              <w:t>Reference</w:t>
            </w:r>
          </w:p>
        </w:tc>
        <w:tc>
          <w:tcPr>
            <w:tcW w:w="3979" w:type="dxa"/>
            <w:shd w:val="clear" w:color="auto" w:fill="BFBFBF" w:themeFill="background1" w:themeFillShade="BF"/>
          </w:tcPr>
          <w:p w14:paraId="01EAA2C5" w14:textId="77777777" w:rsidR="00CE27FE" w:rsidRPr="00721B6E" w:rsidRDefault="00CE27FE" w:rsidP="00CE27FE">
            <w:pPr>
              <w:pStyle w:val="Tabletext"/>
            </w:pPr>
            <w:r w:rsidRPr="00721B6E">
              <w:t>Comments</w:t>
            </w:r>
          </w:p>
        </w:tc>
      </w:tr>
      <w:tr w:rsidR="00CE27FE" w:rsidRPr="00B066E0" w14:paraId="0F9F4A63" w14:textId="77777777" w:rsidTr="00CE27FE">
        <w:trPr>
          <w:cantSplit/>
        </w:trPr>
        <w:tc>
          <w:tcPr>
            <w:tcW w:w="2245" w:type="dxa"/>
            <w:tcBorders>
              <w:left w:val="single" w:sz="4" w:space="0" w:color="auto"/>
              <w:right w:val="single" w:sz="4" w:space="0" w:color="auto"/>
            </w:tcBorders>
          </w:tcPr>
          <w:p w14:paraId="55808C40" w14:textId="77777777" w:rsidR="00CE27FE" w:rsidRPr="00E348C9" w:rsidRDefault="00CE27FE" w:rsidP="00CE27FE">
            <w:pPr>
              <w:pStyle w:val="Tabletext"/>
              <w:rPr>
                <w:b w:val="0"/>
              </w:rPr>
            </w:pPr>
            <w:r w:rsidRPr="00B066E0">
              <w:rPr>
                <w:b w:val="0"/>
                <w:bCs/>
                <w:i/>
              </w:rPr>
              <w:t>Publication Version ID</w:t>
            </w:r>
          </w:p>
        </w:tc>
        <w:tc>
          <w:tcPr>
            <w:tcW w:w="1229" w:type="dxa"/>
            <w:tcBorders>
              <w:left w:val="single" w:sz="4" w:space="0" w:color="auto"/>
              <w:right w:val="single" w:sz="4" w:space="0" w:color="auto"/>
            </w:tcBorders>
          </w:tcPr>
          <w:p w14:paraId="3F9147FF" w14:textId="77777777" w:rsidR="00CE27FE" w:rsidRPr="00B066E0" w:rsidRDefault="00CE27FE" w:rsidP="00CE27FE">
            <w:pPr>
              <w:pStyle w:val="Tabletext"/>
              <w:rPr>
                <w:b w:val="0"/>
                <w:bCs/>
              </w:rPr>
            </w:pPr>
            <w:r w:rsidRPr="00B066E0">
              <w:rPr>
                <w:b w:val="0"/>
                <w:bCs/>
              </w:rPr>
              <w:t>String, 199</w:t>
            </w:r>
          </w:p>
        </w:tc>
        <w:tc>
          <w:tcPr>
            <w:tcW w:w="885" w:type="dxa"/>
            <w:tcBorders>
              <w:left w:val="single" w:sz="4" w:space="0" w:color="auto"/>
              <w:right w:val="single" w:sz="4" w:space="0" w:color="auto"/>
            </w:tcBorders>
          </w:tcPr>
          <w:p w14:paraId="4383C5D2" w14:textId="77777777" w:rsidR="00CE27FE" w:rsidRPr="00B066E0" w:rsidRDefault="00CE27FE" w:rsidP="00CE27FE">
            <w:pPr>
              <w:pStyle w:val="Tabletext"/>
              <w:rPr>
                <w:b w:val="0"/>
                <w:bCs/>
              </w:rPr>
            </w:pPr>
            <w:r w:rsidRPr="00B066E0">
              <w:rPr>
                <w:b w:val="0"/>
                <w:bCs/>
              </w:rPr>
              <w:t>1..1</w:t>
            </w:r>
          </w:p>
        </w:tc>
        <w:tc>
          <w:tcPr>
            <w:tcW w:w="1418" w:type="dxa"/>
            <w:tcBorders>
              <w:left w:val="single" w:sz="4" w:space="0" w:color="auto"/>
            </w:tcBorders>
          </w:tcPr>
          <w:p w14:paraId="3148EE5E" w14:textId="77777777" w:rsidR="00CE27FE" w:rsidRPr="00721B6E" w:rsidRDefault="00CE27FE" w:rsidP="00CE27FE">
            <w:pPr>
              <w:pStyle w:val="Tabletext"/>
              <w:rPr>
                <w:bCs/>
              </w:rPr>
            </w:pPr>
          </w:p>
        </w:tc>
        <w:tc>
          <w:tcPr>
            <w:tcW w:w="3979" w:type="dxa"/>
          </w:tcPr>
          <w:p w14:paraId="55ED6743" w14:textId="77777777" w:rsidR="00CE27FE" w:rsidRPr="00B066E0" w:rsidRDefault="00CE27FE" w:rsidP="00CE27FE">
            <w:pPr>
              <w:pStyle w:val="Tabletext"/>
              <w:jc w:val="left"/>
              <w:rPr>
                <w:b w:val="0"/>
                <w:bCs/>
              </w:rPr>
            </w:pPr>
            <w:r w:rsidRPr="00B066E0">
              <w:rPr>
                <w:rFonts w:ascii="CIDFont+F1" w:hAnsi="CIDFont+F1" w:cs="CIDFont+F1"/>
                <w:b w:val="0"/>
                <w:bCs/>
                <w:lang w:bidi="th-TH"/>
              </w:rPr>
              <w:t>Publisher -defined version</w:t>
            </w:r>
          </w:p>
        </w:tc>
      </w:tr>
      <w:tr w:rsidR="00CE27FE" w:rsidRPr="00B066E0" w14:paraId="2BB96A0F" w14:textId="77777777" w:rsidTr="00CE27FE">
        <w:trPr>
          <w:cantSplit/>
        </w:trPr>
        <w:tc>
          <w:tcPr>
            <w:tcW w:w="2245" w:type="dxa"/>
            <w:tcBorders>
              <w:left w:val="single" w:sz="4" w:space="0" w:color="auto"/>
              <w:right w:val="single" w:sz="4" w:space="0" w:color="auto"/>
            </w:tcBorders>
          </w:tcPr>
          <w:p w14:paraId="6CF571A8" w14:textId="77777777" w:rsidR="00CE27FE" w:rsidRPr="00E348C9" w:rsidRDefault="00CE27FE" w:rsidP="00CE27FE">
            <w:pPr>
              <w:pStyle w:val="Tabletext"/>
              <w:rPr>
                <w:b w:val="0"/>
              </w:rPr>
            </w:pPr>
            <w:r w:rsidRPr="00B066E0">
              <w:rPr>
                <w:b w:val="0"/>
                <w:bCs/>
                <w:i/>
              </w:rPr>
              <w:t>LOINC Version ID</w:t>
            </w:r>
          </w:p>
        </w:tc>
        <w:tc>
          <w:tcPr>
            <w:tcW w:w="1229" w:type="dxa"/>
            <w:tcBorders>
              <w:left w:val="single" w:sz="4" w:space="0" w:color="auto"/>
              <w:right w:val="single" w:sz="4" w:space="0" w:color="auto"/>
            </w:tcBorders>
          </w:tcPr>
          <w:p w14:paraId="1F1634FE" w14:textId="77777777" w:rsidR="00CE27FE" w:rsidRPr="00B066E0" w:rsidRDefault="00CE27FE" w:rsidP="00CE27FE">
            <w:pPr>
              <w:pStyle w:val="Tabletext"/>
              <w:rPr>
                <w:b w:val="0"/>
                <w:bCs/>
              </w:rPr>
            </w:pPr>
            <w:r w:rsidRPr="00B066E0">
              <w:rPr>
                <w:b w:val="0"/>
                <w:bCs/>
              </w:rPr>
              <w:t>String, 20</w:t>
            </w:r>
          </w:p>
        </w:tc>
        <w:tc>
          <w:tcPr>
            <w:tcW w:w="885" w:type="dxa"/>
            <w:tcBorders>
              <w:left w:val="single" w:sz="4" w:space="0" w:color="auto"/>
              <w:right w:val="single" w:sz="4" w:space="0" w:color="auto"/>
            </w:tcBorders>
          </w:tcPr>
          <w:p w14:paraId="31FBAA99" w14:textId="77777777" w:rsidR="00CE27FE" w:rsidRPr="00B066E0" w:rsidRDefault="00CE27FE" w:rsidP="00CE27FE">
            <w:pPr>
              <w:pStyle w:val="Tabletext"/>
              <w:rPr>
                <w:b w:val="0"/>
                <w:bCs/>
              </w:rPr>
            </w:pPr>
            <w:r w:rsidRPr="00B066E0">
              <w:rPr>
                <w:b w:val="0"/>
                <w:bCs/>
              </w:rPr>
              <w:t>1..1</w:t>
            </w:r>
          </w:p>
        </w:tc>
        <w:tc>
          <w:tcPr>
            <w:tcW w:w="1418" w:type="dxa"/>
            <w:tcBorders>
              <w:left w:val="single" w:sz="4" w:space="0" w:color="auto"/>
            </w:tcBorders>
          </w:tcPr>
          <w:p w14:paraId="1ECC7D83" w14:textId="77777777" w:rsidR="00CE27FE" w:rsidRPr="00721B6E" w:rsidRDefault="00CE27FE" w:rsidP="00CE27FE">
            <w:pPr>
              <w:pStyle w:val="Tabletext"/>
              <w:rPr>
                <w:bCs/>
              </w:rPr>
            </w:pPr>
            <w:proofErr w:type="spellStart"/>
            <w:r w:rsidRPr="00B066E0">
              <w:rPr>
                <w:b w:val="0"/>
                <w:bCs/>
              </w:rPr>
              <w:t>Regenstrief</w:t>
            </w:r>
            <w:proofErr w:type="spellEnd"/>
            <w:r>
              <w:rPr>
                <w:b w:val="0"/>
                <w:bCs/>
              </w:rPr>
              <w:t xml:space="preserve"> </w:t>
            </w:r>
            <w:proofErr w:type="spellStart"/>
            <w:r>
              <w:rPr>
                <w:b w:val="0"/>
                <w:bCs/>
              </w:rPr>
              <w:t>Institue</w:t>
            </w:r>
            <w:proofErr w:type="spellEnd"/>
          </w:p>
        </w:tc>
        <w:tc>
          <w:tcPr>
            <w:tcW w:w="3979" w:type="dxa"/>
          </w:tcPr>
          <w:p w14:paraId="25F7BA79" w14:textId="77777777" w:rsidR="00CE27FE" w:rsidRPr="00B066E0" w:rsidRDefault="00CE27FE" w:rsidP="00CE27FE">
            <w:pPr>
              <w:pStyle w:val="Tabletext"/>
              <w:jc w:val="left"/>
              <w:rPr>
                <w:b w:val="0"/>
                <w:bCs/>
              </w:rPr>
            </w:pPr>
            <w:r w:rsidRPr="00B066E0">
              <w:rPr>
                <w:rFonts w:ascii="CIDFont+F1" w:hAnsi="CIDFont+F1" w:cs="CIDFont+F1"/>
                <w:b w:val="0"/>
                <w:bCs/>
                <w:lang w:bidi="th-TH"/>
              </w:rPr>
              <w:t>e.g. LOINC 2.59</w:t>
            </w:r>
          </w:p>
        </w:tc>
      </w:tr>
    </w:tbl>
    <w:p w14:paraId="03267A79" w14:textId="77777777" w:rsidR="00CE27FE" w:rsidRPr="00E542C6" w:rsidRDefault="00CE27FE" w:rsidP="00CE27FE">
      <w:pPr>
        <w:ind w:left="0"/>
      </w:pPr>
    </w:p>
    <w:p w14:paraId="76353032" w14:textId="77777777" w:rsidR="00CE27FE" w:rsidRDefault="00CE27FE" w:rsidP="00CE27FE"/>
    <w:p w14:paraId="7186EFDD" w14:textId="77777777" w:rsidR="00CE27FE" w:rsidRPr="004C04C6" w:rsidRDefault="00CE27FE" w:rsidP="00473233">
      <w:pPr>
        <w:pStyle w:val="Heading3"/>
      </w:pPr>
      <w:r w:rsidRPr="004C04C6">
        <w:t>Equipment</w:t>
      </w:r>
      <w:bookmarkEnd w:id="9"/>
    </w:p>
    <w:p w14:paraId="60ACF23C" w14:textId="77777777" w:rsidR="00CE27FE" w:rsidRPr="004C04C6" w:rsidRDefault="00CE27FE" w:rsidP="00CE27FE">
      <w:r w:rsidRPr="004C04C6">
        <w:t>The equipment elements, types, and cardinality are aligned with values reported in LAW OBX-18 Equipment Instance Identifier.</w:t>
      </w:r>
    </w:p>
    <w:p w14:paraId="65D5D8DD" w14:textId="27CE1585" w:rsidR="00CE27FE" w:rsidRPr="004C04C6" w:rsidRDefault="00CE27FE" w:rsidP="00CE27FE">
      <w:r w:rsidRPr="004C04C6">
        <w:rPr>
          <w:b/>
          <w:i/>
        </w:rPr>
        <w:t>UID</w:t>
      </w:r>
      <w:r w:rsidRPr="004C04C6">
        <w:t xml:space="preserve"> and </w:t>
      </w:r>
      <w:r w:rsidRPr="004C04C6">
        <w:rPr>
          <w:b/>
          <w:i/>
        </w:rPr>
        <w:t>UID Type</w:t>
      </w:r>
      <w:r w:rsidRPr="004C04C6">
        <w:t xml:space="preserve"> </w:t>
      </w:r>
      <w:r w:rsidR="004C3F95" w:rsidRPr="004C04C6">
        <w:t>can support</w:t>
      </w:r>
      <w:r w:rsidRPr="004C04C6">
        <w:t xml:space="preserve"> the unique device identification system to identify medical devices through their distribution and use. When fully implemented, the label of most devices will include a unique device identifier (UDI) in human- and machine-readable form</w:t>
      </w:r>
      <w:r>
        <w:t>.</w:t>
      </w:r>
    </w:p>
    <w:tbl>
      <w:tblPr>
        <w:tblStyle w:val="TableGrid"/>
        <w:tblW w:w="0" w:type="auto"/>
        <w:tblInd w:w="1548" w:type="dxa"/>
        <w:tblLayout w:type="fixed"/>
        <w:tblLook w:val="04A0" w:firstRow="1" w:lastRow="0" w:firstColumn="1" w:lastColumn="0" w:noHBand="0" w:noVBand="1"/>
      </w:tblPr>
      <w:tblGrid>
        <w:gridCol w:w="1849"/>
        <w:gridCol w:w="1177"/>
        <w:gridCol w:w="697"/>
        <w:gridCol w:w="1654"/>
        <w:gridCol w:w="3865"/>
      </w:tblGrid>
      <w:tr w:rsidR="00CE27FE" w:rsidRPr="004C04C6" w14:paraId="53D7110B" w14:textId="77777777" w:rsidTr="00CE27FE">
        <w:trPr>
          <w:cantSplit/>
          <w:tblHeader/>
        </w:trPr>
        <w:tc>
          <w:tcPr>
            <w:tcW w:w="1849" w:type="dxa"/>
            <w:tcBorders>
              <w:top w:val="single" w:sz="4" w:space="0" w:color="auto"/>
              <w:bottom w:val="single" w:sz="4" w:space="0" w:color="auto"/>
            </w:tcBorders>
            <w:shd w:val="clear" w:color="auto" w:fill="BFBFBF" w:themeFill="background1" w:themeFillShade="BF"/>
          </w:tcPr>
          <w:p w14:paraId="57ED73CB" w14:textId="77777777" w:rsidR="00CE27FE" w:rsidRPr="004C04C6" w:rsidRDefault="00CE27FE" w:rsidP="00CE27FE">
            <w:pPr>
              <w:pStyle w:val="Tabletext"/>
            </w:pPr>
            <w:r w:rsidRPr="004C04C6">
              <w:t>Component</w:t>
            </w:r>
          </w:p>
        </w:tc>
        <w:tc>
          <w:tcPr>
            <w:tcW w:w="1177" w:type="dxa"/>
            <w:tcBorders>
              <w:top w:val="single" w:sz="4" w:space="0" w:color="auto"/>
              <w:bottom w:val="single" w:sz="4" w:space="0" w:color="auto"/>
            </w:tcBorders>
            <w:shd w:val="clear" w:color="auto" w:fill="BFBFBF" w:themeFill="background1" w:themeFillShade="BF"/>
          </w:tcPr>
          <w:p w14:paraId="4B8026F6" w14:textId="77777777" w:rsidR="00CE27FE" w:rsidRPr="004C04C6" w:rsidRDefault="00CE27FE" w:rsidP="00CE27FE">
            <w:pPr>
              <w:pStyle w:val="Tabletext"/>
            </w:pPr>
            <w:r w:rsidRPr="004C04C6">
              <w:t>Type</w:t>
            </w:r>
          </w:p>
        </w:tc>
        <w:tc>
          <w:tcPr>
            <w:tcW w:w="697" w:type="dxa"/>
            <w:tcBorders>
              <w:top w:val="single" w:sz="4" w:space="0" w:color="auto"/>
              <w:bottom w:val="single" w:sz="4" w:space="0" w:color="auto"/>
            </w:tcBorders>
            <w:shd w:val="clear" w:color="auto" w:fill="BFBFBF" w:themeFill="background1" w:themeFillShade="BF"/>
          </w:tcPr>
          <w:p w14:paraId="0E637AA5" w14:textId="77777777" w:rsidR="00CE27FE" w:rsidRPr="004C04C6" w:rsidRDefault="00CE27FE" w:rsidP="00CE27FE">
            <w:pPr>
              <w:pStyle w:val="Tabletext"/>
            </w:pPr>
            <w:r w:rsidRPr="004C04C6">
              <w:t>Card.</w:t>
            </w:r>
          </w:p>
        </w:tc>
        <w:tc>
          <w:tcPr>
            <w:tcW w:w="1654" w:type="dxa"/>
            <w:tcBorders>
              <w:top w:val="single" w:sz="4" w:space="0" w:color="auto"/>
              <w:bottom w:val="single" w:sz="4" w:space="0" w:color="auto"/>
            </w:tcBorders>
            <w:shd w:val="clear" w:color="auto" w:fill="BFBFBF" w:themeFill="background1" w:themeFillShade="BF"/>
          </w:tcPr>
          <w:p w14:paraId="1964C62A" w14:textId="77777777" w:rsidR="00CE27FE" w:rsidRPr="004C04C6" w:rsidRDefault="00CE27FE" w:rsidP="00CE27FE">
            <w:pPr>
              <w:pStyle w:val="Tabletext"/>
            </w:pPr>
            <w:r w:rsidRPr="004C04C6">
              <w:t>Reference</w:t>
            </w:r>
          </w:p>
        </w:tc>
        <w:tc>
          <w:tcPr>
            <w:tcW w:w="3865" w:type="dxa"/>
            <w:tcBorders>
              <w:top w:val="single" w:sz="4" w:space="0" w:color="auto"/>
            </w:tcBorders>
            <w:shd w:val="clear" w:color="auto" w:fill="BFBFBF" w:themeFill="background1" w:themeFillShade="BF"/>
          </w:tcPr>
          <w:p w14:paraId="4A12F1E7" w14:textId="77777777" w:rsidR="00CE27FE" w:rsidRPr="004C04C6" w:rsidRDefault="00CE27FE" w:rsidP="00CE27FE">
            <w:pPr>
              <w:pStyle w:val="Tabletext"/>
            </w:pPr>
            <w:r w:rsidRPr="004C04C6">
              <w:t>Comments</w:t>
            </w:r>
          </w:p>
        </w:tc>
      </w:tr>
      <w:tr w:rsidR="00CE27FE" w:rsidRPr="004C04C6" w14:paraId="7D1188CC" w14:textId="77777777" w:rsidTr="00CE27FE">
        <w:trPr>
          <w:cantSplit/>
        </w:trPr>
        <w:tc>
          <w:tcPr>
            <w:tcW w:w="1849" w:type="dxa"/>
            <w:tcBorders>
              <w:left w:val="single" w:sz="4" w:space="0" w:color="auto"/>
              <w:right w:val="single" w:sz="4" w:space="0" w:color="auto"/>
            </w:tcBorders>
          </w:tcPr>
          <w:p w14:paraId="7CB5C2F0" w14:textId="77777777" w:rsidR="00CE27FE" w:rsidRPr="00B066E0" w:rsidRDefault="00CE27FE" w:rsidP="00CE27FE">
            <w:pPr>
              <w:pStyle w:val="Tabletext"/>
              <w:rPr>
                <w:b w:val="0"/>
                <w:bCs/>
              </w:rPr>
            </w:pPr>
            <w:r w:rsidRPr="00B066E0">
              <w:rPr>
                <w:b w:val="0"/>
                <w:bCs/>
              </w:rPr>
              <w:t>(k) Manufacturer</w:t>
            </w:r>
          </w:p>
        </w:tc>
        <w:tc>
          <w:tcPr>
            <w:tcW w:w="1177" w:type="dxa"/>
            <w:tcBorders>
              <w:left w:val="single" w:sz="4" w:space="0" w:color="auto"/>
              <w:right w:val="single" w:sz="4" w:space="0" w:color="auto"/>
            </w:tcBorders>
          </w:tcPr>
          <w:p w14:paraId="64045943" w14:textId="77777777" w:rsidR="00CE27FE" w:rsidRPr="00B066E0" w:rsidRDefault="00CE27FE" w:rsidP="00CE27FE">
            <w:pPr>
              <w:pStyle w:val="Tabletext"/>
              <w:rPr>
                <w:b w:val="0"/>
                <w:bCs/>
              </w:rPr>
            </w:pPr>
            <w:r w:rsidRPr="00B066E0">
              <w:rPr>
                <w:b w:val="0"/>
                <w:bCs/>
              </w:rPr>
              <w:t>String, 50</w:t>
            </w:r>
          </w:p>
        </w:tc>
        <w:tc>
          <w:tcPr>
            <w:tcW w:w="697" w:type="dxa"/>
            <w:tcBorders>
              <w:left w:val="single" w:sz="4" w:space="0" w:color="auto"/>
              <w:right w:val="single" w:sz="4" w:space="0" w:color="auto"/>
            </w:tcBorders>
          </w:tcPr>
          <w:p w14:paraId="15E144B9" w14:textId="77777777" w:rsidR="00CE27FE" w:rsidRPr="00B066E0" w:rsidRDefault="00CE27FE" w:rsidP="00CE27FE">
            <w:pPr>
              <w:pStyle w:val="Tabletext"/>
              <w:rPr>
                <w:b w:val="0"/>
                <w:bCs/>
              </w:rPr>
            </w:pPr>
            <w:r w:rsidRPr="00B066E0">
              <w:rPr>
                <w:b w:val="0"/>
                <w:bCs/>
              </w:rPr>
              <w:t>1..1</w:t>
            </w:r>
          </w:p>
        </w:tc>
        <w:tc>
          <w:tcPr>
            <w:tcW w:w="1654" w:type="dxa"/>
            <w:tcBorders>
              <w:left w:val="single" w:sz="4" w:space="0" w:color="auto"/>
            </w:tcBorders>
          </w:tcPr>
          <w:p w14:paraId="7E161777" w14:textId="77777777" w:rsidR="00CE27FE" w:rsidRPr="00B066E0" w:rsidRDefault="00CE27FE" w:rsidP="00CE27FE">
            <w:pPr>
              <w:pStyle w:val="Tabletext"/>
              <w:rPr>
                <w:b w:val="0"/>
                <w:bCs/>
              </w:rPr>
            </w:pPr>
            <w:r w:rsidRPr="00B066E0">
              <w:rPr>
                <w:b w:val="0"/>
                <w:bCs/>
              </w:rPr>
              <w:t>LAW OBX-18.2</w:t>
            </w:r>
          </w:p>
        </w:tc>
        <w:tc>
          <w:tcPr>
            <w:tcW w:w="3865" w:type="dxa"/>
          </w:tcPr>
          <w:p w14:paraId="308F1B28" w14:textId="77777777" w:rsidR="00CE27FE" w:rsidRPr="00B066E0" w:rsidRDefault="00CE27FE" w:rsidP="00CE27FE">
            <w:pPr>
              <w:pStyle w:val="Tabletext"/>
              <w:rPr>
                <w:b w:val="0"/>
                <w:bCs/>
              </w:rPr>
            </w:pPr>
          </w:p>
        </w:tc>
      </w:tr>
      <w:tr w:rsidR="00CE27FE" w:rsidRPr="004C04C6" w14:paraId="655A2662" w14:textId="77777777" w:rsidTr="00CE27FE">
        <w:trPr>
          <w:cantSplit/>
        </w:trPr>
        <w:tc>
          <w:tcPr>
            <w:tcW w:w="1849" w:type="dxa"/>
            <w:tcBorders>
              <w:left w:val="single" w:sz="4" w:space="0" w:color="auto"/>
              <w:right w:val="single" w:sz="4" w:space="0" w:color="auto"/>
            </w:tcBorders>
          </w:tcPr>
          <w:p w14:paraId="24B9EDF3" w14:textId="77777777" w:rsidR="00CE27FE" w:rsidRPr="00B066E0" w:rsidRDefault="00CE27FE" w:rsidP="00CE27FE">
            <w:pPr>
              <w:pStyle w:val="Tabletext"/>
              <w:rPr>
                <w:b w:val="0"/>
                <w:bCs/>
              </w:rPr>
            </w:pPr>
            <w:r w:rsidRPr="00B066E0">
              <w:rPr>
                <w:b w:val="0"/>
                <w:bCs/>
              </w:rPr>
              <w:t>(k) Model</w:t>
            </w:r>
          </w:p>
        </w:tc>
        <w:tc>
          <w:tcPr>
            <w:tcW w:w="1177" w:type="dxa"/>
            <w:tcBorders>
              <w:left w:val="single" w:sz="4" w:space="0" w:color="auto"/>
              <w:right w:val="single" w:sz="4" w:space="0" w:color="auto"/>
            </w:tcBorders>
          </w:tcPr>
          <w:p w14:paraId="0BEA563A" w14:textId="77777777" w:rsidR="00CE27FE" w:rsidRPr="00B066E0" w:rsidRDefault="00CE27FE" w:rsidP="00CE27FE">
            <w:pPr>
              <w:pStyle w:val="Tabletext"/>
              <w:rPr>
                <w:b w:val="0"/>
                <w:bCs/>
              </w:rPr>
            </w:pPr>
            <w:r w:rsidRPr="00B066E0">
              <w:rPr>
                <w:b w:val="0"/>
                <w:bCs/>
              </w:rPr>
              <w:t>String, 20</w:t>
            </w:r>
          </w:p>
        </w:tc>
        <w:tc>
          <w:tcPr>
            <w:tcW w:w="697" w:type="dxa"/>
            <w:tcBorders>
              <w:left w:val="single" w:sz="4" w:space="0" w:color="auto"/>
              <w:right w:val="single" w:sz="4" w:space="0" w:color="auto"/>
            </w:tcBorders>
          </w:tcPr>
          <w:p w14:paraId="37FAA578" w14:textId="77777777" w:rsidR="00CE27FE" w:rsidRPr="00B066E0" w:rsidRDefault="00CE27FE" w:rsidP="00CE27FE">
            <w:pPr>
              <w:pStyle w:val="Tabletext"/>
              <w:rPr>
                <w:b w:val="0"/>
                <w:bCs/>
              </w:rPr>
            </w:pPr>
            <w:r w:rsidRPr="00B066E0">
              <w:rPr>
                <w:b w:val="0"/>
                <w:bCs/>
              </w:rPr>
              <w:t>1..1</w:t>
            </w:r>
          </w:p>
        </w:tc>
        <w:tc>
          <w:tcPr>
            <w:tcW w:w="1654" w:type="dxa"/>
            <w:tcBorders>
              <w:left w:val="single" w:sz="4" w:space="0" w:color="auto"/>
            </w:tcBorders>
          </w:tcPr>
          <w:p w14:paraId="25AAC17D" w14:textId="77777777" w:rsidR="00CE27FE" w:rsidRPr="00B066E0" w:rsidRDefault="00CE27FE" w:rsidP="00CE27FE">
            <w:pPr>
              <w:pStyle w:val="Tabletext"/>
              <w:rPr>
                <w:b w:val="0"/>
                <w:bCs/>
              </w:rPr>
            </w:pPr>
            <w:r w:rsidRPr="00B066E0">
              <w:rPr>
                <w:b w:val="0"/>
                <w:bCs/>
              </w:rPr>
              <w:t>LAW OBX-18.1</w:t>
            </w:r>
          </w:p>
        </w:tc>
        <w:tc>
          <w:tcPr>
            <w:tcW w:w="3865" w:type="dxa"/>
          </w:tcPr>
          <w:p w14:paraId="22CDAA89" w14:textId="77777777" w:rsidR="00CE27FE" w:rsidRPr="00B066E0" w:rsidRDefault="00CE27FE" w:rsidP="00CE27FE">
            <w:pPr>
              <w:pStyle w:val="Tabletext"/>
              <w:rPr>
                <w:b w:val="0"/>
                <w:bCs/>
              </w:rPr>
            </w:pPr>
            <w:r w:rsidRPr="00B066E0">
              <w:rPr>
                <w:b w:val="0"/>
                <w:bCs/>
              </w:rPr>
              <w:t>Automated test: name of instrument</w:t>
            </w:r>
          </w:p>
          <w:p w14:paraId="4714003E" w14:textId="77777777" w:rsidR="00CE27FE" w:rsidRPr="00B066E0" w:rsidRDefault="00CE27FE" w:rsidP="00CE27FE">
            <w:pPr>
              <w:pStyle w:val="Tabletext"/>
              <w:rPr>
                <w:b w:val="0"/>
                <w:bCs/>
              </w:rPr>
            </w:pPr>
            <w:r w:rsidRPr="00B066E0">
              <w:rPr>
                <w:b w:val="0"/>
                <w:bCs/>
              </w:rPr>
              <w:t>Manual test: IVD Test Kit Name</w:t>
            </w:r>
          </w:p>
        </w:tc>
      </w:tr>
      <w:tr w:rsidR="00CE27FE" w:rsidRPr="004C04C6" w14:paraId="4AB3293D" w14:textId="77777777" w:rsidTr="00CE27FE">
        <w:trPr>
          <w:cantSplit/>
        </w:trPr>
        <w:tc>
          <w:tcPr>
            <w:tcW w:w="1849" w:type="dxa"/>
            <w:tcBorders>
              <w:left w:val="single" w:sz="4" w:space="0" w:color="auto"/>
              <w:right w:val="single" w:sz="4" w:space="0" w:color="auto"/>
            </w:tcBorders>
          </w:tcPr>
          <w:p w14:paraId="4E7F71F7" w14:textId="77777777" w:rsidR="00CE27FE" w:rsidRPr="00B066E0" w:rsidRDefault="00CE27FE" w:rsidP="00CE27FE">
            <w:pPr>
              <w:pStyle w:val="Tabletext"/>
              <w:rPr>
                <w:b w:val="0"/>
                <w:bCs/>
              </w:rPr>
            </w:pPr>
            <w:r w:rsidRPr="00B066E0">
              <w:rPr>
                <w:b w:val="0"/>
                <w:bCs/>
              </w:rPr>
              <w:t>UID</w:t>
            </w:r>
          </w:p>
        </w:tc>
        <w:tc>
          <w:tcPr>
            <w:tcW w:w="1177" w:type="dxa"/>
            <w:tcBorders>
              <w:left w:val="single" w:sz="4" w:space="0" w:color="auto"/>
              <w:right w:val="single" w:sz="4" w:space="0" w:color="auto"/>
            </w:tcBorders>
          </w:tcPr>
          <w:p w14:paraId="0A43EDF2" w14:textId="77777777" w:rsidR="00CE27FE" w:rsidRPr="00B066E0" w:rsidRDefault="00CE27FE" w:rsidP="00CE27FE">
            <w:pPr>
              <w:pStyle w:val="Tabletext"/>
              <w:rPr>
                <w:b w:val="0"/>
                <w:bCs/>
              </w:rPr>
            </w:pPr>
            <w:r w:rsidRPr="00B066E0">
              <w:rPr>
                <w:b w:val="0"/>
                <w:bCs/>
              </w:rPr>
              <w:t>String, 199</w:t>
            </w:r>
          </w:p>
        </w:tc>
        <w:tc>
          <w:tcPr>
            <w:tcW w:w="697" w:type="dxa"/>
            <w:tcBorders>
              <w:left w:val="single" w:sz="4" w:space="0" w:color="auto"/>
              <w:right w:val="single" w:sz="4" w:space="0" w:color="auto"/>
            </w:tcBorders>
          </w:tcPr>
          <w:p w14:paraId="6B0C0EE4" w14:textId="77777777" w:rsidR="00CE27FE" w:rsidRPr="00B066E0" w:rsidRDefault="00CE27FE" w:rsidP="00CE27FE">
            <w:pPr>
              <w:pStyle w:val="Tabletext"/>
              <w:rPr>
                <w:b w:val="0"/>
                <w:bCs/>
              </w:rPr>
            </w:pPr>
            <w:r w:rsidRPr="00B066E0">
              <w:rPr>
                <w:b w:val="0"/>
                <w:bCs/>
              </w:rPr>
              <w:t>0..1</w:t>
            </w:r>
          </w:p>
        </w:tc>
        <w:tc>
          <w:tcPr>
            <w:tcW w:w="1654" w:type="dxa"/>
            <w:tcBorders>
              <w:left w:val="single" w:sz="4" w:space="0" w:color="auto"/>
            </w:tcBorders>
          </w:tcPr>
          <w:p w14:paraId="48A42096" w14:textId="77777777" w:rsidR="00CE27FE" w:rsidRPr="00B066E0" w:rsidRDefault="00CE27FE" w:rsidP="00CE27FE">
            <w:pPr>
              <w:pStyle w:val="Tabletext"/>
              <w:rPr>
                <w:b w:val="0"/>
                <w:bCs/>
              </w:rPr>
            </w:pPr>
            <w:r w:rsidRPr="00B066E0">
              <w:rPr>
                <w:b w:val="0"/>
                <w:bCs/>
              </w:rPr>
              <w:t>LAW OBX-18.3</w:t>
            </w:r>
          </w:p>
        </w:tc>
        <w:tc>
          <w:tcPr>
            <w:tcW w:w="3865" w:type="dxa"/>
          </w:tcPr>
          <w:p w14:paraId="5B82F9BA" w14:textId="77777777" w:rsidR="00CE27FE" w:rsidRPr="00B066E0" w:rsidRDefault="00CE27FE" w:rsidP="00CE27FE">
            <w:pPr>
              <w:pStyle w:val="Tabletext"/>
              <w:rPr>
                <w:b w:val="0"/>
                <w:bCs/>
              </w:rPr>
            </w:pPr>
            <w:r w:rsidRPr="00B066E0">
              <w:rPr>
                <w:b w:val="0"/>
                <w:bCs/>
              </w:rPr>
              <w:t>Can be used for equipment Unique Device Identifier (UDI)</w:t>
            </w:r>
          </w:p>
        </w:tc>
      </w:tr>
      <w:tr w:rsidR="00CE27FE" w:rsidRPr="004C04C6" w14:paraId="28FD15D8" w14:textId="77777777" w:rsidTr="00CE27FE">
        <w:trPr>
          <w:cantSplit/>
        </w:trPr>
        <w:tc>
          <w:tcPr>
            <w:tcW w:w="1849" w:type="dxa"/>
            <w:tcBorders>
              <w:left w:val="single" w:sz="4" w:space="0" w:color="auto"/>
              <w:right w:val="single" w:sz="4" w:space="0" w:color="auto"/>
            </w:tcBorders>
          </w:tcPr>
          <w:p w14:paraId="5641ECBD" w14:textId="77777777" w:rsidR="00CE27FE" w:rsidRPr="00B066E0" w:rsidRDefault="00CE27FE" w:rsidP="00CE27FE">
            <w:pPr>
              <w:pStyle w:val="Tabletext"/>
              <w:rPr>
                <w:b w:val="0"/>
                <w:bCs/>
              </w:rPr>
            </w:pPr>
            <w:r w:rsidRPr="00B066E0">
              <w:rPr>
                <w:b w:val="0"/>
                <w:bCs/>
              </w:rPr>
              <w:t>UID Type</w:t>
            </w:r>
          </w:p>
        </w:tc>
        <w:tc>
          <w:tcPr>
            <w:tcW w:w="1177" w:type="dxa"/>
            <w:tcBorders>
              <w:left w:val="single" w:sz="4" w:space="0" w:color="auto"/>
              <w:right w:val="single" w:sz="4" w:space="0" w:color="auto"/>
            </w:tcBorders>
          </w:tcPr>
          <w:p w14:paraId="3A23F7DC" w14:textId="77777777" w:rsidR="00CE27FE" w:rsidRPr="00B066E0" w:rsidRDefault="00CE27FE" w:rsidP="00CE27FE">
            <w:pPr>
              <w:pStyle w:val="Tabletext"/>
              <w:rPr>
                <w:b w:val="0"/>
                <w:bCs/>
              </w:rPr>
            </w:pPr>
            <w:r w:rsidRPr="00B066E0">
              <w:rPr>
                <w:b w:val="0"/>
                <w:bCs/>
              </w:rPr>
              <w:t>String, 6</w:t>
            </w:r>
          </w:p>
        </w:tc>
        <w:tc>
          <w:tcPr>
            <w:tcW w:w="697" w:type="dxa"/>
            <w:tcBorders>
              <w:left w:val="single" w:sz="4" w:space="0" w:color="auto"/>
              <w:right w:val="single" w:sz="4" w:space="0" w:color="auto"/>
            </w:tcBorders>
          </w:tcPr>
          <w:p w14:paraId="10E88DAA" w14:textId="77777777" w:rsidR="00CE27FE" w:rsidRPr="00B066E0" w:rsidRDefault="00CE27FE" w:rsidP="00CE27FE">
            <w:pPr>
              <w:pStyle w:val="Tabletext"/>
              <w:rPr>
                <w:b w:val="0"/>
                <w:bCs/>
              </w:rPr>
            </w:pPr>
            <w:r w:rsidRPr="00B066E0">
              <w:rPr>
                <w:b w:val="0"/>
                <w:bCs/>
              </w:rPr>
              <w:t>0..1</w:t>
            </w:r>
          </w:p>
        </w:tc>
        <w:tc>
          <w:tcPr>
            <w:tcW w:w="1654" w:type="dxa"/>
            <w:tcBorders>
              <w:left w:val="single" w:sz="4" w:space="0" w:color="auto"/>
            </w:tcBorders>
          </w:tcPr>
          <w:p w14:paraId="448F64F6" w14:textId="77777777" w:rsidR="00CE27FE" w:rsidRPr="00B066E0" w:rsidRDefault="00CE27FE" w:rsidP="00CE27FE">
            <w:pPr>
              <w:pStyle w:val="Tabletext"/>
              <w:rPr>
                <w:b w:val="0"/>
                <w:bCs/>
              </w:rPr>
            </w:pPr>
            <w:r w:rsidRPr="00B066E0">
              <w:rPr>
                <w:b w:val="0"/>
                <w:bCs/>
              </w:rPr>
              <w:t>LAW OBX-18.4</w:t>
            </w:r>
          </w:p>
        </w:tc>
        <w:tc>
          <w:tcPr>
            <w:tcW w:w="3865" w:type="dxa"/>
          </w:tcPr>
          <w:p w14:paraId="4C20FFAB" w14:textId="77777777" w:rsidR="00CE27FE" w:rsidRPr="00B066E0" w:rsidRDefault="00CE27FE" w:rsidP="00CE27FE">
            <w:pPr>
              <w:pStyle w:val="Tabletext"/>
              <w:rPr>
                <w:b w:val="0"/>
                <w:bCs/>
              </w:rPr>
            </w:pPr>
            <w:r w:rsidRPr="00B066E0">
              <w:rPr>
                <w:b w:val="0"/>
                <w:bCs/>
              </w:rPr>
              <w:t>Use to identify the structure for the UID, e.g., FDA-accredited UDI</w:t>
            </w:r>
            <w:r w:rsidRPr="00B066E0">
              <w:rPr>
                <w:b w:val="0"/>
                <w:bCs/>
                <w:vertAlign w:val="superscript"/>
              </w:rPr>
              <w:t>1</w:t>
            </w:r>
            <w:r w:rsidRPr="00B066E0">
              <w:rPr>
                <w:b w:val="0"/>
                <w:bCs/>
              </w:rPr>
              <w:t xml:space="preserve"> or an alternative structure</w:t>
            </w:r>
          </w:p>
        </w:tc>
      </w:tr>
    </w:tbl>
    <w:p w14:paraId="103BC754" w14:textId="59AE62A9" w:rsidR="00CE27FE" w:rsidRDefault="00CE27FE" w:rsidP="00CE27FE">
      <w:pPr>
        <w:pStyle w:val="FootnoteText"/>
        <w:jc w:val="left"/>
      </w:pPr>
      <w:bookmarkStart w:id="13" w:name="_Hlk56162854"/>
      <w:r w:rsidRPr="004C04C6">
        <w:t xml:space="preserve">1 Specify if the UID represents the Device Identifier (DI) per the FDA unique device identification (UDI) system or an alternate type of device identification system. For additional information regarding the FDA UDI system and the FDA Global Unique Device Identification Database (GUDID), see </w:t>
      </w:r>
      <w:hyperlink r:id="rId12" w:history="1">
        <w:r w:rsidRPr="004C04C6">
          <w:rPr>
            <w:rStyle w:val="Hyperlink"/>
            <w:i/>
            <w:color w:val="auto"/>
            <w:u w:val="none"/>
          </w:rPr>
          <w:t>https://www.fda.gov/MedicalDevices/DeviceRegulationandGuidance/UniqueDeviceIdentification/</w:t>
        </w:r>
      </w:hyperlink>
      <w:r w:rsidRPr="004C04C6">
        <w:t>.</w:t>
      </w:r>
    </w:p>
    <w:bookmarkEnd w:id="13"/>
    <w:p w14:paraId="120BD480" w14:textId="77777777" w:rsidR="006B5578" w:rsidRPr="004C04C6" w:rsidRDefault="006B5578" w:rsidP="00CE27FE">
      <w:pPr>
        <w:pStyle w:val="FootnoteText"/>
        <w:jc w:val="left"/>
      </w:pPr>
    </w:p>
    <w:p w14:paraId="605A9C68" w14:textId="77777777" w:rsidR="00CE27FE" w:rsidRPr="004C04C6" w:rsidRDefault="00CE27FE" w:rsidP="00473233">
      <w:pPr>
        <w:pStyle w:val="Heading3"/>
      </w:pPr>
      <w:r>
        <w:t xml:space="preserve">Vendor </w:t>
      </w:r>
      <w:r w:rsidRPr="004C04C6">
        <w:t xml:space="preserve">IVD Test </w:t>
      </w:r>
      <w:r>
        <w:t>mapping</w:t>
      </w:r>
    </w:p>
    <w:p w14:paraId="0F2F3925" w14:textId="77777777" w:rsidR="00CE27FE" w:rsidRDefault="00CE27FE" w:rsidP="00CE27FE">
      <w:pPr>
        <w:keepNext/>
        <w:keepLines/>
      </w:pPr>
      <w:r w:rsidRPr="004C04C6">
        <w:t>The IVD Test Result components are aligned with values reported in OBX-3 Observation Identifier as applicable.</w:t>
      </w:r>
      <w:r w:rsidRPr="004C04C6">
        <w:rPr>
          <w:b/>
          <w:i/>
        </w:rPr>
        <w:t xml:space="preserve"> Vendor Specimen Description, Vendor Result Description</w:t>
      </w:r>
      <w:r w:rsidRPr="004C04C6">
        <w:t xml:space="preserve">, and </w:t>
      </w:r>
      <w:r w:rsidRPr="004C04C6">
        <w:rPr>
          <w:b/>
          <w:i/>
        </w:rPr>
        <w:t>Vendor Comment</w:t>
      </w:r>
      <w:r w:rsidRPr="004C04C6">
        <w:t xml:space="preserve"> are included to assist a laboratory in selecting the appropriate LOINC code(s) for the vendor IVD tests used by the laboratory. This information is not intended to be parsed by an IVD Software System that automates the mapping of vendor IVD transmission codes to LOINC codes. The inclusion of this information should reduce errors in the manual selection of LOINC codes by a laboratory.</w:t>
      </w:r>
    </w:p>
    <w:p w14:paraId="21B0017B" w14:textId="77777777" w:rsidR="00CE27FE" w:rsidRPr="00530BB0" w:rsidRDefault="00CE27FE" w:rsidP="00CE27FE">
      <w:pPr>
        <w:pStyle w:val="ListBullet4"/>
        <w:rPr>
          <w:lang w:val="en-US"/>
        </w:rPr>
      </w:pPr>
      <w:r w:rsidRPr="00530BB0">
        <w:rPr>
          <w:b/>
          <w:bCs/>
          <w:lang w:val="en-US"/>
        </w:rPr>
        <w:t>Vendor Analyte Code</w:t>
      </w:r>
      <w:r w:rsidRPr="00530BB0">
        <w:rPr>
          <w:lang w:val="en-US"/>
        </w:rPr>
        <w:t xml:space="preserve"> is one of two possible values</w:t>
      </w:r>
    </w:p>
    <w:p w14:paraId="783598A2" w14:textId="77777777" w:rsidR="00CE27FE" w:rsidRPr="00C11BEF" w:rsidRDefault="00CE27FE" w:rsidP="00CE27FE">
      <w:pPr>
        <w:pStyle w:val="ListBullet4"/>
        <w:numPr>
          <w:ilvl w:val="0"/>
          <w:numId w:val="37"/>
        </w:numPr>
        <w:rPr>
          <w:lang w:val="en-US"/>
        </w:rPr>
      </w:pPr>
      <w:r w:rsidRPr="004C04C6">
        <w:rPr>
          <w:lang w:val="en-US"/>
        </w:rPr>
        <w:t>For an automated test result,</w:t>
      </w:r>
      <w:r w:rsidRPr="00B066E0">
        <w:rPr>
          <w:lang w:val="en-US"/>
        </w:rPr>
        <w:t xml:space="preserve"> </w:t>
      </w:r>
      <w:r w:rsidRPr="004C04C6">
        <w:rPr>
          <w:lang w:val="en-US"/>
        </w:rPr>
        <w:t xml:space="preserve">it contains </w:t>
      </w:r>
      <w:r w:rsidRPr="00B066E0">
        <w:rPr>
          <w:lang w:val="en-US"/>
        </w:rPr>
        <w:t>Vendor Transmission Code</w:t>
      </w:r>
      <w:r w:rsidRPr="004C04C6">
        <w:rPr>
          <w:lang w:val="en-US"/>
        </w:rPr>
        <w:t xml:space="preserve"> used by the instrument when sending the test result to a health information system, such as </w:t>
      </w:r>
      <w:proofErr w:type="gramStart"/>
      <w:r w:rsidRPr="004C04C6">
        <w:rPr>
          <w:lang w:val="en-US"/>
        </w:rPr>
        <w:t>an</w:t>
      </w:r>
      <w:proofErr w:type="gramEnd"/>
      <w:r w:rsidRPr="004C04C6">
        <w:rPr>
          <w:lang w:val="en-US"/>
        </w:rPr>
        <w:t xml:space="preserve"> LIS.</w:t>
      </w:r>
    </w:p>
    <w:p w14:paraId="3B2D6D99" w14:textId="77777777" w:rsidR="00CE27FE" w:rsidRPr="00C11BEF" w:rsidRDefault="00CE27FE" w:rsidP="00CE27FE">
      <w:pPr>
        <w:pStyle w:val="ListBullet4"/>
        <w:numPr>
          <w:ilvl w:val="0"/>
          <w:numId w:val="37"/>
        </w:numPr>
        <w:rPr>
          <w:lang w:val="en-US"/>
        </w:rPr>
      </w:pPr>
      <w:r w:rsidRPr="004C04C6">
        <w:rPr>
          <w:lang w:val="en-US"/>
        </w:rPr>
        <w:t xml:space="preserve">For a manual test result, it is the </w:t>
      </w:r>
      <w:r w:rsidRPr="00B066E0">
        <w:rPr>
          <w:lang w:val="en-US"/>
        </w:rPr>
        <w:t>Vendor Analyte Identifier</w:t>
      </w:r>
      <w:r w:rsidRPr="004C04C6">
        <w:rPr>
          <w:lang w:val="en-US"/>
        </w:rPr>
        <w:t xml:space="preserve"> for the test result produced by the Test Kit.</w:t>
      </w:r>
    </w:p>
    <w:p w14:paraId="58D24C0A" w14:textId="77777777" w:rsidR="00CE27FE" w:rsidRPr="00C11BEF" w:rsidRDefault="00CE27FE" w:rsidP="00CE27FE">
      <w:pPr>
        <w:pStyle w:val="ListBullet4"/>
        <w:rPr>
          <w:b/>
          <w:i/>
          <w:lang w:val="en-US"/>
        </w:rPr>
      </w:pPr>
      <w:r w:rsidRPr="004C04C6">
        <w:rPr>
          <w:b/>
          <w:lang w:val="en-US"/>
        </w:rPr>
        <w:t>Vendor Analyte Name</w:t>
      </w:r>
      <w:r w:rsidRPr="004C04C6">
        <w:rPr>
          <w:lang w:val="en-US"/>
        </w:rPr>
        <w:t xml:space="preserve"> is human-readable text the vendor used to identify the analyte. The text might be displayed by the instrument or could be used within an assay insert.</w:t>
      </w:r>
    </w:p>
    <w:p w14:paraId="16BC0416" w14:textId="77777777" w:rsidR="00CE27FE" w:rsidRPr="00C11BEF" w:rsidRDefault="00CE27FE" w:rsidP="00CE27FE">
      <w:pPr>
        <w:pStyle w:val="ListBullet4"/>
        <w:rPr>
          <w:lang w:val="en-US"/>
        </w:rPr>
      </w:pPr>
      <w:r w:rsidRPr="004C04C6">
        <w:rPr>
          <w:b/>
          <w:i/>
          <w:lang w:val="en-US"/>
        </w:rPr>
        <w:t>Vendor Specimen Description</w:t>
      </w:r>
      <w:r w:rsidRPr="004C04C6">
        <w:rPr>
          <w:lang w:val="en-US"/>
        </w:rPr>
        <w:t xml:space="preserve"> is human-readable text that provides information about the specimen used for the test, such as “Serum or Plasma.” The field is used to document the vendor description of the specimen used for the IVD test.</w:t>
      </w:r>
    </w:p>
    <w:p w14:paraId="45F57B69" w14:textId="77777777" w:rsidR="00CE27FE" w:rsidRPr="00C11BEF" w:rsidRDefault="00CE27FE" w:rsidP="00CE27FE">
      <w:pPr>
        <w:pStyle w:val="ListBullet4"/>
        <w:rPr>
          <w:lang w:val="en-US"/>
        </w:rPr>
      </w:pPr>
      <w:r w:rsidRPr="004C04C6">
        <w:rPr>
          <w:b/>
          <w:i/>
          <w:lang w:val="en-US"/>
        </w:rPr>
        <w:t>Vendor Result Description</w:t>
      </w:r>
      <w:r w:rsidRPr="004C04C6">
        <w:rPr>
          <w:lang w:val="en-US"/>
        </w:rPr>
        <w:t xml:space="preserve"> is human-readable text that provides information about the result that is produced.</w:t>
      </w:r>
    </w:p>
    <w:p w14:paraId="758C468E" w14:textId="77777777" w:rsidR="00CE27FE" w:rsidRPr="00C11BEF" w:rsidRDefault="00CE27FE" w:rsidP="00CE27FE">
      <w:pPr>
        <w:pStyle w:val="ListBullet4"/>
        <w:numPr>
          <w:ilvl w:val="0"/>
          <w:numId w:val="37"/>
        </w:numPr>
        <w:rPr>
          <w:lang w:val="en-US"/>
        </w:rPr>
      </w:pPr>
      <w:r w:rsidRPr="004C04C6">
        <w:rPr>
          <w:lang w:val="en-US"/>
        </w:rPr>
        <w:t>For non-numeric results, this field should describe the result by including one of the following</w:t>
      </w:r>
    </w:p>
    <w:p w14:paraId="217BA681" w14:textId="77777777" w:rsidR="00CE27FE" w:rsidRPr="00C11BEF" w:rsidRDefault="00CE27FE" w:rsidP="00CE27FE">
      <w:pPr>
        <w:pStyle w:val="ListBullet4"/>
        <w:numPr>
          <w:ilvl w:val="1"/>
          <w:numId w:val="41"/>
        </w:numPr>
        <w:rPr>
          <w:lang w:val="en-US"/>
        </w:rPr>
      </w:pPr>
      <w:r w:rsidRPr="00B066E0">
        <w:rPr>
          <w:b/>
          <w:bCs/>
          <w:lang w:val="en-US"/>
        </w:rPr>
        <w:t>Binary</w:t>
      </w:r>
      <w:r w:rsidRPr="004C04C6">
        <w:rPr>
          <w:lang w:val="en-US"/>
        </w:rPr>
        <w:t xml:space="preserve"> – pos/neg, reactive/non-reactive.</w:t>
      </w:r>
    </w:p>
    <w:p w14:paraId="1FAF7284" w14:textId="77777777" w:rsidR="00CE27FE" w:rsidRPr="004C04C6" w:rsidRDefault="00CE27FE" w:rsidP="00CE27FE">
      <w:pPr>
        <w:pStyle w:val="ListBullet4"/>
        <w:numPr>
          <w:ilvl w:val="1"/>
          <w:numId w:val="41"/>
        </w:numPr>
      </w:pPr>
      <w:r w:rsidRPr="00B066E0">
        <w:rPr>
          <w:b/>
          <w:bCs/>
          <w:lang w:val="en-US"/>
        </w:rPr>
        <w:t>Ordinal</w:t>
      </w:r>
      <w:r w:rsidRPr="004C04C6">
        <w:rPr>
          <w:lang w:val="en-US"/>
        </w:rPr>
        <w:t xml:space="preserve"> – none, few, many. </w:t>
      </w:r>
    </w:p>
    <w:p w14:paraId="28C8E8A7" w14:textId="77777777" w:rsidR="00CE27FE" w:rsidRPr="00C11BEF" w:rsidRDefault="00CE27FE" w:rsidP="00CE27FE">
      <w:pPr>
        <w:pStyle w:val="ListBullet4"/>
        <w:numPr>
          <w:ilvl w:val="1"/>
          <w:numId w:val="41"/>
        </w:numPr>
        <w:rPr>
          <w:lang w:val="en-US"/>
        </w:rPr>
      </w:pPr>
      <w:r w:rsidRPr="00B066E0">
        <w:rPr>
          <w:b/>
          <w:bCs/>
          <w:lang w:val="en-US"/>
        </w:rPr>
        <w:t>Nominal</w:t>
      </w:r>
      <w:r w:rsidRPr="004C04C6">
        <w:rPr>
          <w:lang w:val="en-US"/>
        </w:rPr>
        <w:t xml:space="preserve"> – the test can report none found or one or more possibilities from a taxonomy of choices, such as organism names.</w:t>
      </w:r>
    </w:p>
    <w:p w14:paraId="3E921912" w14:textId="77777777" w:rsidR="00CE27FE" w:rsidRPr="00C11BEF" w:rsidRDefault="00CE27FE" w:rsidP="00CE27FE">
      <w:pPr>
        <w:pStyle w:val="ListBullet4"/>
        <w:numPr>
          <w:ilvl w:val="0"/>
          <w:numId w:val="37"/>
        </w:numPr>
        <w:rPr>
          <w:lang w:val="en-US"/>
        </w:rPr>
      </w:pPr>
      <w:r w:rsidRPr="004C04C6">
        <w:rPr>
          <w:lang w:val="en-US"/>
        </w:rPr>
        <w:t>Numeric results and associated units of measure:</w:t>
      </w:r>
    </w:p>
    <w:p w14:paraId="05D8AF8B" w14:textId="77777777" w:rsidR="00CE27FE" w:rsidRPr="00C11BEF" w:rsidRDefault="00CE27FE" w:rsidP="00CE27FE">
      <w:pPr>
        <w:pStyle w:val="ListBullet4"/>
        <w:numPr>
          <w:ilvl w:val="1"/>
          <w:numId w:val="41"/>
        </w:numPr>
        <w:rPr>
          <w:lang w:val="en-US"/>
        </w:rPr>
      </w:pPr>
      <w:r w:rsidRPr="004C04C6">
        <w:rPr>
          <w:lang w:val="en-US"/>
        </w:rPr>
        <w:t xml:space="preserve">For numeric results, this field should describe the result by including a representative unit of measure, preferably represented as a UCUM unit. </w:t>
      </w:r>
    </w:p>
    <w:p w14:paraId="64D31F77" w14:textId="77777777" w:rsidR="00CE27FE" w:rsidRPr="00C11BEF" w:rsidRDefault="00CE27FE" w:rsidP="00CE27FE">
      <w:pPr>
        <w:pStyle w:val="ListBullet4"/>
        <w:numPr>
          <w:ilvl w:val="1"/>
          <w:numId w:val="41"/>
        </w:numPr>
        <w:rPr>
          <w:lang w:val="en-US"/>
        </w:rPr>
      </w:pPr>
      <w:r w:rsidRPr="004C04C6">
        <w:rPr>
          <w:lang w:val="en-US"/>
        </w:rPr>
        <w:t>If one unit of measure is reported, then include it in this field.</w:t>
      </w:r>
    </w:p>
    <w:p w14:paraId="126B0C5F" w14:textId="77777777" w:rsidR="00CE27FE" w:rsidRPr="00C11BEF" w:rsidRDefault="00CE27FE" w:rsidP="00CE27FE">
      <w:pPr>
        <w:pStyle w:val="ListBullet4"/>
        <w:numPr>
          <w:ilvl w:val="1"/>
          <w:numId w:val="41"/>
        </w:numPr>
        <w:rPr>
          <w:lang w:val="en-US"/>
        </w:rPr>
      </w:pPr>
      <w:r w:rsidRPr="004C04C6">
        <w:rPr>
          <w:lang w:val="en-US"/>
        </w:rPr>
        <w:t>If multiple units can be reported that can be converted to one another by a multiplicative scale factor independent of the analyte (such as mg/L and ug/dL), select one of the units as a representative unit.</w:t>
      </w:r>
    </w:p>
    <w:p w14:paraId="2FC660D2" w14:textId="77777777" w:rsidR="00CE27FE" w:rsidRPr="00C11BEF" w:rsidRDefault="00CE27FE" w:rsidP="00CE27FE">
      <w:pPr>
        <w:pStyle w:val="ListBullet4"/>
        <w:numPr>
          <w:ilvl w:val="1"/>
          <w:numId w:val="41"/>
        </w:numPr>
        <w:rPr>
          <w:lang w:val="en-US"/>
        </w:rPr>
      </w:pPr>
      <w:r w:rsidRPr="004C04C6">
        <w:rPr>
          <w:lang w:val="en-US"/>
        </w:rPr>
        <w:t>If multiple units can be reported that cannot be converted by an analyte-independent scale factor (such as mol/L and as mg/L), then define a mapping for each unit. These different types of numeric results require their own LOINC codes – one for the test reported as molar concentration and one for the test reported as mass concentration. Similarly, the results of a urine analyte (e.g. Sodium) reported as either mmol/L (spot urine) versus mmol</w:t>
      </w:r>
      <w:proofErr w:type="gramStart"/>
      <w:r w:rsidRPr="004C04C6">
        <w:rPr>
          <w:lang w:val="en-US"/>
        </w:rPr>
        <w:t>/(</w:t>
      </w:r>
      <w:proofErr w:type="gramEnd"/>
      <w:r w:rsidRPr="004C04C6">
        <w:rPr>
          <w:lang w:val="en-US"/>
        </w:rPr>
        <w:t>24.h) (24 hour urine) have different LOINC properties and map to two different LOINC codes. The same is true for viral loads which can be reported in units of copies/mL, Log (copies/mL), IU/mL and Log (IU)/mL; and none of which can be converted by a simple scale factor. These result types have different properties and thus different LOINC codes. In such cases, define a mapping for all units that are appropriate for this IVD test.</w:t>
      </w:r>
    </w:p>
    <w:p w14:paraId="687D16A1" w14:textId="77777777" w:rsidR="00CE27FE" w:rsidRPr="00C11BEF" w:rsidRDefault="00CE27FE" w:rsidP="00CE27FE">
      <w:pPr>
        <w:pStyle w:val="ListBullet4"/>
        <w:numPr>
          <w:ilvl w:val="0"/>
          <w:numId w:val="37"/>
        </w:numPr>
        <w:rPr>
          <w:lang w:val="en-US"/>
        </w:rPr>
      </w:pPr>
      <w:r w:rsidRPr="004C04C6">
        <w:rPr>
          <w:lang w:val="en-US"/>
        </w:rPr>
        <w:t xml:space="preserve">In some cases, the same IVD Test may be reported as a </w:t>
      </w:r>
      <w:r w:rsidRPr="00B066E0">
        <w:rPr>
          <w:b/>
          <w:bCs/>
          <w:lang w:val="en-US"/>
        </w:rPr>
        <w:t>Binary</w:t>
      </w:r>
      <w:r w:rsidRPr="004C04C6">
        <w:rPr>
          <w:lang w:val="en-US"/>
        </w:rPr>
        <w:t xml:space="preserve"> result, or a spot numeric result of the mass concentration, etc. In such instances, the same </w:t>
      </w:r>
      <w:r w:rsidRPr="00B066E0">
        <w:rPr>
          <w:b/>
          <w:bCs/>
          <w:lang w:val="en-US"/>
        </w:rPr>
        <w:t>IVD Test Result</w:t>
      </w:r>
      <w:r w:rsidRPr="004C04C6">
        <w:rPr>
          <w:lang w:val="en-US"/>
        </w:rPr>
        <w:t xml:space="preserve"> will map to multiple </w:t>
      </w:r>
      <w:r w:rsidRPr="00B066E0">
        <w:rPr>
          <w:b/>
          <w:bCs/>
          <w:lang w:val="en-US"/>
        </w:rPr>
        <w:t>LOINC</w:t>
      </w:r>
      <w:r w:rsidRPr="004C04C6">
        <w:rPr>
          <w:lang w:val="en-US"/>
        </w:rPr>
        <w:t xml:space="preserve">s. The </w:t>
      </w:r>
      <w:r w:rsidRPr="00B066E0">
        <w:rPr>
          <w:b/>
          <w:bCs/>
          <w:lang w:val="en-US"/>
        </w:rPr>
        <w:t>Vendor Result Description</w:t>
      </w:r>
      <w:r w:rsidRPr="004C04C6">
        <w:rPr>
          <w:lang w:val="en-US"/>
        </w:rPr>
        <w:t xml:space="preserve"> should be used to assist the laboratory in manually selecting the appropriate LOINC for their laboratory.</w:t>
      </w:r>
    </w:p>
    <w:p w14:paraId="21D9FD20" w14:textId="77777777" w:rsidR="00CE27FE" w:rsidRPr="00C11BEF" w:rsidRDefault="00CE27FE" w:rsidP="00CE27FE">
      <w:pPr>
        <w:pStyle w:val="ListBullet4"/>
        <w:rPr>
          <w:lang w:val="en-US"/>
        </w:rPr>
      </w:pPr>
      <w:r w:rsidRPr="004C04C6">
        <w:rPr>
          <w:b/>
          <w:i/>
          <w:lang w:val="en-US"/>
        </w:rPr>
        <w:t>Vendor Reference ID</w:t>
      </w:r>
      <w:r w:rsidRPr="004C04C6">
        <w:rPr>
          <w:lang w:val="en-US"/>
        </w:rPr>
        <w:t xml:space="preserve"> is a vendor identifier, such as an identifier that can be used to locate the associated assay insert published by the vendor.</w:t>
      </w:r>
      <w:r>
        <w:rPr>
          <w:lang w:val="en-US"/>
        </w:rPr>
        <w:t xml:space="preserve"> T</w:t>
      </w:r>
      <w:r w:rsidRPr="004C04C6">
        <w:rPr>
          <w:lang w:val="en-US"/>
        </w:rPr>
        <w:t xml:space="preserve">his attribute may contain the material number used to order the product </w:t>
      </w:r>
      <w:r>
        <w:rPr>
          <w:lang w:val="en-US"/>
        </w:rPr>
        <w:t xml:space="preserve">from </w:t>
      </w:r>
      <w:r w:rsidRPr="004C04C6">
        <w:rPr>
          <w:lang w:val="en-US"/>
        </w:rPr>
        <w:t>the manufacturer</w:t>
      </w:r>
      <w:r>
        <w:rPr>
          <w:lang w:val="en-US"/>
        </w:rPr>
        <w:t>.</w:t>
      </w:r>
    </w:p>
    <w:p w14:paraId="42D077E9" w14:textId="0F58CA8C" w:rsidR="00CE27FE" w:rsidRPr="00C11BEF" w:rsidRDefault="00960DF2" w:rsidP="00CE27FE">
      <w:pPr>
        <w:pStyle w:val="ListBullet4"/>
        <w:rPr>
          <w:b/>
          <w:bCs/>
          <w:lang w:val="en-US"/>
        </w:rPr>
      </w:pPr>
      <w:commentRangeStart w:id="14"/>
      <w:proofErr w:type="spellStart"/>
      <w:r>
        <w:rPr>
          <w:b/>
          <w:bCs/>
          <w:lang w:val="en-US"/>
        </w:rPr>
        <w:t>Testkit</w:t>
      </w:r>
      <w:proofErr w:type="spellEnd"/>
      <w:r>
        <w:rPr>
          <w:b/>
          <w:bCs/>
          <w:lang w:val="en-US"/>
        </w:rPr>
        <w:t xml:space="preserve"> Name ID</w:t>
      </w:r>
      <w:r w:rsidR="00CE27FE">
        <w:rPr>
          <w:b/>
          <w:bCs/>
          <w:lang w:val="en-US"/>
        </w:rPr>
        <w:t xml:space="preserve"> </w:t>
      </w:r>
      <w:commentRangeEnd w:id="14"/>
      <w:r w:rsidR="00BB4C05">
        <w:rPr>
          <w:rStyle w:val="CommentReference"/>
          <w:lang w:val="en-US"/>
        </w:rPr>
        <w:commentReference w:id="14"/>
      </w:r>
      <w:r w:rsidR="00CE27FE">
        <w:rPr>
          <w:lang w:val="en-US"/>
        </w:rPr>
        <w:t xml:space="preserve">is a </w:t>
      </w:r>
      <w:r w:rsidR="00CE27FE" w:rsidRPr="002A7B66">
        <w:rPr>
          <w:lang w:val="en-US"/>
        </w:rPr>
        <w:t xml:space="preserve">unique </w:t>
      </w:r>
      <w:r w:rsidR="00CE27FE">
        <w:rPr>
          <w:lang w:val="en-US"/>
        </w:rPr>
        <w:t>identifier</w:t>
      </w:r>
      <w:r w:rsidR="00CE27FE" w:rsidRPr="002A7B66">
        <w:rPr>
          <w:lang w:val="en-US"/>
        </w:rPr>
        <w:t xml:space="preserve"> </w:t>
      </w:r>
      <w:r w:rsidR="00CE27FE">
        <w:rPr>
          <w:lang w:val="en-US"/>
        </w:rPr>
        <w:t xml:space="preserve">from a </w:t>
      </w:r>
      <w:r w:rsidR="00CE27FE" w:rsidRPr="002A7B66">
        <w:rPr>
          <w:lang w:val="en-US"/>
        </w:rPr>
        <w:t xml:space="preserve">system </w:t>
      </w:r>
      <w:r w:rsidR="00CE27FE">
        <w:rPr>
          <w:lang w:val="en-US"/>
        </w:rPr>
        <w:t xml:space="preserve">that </w:t>
      </w:r>
      <w:r w:rsidR="00CE27FE" w:rsidRPr="002A7B66">
        <w:rPr>
          <w:lang w:val="en-US"/>
        </w:rPr>
        <w:t>identif</w:t>
      </w:r>
      <w:r w:rsidR="00CE27FE">
        <w:rPr>
          <w:lang w:val="en-US"/>
        </w:rPr>
        <w:t>ies</w:t>
      </w:r>
      <w:r w:rsidR="00CE27FE" w:rsidRPr="002A7B66">
        <w:rPr>
          <w:lang w:val="en-US"/>
        </w:rPr>
        <w:t xml:space="preserve"> </w:t>
      </w:r>
      <w:r w:rsidR="00CE27FE">
        <w:rPr>
          <w:lang w:val="en-US"/>
        </w:rPr>
        <w:t xml:space="preserve">the IVD Test </w:t>
      </w:r>
      <w:r>
        <w:rPr>
          <w:lang w:val="en-US"/>
        </w:rPr>
        <w:t>Performed</w:t>
      </w:r>
      <w:r w:rsidR="00CE27FE" w:rsidRPr="002A7B66">
        <w:rPr>
          <w:lang w:val="en-US"/>
        </w:rPr>
        <w:t>.</w:t>
      </w:r>
      <w:r w:rsidR="00CE27FE" w:rsidRPr="00C11BEF">
        <w:rPr>
          <w:lang w:val="en-US"/>
        </w:rPr>
        <w:t xml:space="preserve"> </w:t>
      </w:r>
      <w:r w:rsidR="00CE27FE">
        <w:rPr>
          <w:lang w:val="en-US"/>
        </w:rPr>
        <w:t>The</w:t>
      </w:r>
      <w:r w:rsidR="00CE27FE" w:rsidRPr="00435959">
        <w:rPr>
          <w:lang w:val="en-US"/>
        </w:rPr>
        <w:t xml:space="preserve"> </w:t>
      </w:r>
      <w:r w:rsidR="00CE27FE">
        <w:rPr>
          <w:lang w:val="en-US"/>
        </w:rPr>
        <w:t xml:space="preserve">identifier may be </w:t>
      </w:r>
      <w:r w:rsidR="00CE27FE" w:rsidRPr="00435959">
        <w:rPr>
          <w:lang w:val="en-US"/>
        </w:rPr>
        <w:t>a unique device identifier (UDI)</w:t>
      </w:r>
      <w:r w:rsidR="00CE27FE">
        <w:rPr>
          <w:lang w:val="en-US"/>
        </w:rPr>
        <w:t xml:space="preserve">, </w:t>
      </w:r>
      <w:proofErr w:type="gramStart"/>
      <w:r w:rsidR="00CE27FE">
        <w:rPr>
          <w:lang w:val="en-US"/>
        </w:rPr>
        <w:t>a</w:t>
      </w:r>
      <w:proofErr w:type="gramEnd"/>
      <w:r w:rsidR="00CE27FE">
        <w:rPr>
          <w:lang w:val="en-US"/>
        </w:rPr>
        <w:t xml:space="preserve"> </w:t>
      </w:r>
      <w:r w:rsidR="00CE27FE" w:rsidRPr="00435959">
        <w:rPr>
          <w:lang w:val="en-US"/>
        </w:rPr>
        <w:t>EAN/GTIN</w:t>
      </w:r>
      <w:r w:rsidR="00CE27FE">
        <w:rPr>
          <w:lang w:val="en-US"/>
        </w:rPr>
        <w:t xml:space="preserve">, or another </w:t>
      </w:r>
      <w:r w:rsidR="00CE27FE" w:rsidRPr="00435959">
        <w:rPr>
          <w:lang w:val="en-US"/>
        </w:rPr>
        <w:t>unique identifier depending on the jurisdiction</w:t>
      </w:r>
      <w:r w:rsidR="00CE27FE">
        <w:rPr>
          <w:lang w:val="en-US"/>
        </w:rPr>
        <w:t>.</w:t>
      </w:r>
    </w:p>
    <w:p w14:paraId="529503D4" w14:textId="5FD3FD07" w:rsidR="00CE27FE" w:rsidRPr="00C11BEF" w:rsidRDefault="00960DF2" w:rsidP="00CE27FE">
      <w:pPr>
        <w:pStyle w:val="ListBullet4"/>
        <w:rPr>
          <w:b/>
          <w:bCs/>
          <w:lang w:val="en-US"/>
        </w:rPr>
      </w:pPr>
      <w:proofErr w:type="spellStart"/>
      <w:r>
        <w:rPr>
          <w:b/>
          <w:bCs/>
          <w:lang w:val="en-US"/>
        </w:rPr>
        <w:t>Testkit</w:t>
      </w:r>
      <w:proofErr w:type="spellEnd"/>
      <w:r>
        <w:rPr>
          <w:b/>
          <w:bCs/>
          <w:lang w:val="en-US"/>
        </w:rPr>
        <w:t xml:space="preserve"> Name ID</w:t>
      </w:r>
      <w:r w:rsidR="00CE27FE" w:rsidRPr="00B066E0">
        <w:rPr>
          <w:b/>
          <w:bCs/>
          <w:lang w:val="en-US"/>
        </w:rPr>
        <w:t xml:space="preserve"> Type</w:t>
      </w:r>
      <w:r w:rsidR="00CE27FE" w:rsidRPr="00381DCC">
        <w:rPr>
          <w:lang w:val="en-US"/>
        </w:rPr>
        <w:t xml:space="preserve"> </w:t>
      </w:r>
      <w:r w:rsidR="00CE27FE">
        <w:rPr>
          <w:lang w:val="en-US"/>
        </w:rPr>
        <w:t xml:space="preserve">is used to identify the </w:t>
      </w:r>
      <w:r w:rsidR="00CE27FE" w:rsidRPr="00381DCC">
        <w:rPr>
          <w:lang w:val="en-US"/>
        </w:rPr>
        <w:t>unique identifier system</w:t>
      </w:r>
      <w:r w:rsidR="00CE27FE">
        <w:rPr>
          <w:lang w:val="en-US"/>
        </w:rPr>
        <w:t>.</w:t>
      </w:r>
    </w:p>
    <w:p w14:paraId="39C0C238" w14:textId="77777777" w:rsidR="00CE27FE" w:rsidRDefault="00CE27FE" w:rsidP="00CE27FE">
      <w:pPr>
        <w:pStyle w:val="ListBullet4"/>
        <w:rPr>
          <w:lang w:val="en-US"/>
        </w:rPr>
      </w:pPr>
      <w:r w:rsidRPr="00B066E0">
        <w:rPr>
          <w:b/>
          <w:bCs/>
          <w:iCs/>
          <w:lang w:val="en-US"/>
        </w:rPr>
        <w:t>Vendor Comment</w:t>
      </w:r>
      <w:r w:rsidRPr="00B066E0">
        <w:rPr>
          <w:iCs/>
          <w:lang w:val="en-US"/>
        </w:rPr>
        <w:t xml:space="preserve"> is</w:t>
      </w:r>
      <w:r w:rsidRPr="004C04C6">
        <w:rPr>
          <w:lang w:val="en-US"/>
        </w:rPr>
        <w:t xml:space="preserve"> human-readable text clarification, such as “This is a STAT (pri</w:t>
      </w:r>
      <w:r>
        <w:rPr>
          <w:lang w:val="en-US"/>
        </w:rPr>
        <w:t>oritized) version of the test”.</w:t>
      </w:r>
    </w:p>
    <w:p w14:paraId="32E7AEE5" w14:textId="77777777" w:rsidR="00CE27FE" w:rsidRPr="00570963" w:rsidRDefault="00CE27FE" w:rsidP="00CE27FE">
      <w:pPr>
        <w:pStyle w:val="ListBullet4"/>
        <w:numPr>
          <w:ilvl w:val="0"/>
          <w:numId w:val="0"/>
        </w:numPr>
        <w:ind w:left="2345"/>
        <w:rPr>
          <w:lang w:val="en-US"/>
        </w:rPr>
      </w:pPr>
    </w:p>
    <w:tbl>
      <w:tblPr>
        <w:tblStyle w:val="TableGrid"/>
        <w:tblpPr w:leftFromText="187" w:rightFromText="187" w:vertAnchor="text" w:horzAnchor="page" w:tblpX="2247" w:tblpY="1"/>
        <w:tblW w:w="0" w:type="auto"/>
        <w:tblLook w:val="04A0" w:firstRow="1" w:lastRow="0" w:firstColumn="1" w:lastColumn="0" w:noHBand="0" w:noVBand="1"/>
      </w:tblPr>
      <w:tblGrid>
        <w:gridCol w:w="2245"/>
        <w:gridCol w:w="1229"/>
        <w:gridCol w:w="885"/>
        <w:gridCol w:w="1418"/>
        <w:gridCol w:w="3979"/>
      </w:tblGrid>
      <w:tr w:rsidR="00CE27FE" w:rsidRPr="00D326BC" w14:paraId="73C471E2" w14:textId="77777777" w:rsidTr="00CE27FE">
        <w:trPr>
          <w:cantSplit/>
          <w:tblHeader/>
        </w:trPr>
        <w:tc>
          <w:tcPr>
            <w:tcW w:w="2245" w:type="dxa"/>
            <w:shd w:val="clear" w:color="auto" w:fill="BFBFBF" w:themeFill="background1" w:themeFillShade="BF"/>
          </w:tcPr>
          <w:p w14:paraId="7D2D44C7" w14:textId="77777777" w:rsidR="00CE27FE" w:rsidRPr="00721B6E" w:rsidRDefault="00CE27FE" w:rsidP="00CE27FE">
            <w:pPr>
              <w:pStyle w:val="Tabletext"/>
            </w:pPr>
            <w:r w:rsidRPr="00721B6E">
              <w:t>Component</w:t>
            </w:r>
          </w:p>
        </w:tc>
        <w:tc>
          <w:tcPr>
            <w:tcW w:w="1229" w:type="dxa"/>
            <w:shd w:val="clear" w:color="auto" w:fill="BFBFBF" w:themeFill="background1" w:themeFillShade="BF"/>
          </w:tcPr>
          <w:p w14:paraId="4CB49255" w14:textId="77777777" w:rsidR="00CE27FE" w:rsidRPr="00721B6E" w:rsidRDefault="00CE27FE" w:rsidP="00CE27FE">
            <w:pPr>
              <w:pStyle w:val="Tabletext"/>
            </w:pPr>
            <w:r w:rsidRPr="00721B6E">
              <w:t>Type</w:t>
            </w:r>
          </w:p>
        </w:tc>
        <w:tc>
          <w:tcPr>
            <w:tcW w:w="885" w:type="dxa"/>
            <w:shd w:val="clear" w:color="auto" w:fill="BFBFBF" w:themeFill="background1" w:themeFillShade="BF"/>
          </w:tcPr>
          <w:p w14:paraId="465EB373" w14:textId="77777777" w:rsidR="00CE27FE" w:rsidRPr="00721B6E" w:rsidRDefault="00CE27FE" w:rsidP="00CE27FE">
            <w:pPr>
              <w:pStyle w:val="Tabletext"/>
            </w:pPr>
            <w:r w:rsidRPr="00721B6E">
              <w:t>Card.</w:t>
            </w:r>
          </w:p>
        </w:tc>
        <w:tc>
          <w:tcPr>
            <w:tcW w:w="1418" w:type="dxa"/>
            <w:shd w:val="clear" w:color="auto" w:fill="BFBFBF" w:themeFill="background1" w:themeFillShade="BF"/>
          </w:tcPr>
          <w:p w14:paraId="3A17242F" w14:textId="77777777" w:rsidR="00CE27FE" w:rsidRPr="00721B6E" w:rsidRDefault="00CE27FE" w:rsidP="00CE27FE">
            <w:pPr>
              <w:pStyle w:val="Tabletext"/>
            </w:pPr>
            <w:r w:rsidRPr="00721B6E">
              <w:t>Reference</w:t>
            </w:r>
          </w:p>
        </w:tc>
        <w:tc>
          <w:tcPr>
            <w:tcW w:w="3979" w:type="dxa"/>
            <w:shd w:val="clear" w:color="auto" w:fill="BFBFBF" w:themeFill="background1" w:themeFillShade="BF"/>
          </w:tcPr>
          <w:p w14:paraId="24D3FE03" w14:textId="77777777" w:rsidR="00CE27FE" w:rsidRPr="00721B6E" w:rsidRDefault="00CE27FE" w:rsidP="00CE27FE">
            <w:pPr>
              <w:pStyle w:val="Tabletext"/>
            </w:pPr>
            <w:r w:rsidRPr="00721B6E">
              <w:t>Comments</w:t>
            </w:r>
          </w:p>
        </w:tc>
      </w:tr>
      <w:tr w:rsidR="00CE27FE" w:rsidRPr="00EA2C3B" w14:paraId="11CD0CD3" w14:textId="77777777" w:rsidTr="00CE27FE">
        <w:trPr>
          <w:cantSplit/>
        </w:trPr>
        <w:tc>
          <w:tcPr>
            <w:tcW w:w="2245" w:type="dxa"/>
          </w:tcPr>
          <w:p w14:paraId="5251DF2A" w14:textId="77777777" w:rsidR="00CE27FE" w:rsidRPr="00721B6E" w:rsidRDefault="00CE27FE" w:rsidP="00CE27FE">
            <w:pPr>
              <w:pStyle w:val="Tabletext"/>
              <w:jc w:val="left"/>
              <w:rPr>
                <w:bCs/>
              </w:rPr>
            </w:pPr>
            <w:r w:rsidRPr="00B066E0">
              <w:rPr>
                <w:b w:val="0"/>
                <w:bCs/>
              </w:rPr>
              <w:t>(k) Vendor Analyte Code</w:t>
            </w:r>
          </w:p>
        </w:tc>
        <w:tc>
          <w:tcPr>
            <w:tcW w:w="1229" w:type="dxa"/>
          </w:tcPr>
          <w:p w14:paraId="29EB3609" w14:textId="77777777" w:rsidR="00CE27FE" w:rsidRPr="00721B6E" w:rsidRDefault="00CE27FE" w:rsidP="00CE27FE">
            <w:pPr>
              <w:pStyle w:val="Tabletext"/>
              <w:rPr>
                <w:bCs/>
              </w:rPr>
            </w:pPr>
            <w:r w:rsidRPr="00B066E0">
              <w:rPr>
                <w:b w:val="0"/>
                <w:bCs/>
              </w:rPr>
              <w:t>String, 20</w:t>
            </w:r>
          </w:p>
        </w:tc>
        <w:tc>
          <w:tcPr>
            <w:tcW w:w="885" w:type="dxa"/>
          </w:tcPr>
          <w:p w14:paraId="3F84C0B3" w14:textId="77777777" w:rsidR="00CE27FE" w:rsidRPr="00721B6E" w:rsidRDefault="00CE27FE" w:rsidP="00CE27FE">
            <w:pPr>
              <w:pStyle w:val="Tabletext"/>
              <w:rPr>
                <w:bCs/>
              </w:rPr>
            </w:pPr>
            <w:r w:rsidRPr="00B066E0">
              <w:rPr>
                <w:b w:val="0"/>
                <w:bCs/>
              </w:rPr>
              <w:t>1..1</w:t>
            </w:r>
          </w:p>
        </w:tc>
        <w:tc>
          <w:tcPr>
            <w:tcW w:w="1418" w:type="dxa"/>
          </w:tcPr>
          <w:p w14:paraId="62E16D2A" w14:textId="77777777" w:rsidR="00CE27FE" w:rsidRPr="00721B6E" w:rsidRDefault="00CE27FE" w:rsidP="00CE27FE">
            <w:pPr>
              <w:pStyle w:val="Tabletext"/>
              <w:rPr>
                <w:bCs/>
              </w:rPr>
            </w:pPr>
            <w:r w:rsidRPr="00B066E0">
              <w:rPr>
                <w:b w:val="0"/>
                <w:bCs/>
              </w:rPr>
              <w:t>LAW OBX-3.1</w:t>
            </w:r>
          </w:p>
        </w:tc>
        <w:tc>
          <w:tcPr>
            <w:tcW w:w="3979" w:type="dxa"/>
          </w:tcPr>
          <w:p w14:paraId="7D25D1CD" w14:textId="77777777" w:rsidR="00CE27FE" w:rsidRPr="00721B6E" w:rsidRDefault="00CE27FE" w:rsidP="00CE27FE">
            <w:pPr>
              <w:pStyle w:val="Tabletext"/>
              <w:jc w:val="left"/>
              <w:rPr>
                <w:bCs/>
              </w:rPr>
            </w:pPr>
            <w:r w:rsidRPr="00B066E0">
              <w:rPr>
                <w:b w:val="0"/>
                <w:bCs/>
              </w:rPr>
              <w:t>Automated test: Vendor Transmission Code used for identification through an instrument interface, such as LAW.</w:t>
            </w:r>
          </w:p>
          <w:p w14:paraId="2EEE94BE" w14:textId="77777777" w:rsidR="00CE27FE" w:rsidRPr="00EA2C3B" w:rsidRDefault="00CE27FE" w:rsidP="00CE27FE">
            <w:pPr>
              <w:pStyle w:val="Tabletext"/>
              <w:jc w:val="left"/>
              <w:rPr>
                <w:b w:val="0"/>
                <w:bCs/>
              </w:rPr>
            </w:pPr>
            <w:r w:rsidRPr="00B066E0">
              <w:rPr>
                <w:b w:val="0"/>
                <w:bCs/>
              </w:rPr>
              <w:t>Manual test: Vendor Analyte Identifier</w:t>
            </w:r>
          </w:p>
        </w:tc>
      </w:tr>
      <w:tr w:rsidR="00CE27FE" w:rsidRPr="00D326BC" w14:paraId="59D33B90" w14:textId="77777777" w:rsidTr="00CE27FE">
        <w:trPr>
          <w:cantSplit/>
        </w:trPr>
        <w:tc>
          <w:tcPr>
            <w:tcW w:w="2245" w:type="dxa"/>
            <w:tcBorders>
              <w:bottom w:val="single" w:sz="4" w:space="0" w:color="auto"/>
            </w:tcBorders>
          </w:tcPr>
          <w:p w14:paraId="0271BF4A" w14:textId="77777777" w:rsidR="00CE27FE" w:rsidRPr="00721B6E" w:rsidRDefault="00CE27FE" w:rsidP="00CE27FE">
            <w:pPr>
              <w:pStyle w:val="Tabletext"/>
              <w:rPr>
                <w:bCs/>
              </w:rPr>
            </w:pPr>
            <w:r w:rsidRPr="00B066E0">
              <w:rPr>
                <w:b w:val="0"/>
                <w:bCs/>
              </w:rPr>
              <w:t>Vendor Analyte Name</w:t>
            </w:r>
          </w:p>
        </w:tc>
        <w:tc>
          <w:tcPr>
            <w:tcW w:w="1229" w:type="dxa"/>
            <w:tcBorders>
              <w:bottom w:val="single" w:sz="4" w:space="0" w:color="auto"/>
            </w:tcBorders>
          </w:tcPr>
          <w:p w14:paraId="60C43C0B" w14:textId="77777777" w:rsidR="00CE27FE" w:rsidRPr="00721B6E" w:rsidRDefault="00CE27FE" w:rsidP="00CE27FE">
            <w:pPr>
              <w:pStyle w:val="Tabletext"/>
              <w:rPr>
                <w:bCs/>
              </w:rPr>
            </w:pPr>
            <w:r w:rsidRPr="00B066E0">
              <w:rPr>
                <w:b w:val="0"/>
                <w:bCs/>
              </w:rPr>
              <w:t>String, 199</w:t>
            </w:r>
          </w:p>
        </w:tc>
        <w:tc>
          <w:tcPr>
            <w:tcW w:w="885" w:type="dxa"/>
            <w:tcBorders>
              <w:bottom w:val="single" w:sz="4" w:space="0" w:color="auto"/>
            </w:tcBorders>
          </w:tcPr>
          <w:p w14:paraId="63405ABF" w14:textId="77777777" w:rsidR="00CE27FE" w:rsidRPr="00721B6E" w:rsidRDefault="00CE27FE" w:rsidP="00CE27FE">
            <w:pPr>
              <w:pStyle w:val="Tabletext"/>
              <w:rPr>
                <w:bCs/>
              </w:rPr>
            </w:pPr>
            <w:r w:rsidRPr="00B066E0">
              <w:rPr>
                <w:b w:val="0"/>
                <w:bCs/>
              </w:rPr>
              <w:t>1..1</w:t>
            </w:r>
          </w:p>
        </w:tc>
        <w:tc>
          <w:tcPr>
            <w:tcW w:w="1418" w:type="dxa"/>
            <w:tcBorders>
              <w:bottom w:val="single" w:sz="4" w:space="0" w:color="auto"/>
            </w:tcBorders>
          </w:tcPr>
          <w:p w14:paraId="36E63FAF" w14:textId="77777777" w:rsidR="00CE27FE" w:rsidRPr="00721B6E" w:rsidRDefault="00CE27FE" w:rsidP="00CE27FE">
            <w:pPr>
              <w:pStyle w:val="Tabletext"/>
              <w:rPr>
                <w:bCs/>
              </w:rPr>
            </w:pPr>
            <w:r w:rsidRPr="00B066E0">
              <w:rPr>
                <w:b w:val="0"/>
                <w:bCs/>
              </w:rPr>
              <w:t>LAW OBX-3.2</w:t>
            </w:r>
          </w:p>
        </w:tc>
        <w:tc>
          <w:tcPr>
            <w:tcW w:w="3979" w:type="dxa"/>
            <w:tcBorders>
              <w:bottom w:val="single" w:sz="4" w:space="0" w:color="auto"/>
            </w:tcBorders>
          </w:tcPr>
          <w:p w14:paraId="3A25DE70" w14:textId="77777777" w:rsidR="00CE27FE" w:rsidRPr="00721B6E" w:rsidRDefault="00CE27FE" w:rsidP="00CE27FE">
            <w:pPr>
              <w:pStyle w:val="Tabletext"/>
              <w:jc w:val="left"/>
              <w:rPr>
                <w:bCs/>
              </w:rPr>
            </w:pPr>
          </w:p>
        </w:tc>
      </w:tr>
      <w:tr w:rsidR="00CE27FE" w:rsidRPr="00D326BC" w14:paraId="317FF2C9" w14:textId="77777777" w:rsidTr="00CE27FE">
        <w:trPr>
          <w:cantSplit/>
        </w:trPr>
        <w:tc>
          <w:tcPr>
            <w:tcW w:w="2245" w:type="dxa"/>
          </w:tcPr>
          <w:p w14:paraId="17A0EB17" w14:textId="77777777" w:rsidR="00CE27FE" w:rsidRPr="00721B6E" w:rsidRDefault="00CE27FE" w:rsidP="00CE27FE">
            <w:pPr>
              <w:pStyle w:val="Tabletext"/>
              <w:jc w:val="left"/>
              <w:rPr>
                <w:bCs/>
              </w:rPr>
            </w:pPr>
            <w:r w:rsidRPr="00B066E0">
              <w:rPr>
                <w:b w:val="0"/>
                <w:bCs/>
              </w:rPr>
              <w:t>Vendor Specimen Description</w:t>
            </w:r>
          </w:p>
        </w:tc>
        <w:tc>
          <w:tcPr>
            <w:tcW w:w="1229" w:type="dxa"/>
          </w:tcPr>
          <w:p w14:paraId="13679ACA" w14:textId="77777777" w:rsidR="00CE27FE" w:rsidRPr="00721B6E" w:rsidRDefault="00CE27FE" w:rsidP="00CE27FE">
            <w:pPr>
              <w:pStyle w:val="Tabletext"/>
              <w:rPr>
                <w:bCs/>
              </w:rPr>
            </w:pPr>
            <w:r w:rsidRPr="00B066E0">
              <w:rPr>
                <w:b w:val="0"/>
                <w:bCs/>
              </w:rPr>
              <w:t>String, 199</w:t>
            </w:r>
          </w:p>
        </w:tc>
        <w:tc>
          <w:tcPr>
            <w:tcW w:w="885" w:type="dxa"/>
          </w:tcPr>
          <w:p w14:paraId="08A9EB29" w14:textId="77777777" w:rsidR="00CE27FE" w:rsidRPr="00721B6E" w:rsidRDefault="00CE27FE" w:rsidP="00CE27FE">
            <w:pPr>
              <w:pStyle w:val="Tabletext"/>
              <w:rPr>
                <w:bCs/>
              </w:rPr>
            </w:pPr>
            <w:r w:rsidRPr="00B066E0">
              <w:rPr>
                <w:b w:val="0"/>
                <w:bCs/>
              </w:rPr>
              <w:t>1..1</w:t>
            </w:r>
          </w:p>
        </w:tc>
        <w:tc>
          <w:tcPr>
            <w:tcW w:w="1418" w:type="dxa"/>
          </w:tcPr>
          <w:p w14:paraId="79AF4B13" w14:textId="77777777" w:rsidR="00CE27FE" w:rsidRPr="00721B6E" w:rsidRDefault="00CE27FE" w:rsidP="00CE27FE">
            <w:pPr>
              <w:pStyle w:val="Tabletext"/>
              <w:rPr>
                <w:bCs/>
              </w:rPr>
            </w:pPr>
          </w:p>
        </w:tc>
        <w:tc>
          <w:tcPr>
            <w:tcW w:w="3979" w:type="dxa"/>
          </w:tcPr>
          <w:p w14:paraId="54E0072B" w14:textId="77777777" w:rsidR="00CE27FE" w:rsidRPr="00721B6E" w:rsidRDefault="00CE27FE" w:rsidP="00CE27FE">
            <w:pPr>
              <w:pStyle w:val="Tabletext"/>
              <w:jc w:val="left"/>
              <w:rPr>
                <w:bCs/>
              </w:rPr>
            </w:pPr>
            <w:r w:rsidRPr="00B066E0">
              <w:rPr>
                <w:b w:val="0"/>
                <w:bCs/>
              </w:rPr>
              <w:t>Vendor description of specimen</w:t>
            </w:r>
          </w:p>
        </w:tc>
      </w:tr>
      <w:tr w:rsidR="00CE27FE" w:rsidRPr="00D326BC" w14:paraId="0F809428" w14:textId="77777777" w:rsidTr="00CE27FE">
        <w:trPr>
          <w:cantSplit/>
        </w:trPr>
        <w:tc>
          <w:tcPr>
            <w:tcW w:w="2245" w:type="dxa"/>
          </w:tcPr>
          <w:p w14:paraId="1491CDA8" w14:textId="77777777" w:rsidR="00CE27FE" w:rsidRPr="00721B6E" w:rsidRDefault="00CE27FE" w:rsidP="00CE27FE">
            <w:pPr>
              <w:pStyle w:val="Tabletext"/>
              <w:jc w:val="left"/>
              <w:rPr>
                <w:bCs/>
              </w:rPr>
            </w:pPr>
            <w:r w:rsidRPr="00315EE8">
              <w:rPr>
                <w:b w:val="0"/>
                <w:bCs/>
              </w:rPr>
              <w:t>Vendor Result Description</w:t>
            </w:r>
          </w:p>
        </w:tc>
        <w:tc>
          <w:tcPr>
            <w:tcW w:w="1229" w:type="dxa"/>
          </w:tcPr>
          <w:p w14:paraId="388B6832" w14:textId="77777777" w:rsidR="00CE27FE" w:rsidRPr="00721B6E" w:rsidRDefault="00CE27FE" w:rsidP="00CE27FE">
            <w:pPr>
              <w:pStyle w:val="Tabletext"/>
              <w:rPr>
                <w:bCs/>
              </w:rPr>
            </w:pPr>
            <w:r w:rsidRPr="00B066E0">
              <w:rPr>
                <w:b w:val="0"/>
                <w:bCs/>
              </w:rPr>
              <w:t>String, 199</w:t>
            </w:r>
          </w:p>
        </w:tc>
        <w:tc>
          <w:tcPr>
            <w:tcW w:w="885" w:type="dxa"/>
          </w:tcPr>
          <w:p w14:paraId="5729088D" w14:textId="77777777" w:rsidR="00CE27FE" w:rsidRPr="00721B6E" w:rsidRDefault="00CE27FE" w:rsidP="00CE27FE">
            <w:pPr>
              <w:pStyle w:val="Tabletext"/>
              <w:rPr>
                <w:bCs/>
              </w:rPr>
            </w:pPr>
            <w:r w:rsidRPr="00B066E0">
              <w:rPr>
                <w:b w:val="0"/>
                <w:bCs/>
              </w:rPr>
              <w:t>1..1</w:t>
            </w:r>
          </w:p>
        </w:tc>
        <w:tc>
          <w:tcPr>
            <w:tcW w:w="1418" w:type="dxa"/>
          </w:tcPr>
          <w:p w14:paraId="5C39E083" w14:textId="77777777" w:rsidR="00CE27FE" w:rsidRPr="00721B6E" w:rsidRDefault="00CE27FE" w:rsidP="00CE27FE">
            <w:pPr>
              <w:pStyle w:val="Tabletext"/>
              <w:rPr>
                <w:bCs/>
              </w:rPr>
            </w:pPr>
          </w:p>
        </w:tc>
        <w:tc>
          <w:tcPr>
            <w:tcW w:w="3979" w:type="dxa"/>
          </w:tcPr>
          <w:p w14:paraId="3366F2E2" w14:textId="77777777" w:rsidR="00CE27FE" w:rsidRPr="00721B6E" w:rsidRDefault="00CE27FE" w:rsidP="00CE27FE">
            <w:pPr>
              <w:pStyle w:val="Tabletext"/>
              <w:jc w:val="left"/>
              <w:rPr>
                <w:bCs/>
              </w:rPr>
            </w:pPr>
            <w:r w:rsidRPr="00B066E0">
              <w:rPr>
                <w:b w:val="0"/>
                <w:bCs/>
              </w:rPr>
              <w:t>Vendor description of the result</w:t>
            </w:r>
          </w:p>
        </w:tc>
      </w:tr>
      <w:tr w:rsidR="00CE27FE" w:rsidRPr="00D326BC" w14:paraId="6A418C5C" w14:textId="77777777" w:rsidTr="00CE27FE">
        <w:trPr>
          <w:cantSplit/>
        </w:trPr>
        <w:tc>
          <w:tcPr>
            <w:tcW w:w="2245" w:type="dxa"/>
          </w:tcPr>
          <w:p w14:paraId="52C08405" w14:textId="77777777" w:rsidR="00CE27FE" w:rsidRPr="00721B6E" w:rsidRDefault="00CE27FE" w:rsidP="00CE27FE">
            <w:pPr>
              <w:pStyle w:val="Tabletext"/>
              <w:rPr>
                <w:bCs/>
              </w:rPr>
            </w:pPr>
            <w:r w:rsidRPr="00B066E0">
              <w:rPr>
                <w:b w:val="0"/>
                <w:bCs/>
              </w:rPr>
              <w:t>Vendor Reference ID</w:t>
            </w:r>
          </w:p>
        </w:tc>
        <w:tc>
          <w:tcPr>
            <w:tcW w:w="1229" w:type="dxa"/>
          </w:tcPr>
          <w:p w14:paraId="3E958437" w14:textId="77777777" w:rsidR="00CE27FE" w:rsidRPr="00721B6E" w:rsidRDefault="00CE27FE" w:rsidP="00CE27FE">
            <w:pPr>
              <w:pStyle w:val="Tabletext"/>
              <w:rPr>
                <w:bCs/>
              </w:rPr>
            </w:pPr>
            <w:r w:rsidRPr="00B066E0">
              <w:rPr>
                <w:b w:val="0"/>
                <w:bCs/>
              </w:rPr>
              <w:t>String, 20</w:t>
            </w:r>
          </w:p>
        </w:tc>
        <w:tc>
          <w:tcPr>
            <w:tcW w:w="885" w:type="dxa"/>
          </w:tcPr>
          <w:p w14:paraId="08FE0800" w14:textId="77777777" w:rsidR="00CE27FE" w:rsidRPr="00721B6E" w:rsidRDefault="00CE27FE" w:rsidP="00CE27FE">
            <w:pPr>
              <w:pStyle w:val="Tabletext"/>
              <w:rPr>
                <w:bCs/>
              </w:rPr>
            </w:pPr>
            <w:r w:rsidRPr="00B066E0">
              <w:rPr>
                <w:b w:val="0"/>
                <w:bCs/>
              </w:rPr>
              <w:t>0..1</w:t>
            </w:r>
          </w:p>
        </w:tc>
        <w:tc>
          <w:tcPr>
            <w:tcW w:w="1418" w:type="dxa"/>
          </w:tcPr>
          <w:p w14:paraId="1485AF8F" w14:textId="77777777" w:rsidR="00CE27FE" w:rsidRPr="00721B6E" w:rsidRDefault="00CE27FE" w:rsidP="00CE27FE">
            <w:pPr>
              <w:pStyle w:val="Tabletext"/>
              <w:rPr>
                <w:bCs/>
              </w:rPr>
            </w:pPr>
          </w:p>
        </w:tc>
        <w:tc>
          <w:tcPr>
            <w:tcW w:w="3979" w:type="dxa"/>
          </w:tcPr>
          <w:p w14:paraId="67ACC655" w14:textId="77777777" w:rsidR="00CE27FE" w:rsidRPr="00721B6E" w:rsidRDefault="00CE27FE" w:rsidP="00CE27FE">
            <w:pPr>
              <w:pStyle w:val="Tabletext"/>
              <w:jc w:val="left"/>
              <w:rPr>
                <w:bCs/>
              </w:rPr>
            </w:pPr>
            <w:r w:rsidRPr="00B066E0">
              <w:rPr>
                <w:b w:val="0"/>
                <w:bCs/>
              </w:rPr>
              <w:t xml:space="preserve">Additional vendor reference </w:t>
            </w:r>
          </w:p>
        </w:tc>
      </w:tr>
      <w:tr w:rsidR="00CE27FE" w:rsidRPr="00D326BC" w14:paraId="693D1DE9" w14:textId="77777777" w:rsidTr="00CE27FE">
        <w:trPr>
          <w:cantSplit/>
        </w:trPr>
        <w:tc>
          <w:tcPr>
            <w:tcW w:w="2245" w:type="dxa"/>
          </w:tcPr>
          <w:p w14:paraId="6FB28B52" w14:textId="18D0488F" w:rsidR="00CE27FE" w:rsidRPr="00D326BC" w:rsidRDefault="00BB4C05" w:rsidP="00CE27FE">
            <w:pPr>
              <w:pStyle w:val="Tabletext"/>
              <w:rPr>
                <w:b w:val="0"/>
                <w:bCs/>
              </w:rPr>
            </w:pPr>
            <w:proofErr w:type="spellStart"/>
            <w:r>
              <w:rPr>
                <w:b w:val="0"/>
              </w:rPr>
              <w:t>Testkit</w:t>
            </w:r>
            <w:proofErr w:type="spellEnd"/>
            <w:r>
              <w:rPr>
                <w:b w:val="0"/>
              </w:rPr>
              <w:t xml:space="preserve"> Name </w:t>
            </w:r>
            <w:r w:rsidR="00CE27FE" w:rsidRPr="002977E3">
              <w:rPr>
                <w:b w:val="0"/>
              </w:rPr>
              <w:t>ID</w:t>
            </w:r>
          </w:p>
        </w:tc>
        <w:tc>
          <w:tcPr>
            <w:tcW w:w="1229" w:type="dxa"/>
          </w:tcPr>
          <w:p w14:paraId="2F97CA31" w14:textId="77777777" w:rsidR="00CE27FE" w:rsidRPr="00D326BC" w:rsidRDefault="00CE27FE" w:rsidP="00CE27FE">
            <w:pPr>
              <w:pStyle w:val="Tabletext"/>
              <w:rPr>
                <w:b w:val="0"/>
                <w:bCs/>
              </w:rPr>
            </w:pPr>
            <w:r w:rsidRPr="00435ADB">
              <w:rPr>
                <w:b w:val="0"/>
                <w:bCs/>
              </w:rPr>
              <w:t>String, 199</w:t>
            </w:r>
          </w:p>
        </w:tc>
        <w:tc>
          <w:tcPr>
            <w:tcW w:w="885" w:type="dxa"/>
          </w:tcPr>
          <w:p w14:paraId="6D3487F3" w14:textId="77777777" w:rsidR="00CE27FE" w:rsidRPr="00D326BC" w:rsidRDefault="00CE27FE" w:rsidP="00CE27FE">
            <w:pPr>
              <w:pStyle w:val="Tabletext"/>
              <w:rPr>
                <w:b w:val="0"/>
                <w:bCs/>
              </w:rPr>
            </w:pPr>
            <w:r w:rsidRPr="00435ADB">
              <w:rPr>
                <w:b w:val="0"/>
                <w:bCs/>
              </w:rPr>
              <w:t>0..1</w:t>
            </w:r>
          </w:p>
        </w:tc>
        <w:tc>
          <w:tcPr>
            <w:tcW w:w="1418" w:type="dxa"/>
          </w:tcPr>
          <w:p w14:paraId="1350606E" w14:textId="77777777" w:rsidR="00CE27FE" w:rsidRPr="00721B6E" w:rsidRDefault="00CE27FE" w:rsidP="00CE27FE">
            <w:pPr>
              <w:pStyle w:val="Tabletext"/>
              <w:rPr>
                <w:bCs/>
              </w:rPr>
            </w:pPr>
          </w:p>
        </w:tc>
        <w:tc>
          <w:tcPr>
            <w:tcW w:w="3979" w:type="dxa"/>
          </w:tcPr>
          <w:p w14:paraId="0D9005D9" w14:textId="6B8DB723" w:rsidR="00CE27FE" w:rsidRPr="00D326BC" w:rsidRDefault="00CE27FE" w:rsidP="00CE27FE">
            <w:pPr>
              <w:pStyle w:val="Tabletext"/>
              <w:jc w:val="left"/>
              <w:rPr>
                <w:b w:val="0"/>
                <w:bCs/>
              </w:rPr>
            </w:pPr>
            <w:r w:rsidRPr="00435ADB">
              <w:rPr>
                <w:b w:val="0"/>
                <w:bCs/>
              </w:rPr>
              <w:t xml:space="preserve">Can be used for </w:t>
            </w:r>
            <w:r>
              <w:rPr>
                <w:b w:val="0"/>
                <w:bCs/>
              </w:rPr>
              <w:t xml:space="preserve">a </w:t>
            </w:r>
            <w:r w:rsidR="00BB4C05">
              <w:rPr>
                <w:b w:val="0"/>
                <w:bCs/>
              </w:rPr>
              <w:t>Test Performed</w:t>
            </w:r>
            <w:r w:rsidRPr="00435ADB">
              <w:rPr>
                <w:b w:val="0"/>
                <w:bCs/>
              </w:rPr>
              <w:t xml:space="preserve"> Unique </w:t>
            </w:r>
            <w:r>
              <w:rPr>
                <w:b w:val="0"/>
                <w:bCs/>
              </w:rPr>
              <w:t>Identifier</w:t>
            </w:r>
          </w:p>
        </w:tc>
      </w:tr>
      <w:tr w:rsidR="00CE27FE" w:rsidRPr="00D326BC" w14:paraId="79F7D545" w14:textId="77777777" w:rsidTr="00CE27FE">
        <w:trPr>
          <w:cantSplit/>
        </w:trPr>
        <w:tc>
          <w:tcPr>
            <w:tcW w:w="2245" w:type="dxa"/>
          </w:tcPr>
          <w:p w14:paraId="68B169CE" w14:textId="0E48787B" w:rsidR="00CE27FE" w:rsidRPr="002977E3" w:rsidRDefault="00BB4C05" w:rsidP="00CE27FE">
            <w:pPr>
              <w:pStyle w:val="Tabletext"/>
              <w:rPr>
                <w:b w:val="0"/>
              </w:rPr>
            </w:pPr>
            <w:proofErr w:type="spellStart"/>
            <w:r>
              <w:rPr>
                <w:b w:val="0"/>
              </w:rPr>
              <w:t>Testkit</w:t>
            </w:r>
            <w:proofErr w:type="spellEnd"/>
            <w:r>
              <w:rPr>
                <w:b w:val="0"/>
              </w:rPr>
              <w:t xml:space="preserve"> Name ID</w:t>
            </w:r>
            <w:r w:rsidR="00CE27FE" w:rsidRPr="002977E3">
              <w:rPr>
                <w:b w:val="0"/>
              </w:rPr>
              <w:t xml:space="preserve"> Type</w:t>
            </w:r>
          </w:p>
        </w:tc>
        <w:tc>
          <w:tcPr>
            <w:tcW w:w="1229" w:type="dxa"/>
          </w:tcPr>
          <w:p w14:paraId="7934EED5" w14:textId="77777777" w:rsidR="00CE27FE" w:rsidRPr="00435ADB" w:rsidRDefault="00CE27FE" w:rsidP="00CE27FE">
            <w:pPr>
              <w:pStyle w:val="Tabletext"/>
              <w:rPr>
                <w:b w:val="0"/>
                <w:bCs/>
              </w:rPr>
            </w:pPr>
            <w:r w:rsidRPr="00435ADB">
              <w:rPr>
                <w:b w:val="0"/>
                <w:bCs/>
              </w:rPr>
              <w:t>String, 199</w:t>
            </w:r>
          </w:p>
        </w:tc>
        <w:tc>
          <w:tcPr>
            <w:tcW w:w="885" w:type="dxa"/>
          </w:tcPr>
          <w:p w14:paraId="7EBB49E6" w14:textId="77777777" w:rsidR="00CE27FE" w:rsidRPr="00435ADB" w:rsidRDefault="00CE27FE" w:rsidP="00CE27FE">
            <w:pPr>
              <w:pStyle w:val="Tabletext"/>
              <w:rPr>
                <w:b w:val="0"/>
                <w:bCs/>
              </w:rPr>
            </w:pPr>
            <w:r w:rsidRPr="00435ADB">
              <w:rPr>
                <w:b w:val="0"/>
                <w:bCs/>
              </w:rPr>
              <w:t>0..1</w:t>
            </w:r>
          </w:p>
        </w:tc>
        <w:tc>
          <w:tcPr>
            <w:tcW w:w="1418" w:type="dxa"/>
          </w:tcPr>
          <w:p w14:paraId="720F0BBD" w14:textId="77777777" w:rsidR="00CE27FE" w:rsidRPr="00721B6E" w:rsidRDefault="00CE27FE" w:rsidP="00CE27FE">
            <w:pPr>
              <w:pStyle w:val="Tabletext"/>
              <w:rPr>
                <w:bCs/>
              </w:rPr>
            </w:pPr>
          </w:p>
        </w:tc>
        <w:tc>
          <w:tcPr>
            <w:tcW w:w="3979" w:type="dxa"/>
          </w:tcPr>
          <w:p w14:paraId="4642565C" w14:textId="77777777" w:rsidR="00CE27FE" w:rsidRPr="00435ADB" w:rsidRDefault="00CE27FE" w:rsidP="00CE27FE">
            <w:pPr>
              <w:pStyle w:val="Tabletext"/>
              <w:jc w:val="left"/>
              <w:rPr>
                <w:b w:val="0"/>
                <w:bCs/>
              </w:rPr>
            </w:pPr>
            <w:r w:rsidRPr="00435ADB">
              <w:rPr>
                <w:b w:val="0"/>
                <w:bCs/>
              </w:rPr>
              <w:t>Use to identify the structure for the UID, e.g., FDA-accredited UDI</w:t>
            </w:r>
            <w:r w:rsidRPr="00435ADB">
              <w:rPr>
                <w:b w:val="0"/>
                <w:bCs/>
                <w:vertAlign w:val="superscript"/>
              </w:rPr>
              <w:t>1</w:t>
            </w:r>
            <w:r w:rsidRPr="00435ADB">
              <w:rPr>
                <w:b w:val="0"/>
                <w:bCs/>
              </w:rPr>
              <w:t xml:space="preserve"> or an alternative structure</w:t>
            </w:r>
            <w:r>
              <w:rPr>
                <w:b w:val="0"/>
                <w:bCs/>
              </w:rPr>
              <w:t xml:space="preserve"> such as </w:t>
            </w:r>
            <w:proofErr w:type="gramStart"/>
            <w:r>
              <w:rPr>
                <w:b w:val="0"/>
                <w:bCs/>
              </w:rPr>
              <w:t>a</w:t>
            </w:r>
            <w:proofErr w:type="gramEnd"/>
            <w:r>
              <w:rPr>
                <w:b w:val="0"/>
                <w:bCs/>
              </w:rPr>
              <w:t xml:space="preserve"> EAN / GTIN</w:t>
            </w:r>
          </w:p>
        </w:tc>
      </w:tr>
      <w:tr w:rsidR="00CE27FE" w:rsidRPr="00D326BC" w14:paraId="08270DD1" w14:textId="77777777" w:rsidTr="00CE27FE">
        <w:trPr>
          <w:cantSplit/>
        </w:trPr>
        <w:tc>
          <w:tcPr>
            <w:tcW w:w="2245" w:type="dxa"/>
          </w:tcPr>
          <w:p w14:paraId="33BDADB4" w14:textId="77777777" w:rsidR="00CE27FE" w:rsidRPr="00E348C9" w:rsidRDefault="00CE27FE" w:rsidP="00CE27FE">
            <w:pPr>
              <w:pStyle w:val="Tabletext"/>
            </w:pPr>
            <w:r w:rsidRPr="00E348C9">
              <w:rPr>
                <w:b w:val="0"/>
              </w:rPr>
              <w:t>Vendor Comment</w:t>
            </w:r>
          </w:p>
        </w:tc>
        <w:tc>
          <w:tcPr>
            <w:tcW w:w="1229" w:type="dxa"/>
          </w:tcPr>
          <w:p w14:paraId="0EBDB320" w14:textId="77777777" w:rsidR="00CE27FE" w:rsidRPr="00721B6E" w:rsidRDefault="00CE27FE" w:rsidP="00CE27FE">
            <w:pPr>
              <w:pStyle w:val="Tabletext"/>
              <w:rPr>
                <w:bCs/>
              </w:rPr>
            </w:pPr>
            <w:r w:rsidRPr="00B066E0">
              <w:rPr>
                <w:b w:val="0"/>
                <w:bCs/>
              </w:rPr>
              <w:t>String, 199</w:t>
            </w:r>
          </w:p>
        </w:tc>
        <w:tc>
          <w:tcPr>
            <w:tcW w:w="885" w:type="dxa"/>
          </w:tcPr>
          <w:p w14:paraId="1E8D9936" w14:textId="77777777" w:rsidR="00CE27FE" w:rsidRPr="00721B6E" w:rsidRDefault="00CE27FE" w:rsidP="00CE27FE">
            <w:pPr>
              <w:pStyle w:val="Tabletext"/>
              <w:rPr>
                <w:bCs/>
              </w:rPr>
            </w:pPr>
            <w:r w:rsidRPr="00B066E0">
              <w:rPr>
                <w:b w:val="0"/>
                <w:bCs/>
              </w:rPr>
              <w:t>0..1</w:t>
            </w:r>
          </w:p>
        </w:tc>
        <w:tc>
          <w:tcPr>
            <w:tcW w:w="1418" w:type="dxa"/>
          </w:tcPr>
          <w:p w14:paraId="393B6424" w14:textId="77777777" w:rsidR="00CE27FE" w:rsidRPr="00721B6E" w:rsidRDefault="00CE27FE" w:rsidP="00CE27FE">
            <w:pPr>
              <w:pStyle w:val="Tabletext"/>
              <w:rPr>
                <w:bCs/>
              </w:rPr>
            </w:pPr>
          </w:p>
        </w:tc>
        <w:tc>
          <w:tcPr>
            <w:tcW w:w="3979" w:type="dxa"/>
          </w:tcPr>
          <w:p w14:paraId="367D8368" w14:textId="77777777" w:rsidR="00CE27FE" w:rsidRPr="00721B6E" w:rsidRDefault="00CE27FE" w:rsidP="00CE27FE">
            <w:pPr>
              <w:pStyle w:val="Tabletext"/>
              <w:jc w:val="left"/>
              <w:rPr>
                <w:bCs/>
              </w:rPr>
            </w:pPr>
            <w:r w:rsidRPr="00B066E0">
              <w:rPr>
                <w:b w:val="0"/>
                <w:bCs/>
              </w:rPr>
              <w:t>Vendor comment</w:t>
            </w:r>
          </w:p>
        </w:tc>
      </w:tr>
    </w:tbl>
    <w:p w14:paraId="5D49C704" w14:textId="77777777" w:rsidR="00CE27FE" w:rsidRPr="004C04C6" w:rsidRDefault="00CE27FE" w:rsidP="00CE27FE">
      <w:pPr>
        <w:ind w:left="0"/>
      </w:pPr>
    </w:p>
    <w:p w14:paraId="3D1E702C" w14:textId="77777777" w:rsidR="00BB4C05" w:rsidRDefault="00BB4C05" w:rsidP="00BB4C05">
      <w:pPr>
        <w:pStyle w:val="FootnoteText"/>
        <w:jc w:val="left"/>
      </w:pPr>
      <w:r w:rsidRPr="004C04C6">
        <w:t xml:space="preserve">1 Specify if the UID represents the Device Identifier (DI) per the FDA unique device identification (UDI) system or an alternate type of device identification system. For additional information regarding the FDA UDI system and the FDA Global Unique Device Identification Database (GUDID), see </w:t>
      </w:r>
      <w:hyperlink r:id="rId13" w:history="1">
        <w:r w:rsidRPr="004C04C6">
          <w:rPr>
            <w:rStyle w:val="Hyperlink"/>
            <w:i/>
            <w:color w:val="auto"/>
            <w:u w:val="none"/>
          </w:rPr>
          <w:t>https://www.fda.gov/MedicalDevices/DeviceRegulationandGuidance/UniqueDeviceIdentification/</w:t>
        </w:r>
      </w:hyperlink>
      <w:r w:rsidRPr="004C04C6">
        <w:t>.</w:t>
      </w:r>
    </w:p>
    <w:p w14:paraId="7264D837" w14:textId="77777777" w:rsidR="00CE27FE" w:rsidRDefault="00CE27FE" w:rsidP="00BB4C05">
      <w:pPr>
        <w:ind w:left="0"/>
      </w:pPr>
    </w:p>
    <w:p w14:paraId="21C7A82C" w14:textId="77777777" w:rsidR="00CE27FE" w:rsidRPr="004C04C6" w:rsidRDefault="00CE27FE" w:rsidP="00473233">
      <w:pPr>
        <w:pStyle w:val="Heading3"/>
      </w:pPr>
      <w:r w:rsidRPr="004C04C6">
        <w:t>LOINC</w:t>
      </w:r>
    </w:p>
    <w:p w14:paraId="038B72EF" w14:textId="77777777" w:rsidR="00CE27FE" w:rsidRPr="004C04C6" w:rsidRDefault="00CE27FE" w:rsidP="00CE27FE">
      <w:r w:rsidRPr="004C04C6">
        <w:t xml:space="preserve">This information captures the LOINC information established by the </w:t>
      </w:r>
      <w:r>
        <w:t xml:space="preserve">publisher </w:t>
      </w:r>
      <w:r w:rsidRPr="004C04C6">
        <w:t>for the associated IVD Test Result.</w:t>
      </w:r>
    </w:p>
    <w:p w14:paraId="17C4F13A" w14:textId="7E66E063" w:rsidR="00CE27FE" w:rsidRPr="00215C50" w:rsidRDefault="00CE27FE" w:rsidP="00CE27FE">
      <w:pPr>
        <w:pStyle w:val="ListBullet4"/>
        <w:rPr>
          <w:lang w:val="en-US"/>
        </w:rPr>
      </w:pPr>
      <w:r w:rsidRPr="009C50E8">
        <w:rPr>
          <w:lang w:val="en-US"/>
        </w:rPr>
        <w:t xml:space="preserve">The LOINC parts are included for information, so that laboratory personnel may not need additional tooling or references to interpret the content of the associated </w:t>
      </w:r>
      <w:r w:rsidRPr="009C50E8">
        <w:rPr>
          <w:b/>
          <w:i/>
          <w:lang w:val="en-US"/>
        </w:rPr>
        <w:t>LOINC Code</w:t>
      </w:r>
      <w:r w:rsidRPr="00B066E0">
        <w:rPr>
          <w:bCs/>
          <w:iCs/>
          <w:lang w:val="en-US"/>
        </w:rPr>
        <w:t xml:space="preserve">. </w:t>
      </w:r>
      <w:r w:rsidR="00CD6716" w:rsidRPr="00B066E0">
        <w:rPr>
          <w:bCs/>
          <w:iCs/>
          <w:lang w:val="en-US"/>
        </w:rPr>
        <w:t>Nevertheless,</w:t>
      </w:r>
      <w:r w:rsidRPr="00B066E0">
        <w:rPr>
          <w:bCs/>
          <w:iCs/>
          <w:lang w:val="en-US"/>
        </w:rPr>
        <w:t xml:space="preserve"> it shall be</w:t>
      </w:r>
      <w:r w:rsidRPr="009C50E8">
        <w:rPr>
          <w:bCs/>
          <w:i/>
          <w:lang w:val="en-US"/>
        </w:rPr>
        <w:t xml:space="preserve"> </w:t>
      </w:r>
      <w:r w:rsidRPr="009C50E8">
        <w:rPr>
          <w:lang w:val="en-US"/>
        </w:rPr>
        <w:t xml:space="preserve">noted that </w:t>
      </w:r>
      <w:r w:rsidRPr="00B066E0">
        <w:rPr>
          <w:i/>
          <w:iCs/>
          <w:u w:val="single"/>
          <w:lang w:val="en-US"/>
        </w:rPr>
        <w:t>ONLY</w:t>
      </w:r>
      <w:r w:rsidRPr="009C50E8">
        <w:rPr>
          <w:lang w:val="en-US"/>
        </w:rPr>
        <w:t xml:space="preserve"> the official LOINC data base release is the authoritative source to specify the actual part breakdown of any LOINC code.</w:t>
      </w:r>
    </w:p>
    <w:p w14:paraId="7966EC99" w14:textId="77777777" w:rsidR="00CE27FE" w:rsidRPr="00071568" w:rsidRDefault="00CE27FE" w:rsidP="00CE27FE">
      <w:pPr>
        <w:pStyle w:val="ListBullet4"/>
        <w:numPr>
          <w:ilvl w:val="0"/>
          <w:numId w:val="0"/>
        </w:numPr>
        <w:ind w:left="2345"/>
        <w:rPr>
          <w:lang w:val="en-US"/>
        </w:rPr>
      </w:pPr>
      <w:r w:rsidRPr="009C50E8">
        <w:rPr>
          <w:lang w:val="en-US"/>
        </w:rPr>
        <w:t xml:space="preserve">The </w:t>
      </w:r>
      <w:r w:rsidRPr="009C50E8">
        <w:rPr>
          <w:b/>
          <w:i/>
          <w:lang w:val="en-US"/>
        </w:rPr>
        <w:t>LOINC Long Name</w:t>
      </w:r>
      <w:r w:rsidRPr="009C50E8">
        <w:rPr>
          <w:lang w:val="en-US"/>
        </w:rPr>
        <w:t xml:space="preserve"> associated with the </w:t>
      </w:r>
      <w:r w:rsidRPr="009C50E8">
        <w:rPr>
          <w:b/>
          <w:i/>
          <w:lang w:val="en-US"/>
        </w:rPr>
        <w:t>LOINC Code</w:t>
      </w:r>
      <w:r w:rsidRPr="009C50E8">
        <w:rPr>
          <w:lang w:val="en-US"/>
        </w:rPr>
        <w:t xml:space="preserve"> is included to assist the manual selection of the </w:t>
      </w:r>
      <w:r w:rsidRPr="009C50E8">
        <w:rPr>
          <w:b/>
          <w:i/>
          <w:lang w:val="en-US"/>
        </w:rPr>
        <w:t>LOINC Code</w:t>
      </w:r>
      <w:r w:rsidRPr="009C50E8">
        <w:rPr>
          <w:lang w:val="en-US"/>
        </w:rPr>
        <w:t xml:space="preserve"> for the </w:t>
      </w:r>
      <w:r w:rsidRPr="009C50E8">
        <w:rPr>
          <w:b/>
          <w:i/>
          <w:lang w:val="en-US"/>
        </w:rPr>
        <w:t>IVD Test Result</w:t>
      </w:r>
      <w:r w:rsidRPr="009C50E8">
        <w:rPr>
          <w:lang w:val="en-US"/>
        </w:rPr>
        <w:t>.</w:t>
      </w:r>
    </w:p>
    <w:p w14:paraId="7C8FA210" w14:textId="77777777" w:rsidR="00CE27FE" w:rsidRDefault="00CE27FE" w:rsidP="00CE27FE">
      <w:r>
        <w:t xml:space="preserve">All those fields should come from the LOINC database as published by the </w:t>
      </w:r>
      <w:proofErr w:type="spellStart"/>
      <w:r>
        <w:t>Regenstrief</w:t>
      </w:r>
      <w:proofErr w:type="spellEnd"/>
      <w:r>
        <w:t xml:space="preserve"> Institute.</w:t>
      </w:r>
    </w:p>
    <w:tbl>
      <w:tblPr>
        <w:tblStyle w:val="TableGrid"/>
        <w:tblW w:w="9220" w:type="dxa"/>
        <w:tblInd w:w="1548" w:type="dxa"/>
        <w:tblLayout w:type="fixed"/>
        <w:tblLook w:val="04A0" w:firstRow="1" w:lastRow="0" w:firstColumn="1" w:lastColumn="0" w:noHBand="0" w:noVBand="1"/>
      </w:tblPr>
      <w:tblGrid>
        <w:gridCol w:w="1566"/>
        <w:gridCol w:w="1404"/>
        <w:gridCol w:w="720"/>
        <w:gridCol w:w="3121"/>
        <w:gridCol w:w="2409"/>
      </w:tblGrid>
      <w:tr w:rsidR="00CE27FE" w:rsidRPr="004C04C6" w14:paraId="4F0F481D" w14:textId="77777777" w:rsidTr="00CE27FE">
        <w:trPr>
          <w:cantSplit/>
        </w:trPr>
        <w:tc>
          <w:tcPr>
            <w:tcW w:w="1566" w:type="dxa"/>
            <w:shd w:val="clear" w:color="auto" w:fill="BFBFBF" w:themeFill="background1" w:themeFillShade="BF"/>
          </w:tcPr>
          <w:p w14:paraId="2D494303" w14:textId="77777777" w:rsidR="00CE27FE" w:rsidRPr="004C04C6" w:rsidRDefault="00CE27FE" w:rsidP="00CE27FE">
            <w:pPr>
              <w:pStyle w:val="Tabletext"/>
            </w:pPr>
            <w:r w:rsidRPr="004C04C6">
              <w:t>Component</w:t>
            </w:r>
          </w:p>
        </w:tc>
        <w:tc>
          <w:tcPr>
            <w:tcW w:w="1404" w:type="dxa"/>
            <w:shd w:val="clear" w:color="auto" w:fill="BFBFBF" w:themeFill="background1" w:themeFillShade="BF"/>
          </w:tcPr>
          <w:p w14:paraId="6E9CA606" w14:textId="77777777" w:rsidR="00CE27FE" w:rsidRPr="004C04C6" w:rsidRDefault="00CE27FE" w:rsidP="00CE27FE">
            <w:pPr>
              <w:pStyle w:val="Tabletext"/>
            </w:pPr>
            <w:r w:rsidRPr="004C04C6">
              <w:t>Type</w:t>
            </w:r>
            <w:r>
              <w:rPr>
                <w:rStyle w:val="FootnoteReference"/>
              </w:rPr>
              <w:footnoteReference w:id="9"/>
            </w:r>
          </w:p>
        </w:tc>
        <w:tc>
          <w:tcPr>
            <w:tcW w:w="720" w:type="dxa"/>
            <w:shd w:val="clear" w:color="auto" w:fill="BFBFBF" w:themeFill="background1" w:themeFillShade="BF"/>
          </w:tcPr>
          <w:p w14:paraId="0A9A2F84" w14:textId="77777777" w:rsidR="00CE27FE" w:rsidRPr="004C04C6" w:rsidRDefault="00CE27FE" w:rsidP="00CE27FE">
            <w:pPr>
              <w:pStyle w:val="Tabletext"/>
            </w:pPr>
            <w:r w:rsidRPr="004C04C6">
              <w:t>Card.</w:t>
            </w:r>
          </w:p>
        </w:tc>
        <w:tc>
          <w:tcPr>
            <w:tcW w:w="3121" w:type="dxa"/>
            <w:shd w:val="clear" w:color="auto" w:fill="BFBFBF" w:themeFill="background1" w:themeFillShade="BF"/>
          </w:tcPr>
          <w:p w14:paraId="581D8DD4" w14:textId="77777777" w:rsidR="00CE27FE" w:rsidRPr="004C04C6" w:rsidRDefault="00CE27FE" w:rsidP="00CE27FE">
            <w:pPr>
              <w:pStyle w:val="Tabletext"/>
            </w:pPr>
            <w:r w:rsidRPr="004C04C6">
              <w:t>Reference</w:t>
            </w:r>
          </w:p>
        </w:tc>
        <w:tc>
          <w:tcPr>
            <w:tcW w:w="2409" w:type="dxa"/>
            <w:shd w:val="clear" w:color="auto" w:fill="BFBFBF" w:themeFill="background1" w:themeFillShade="BF"/>
          </w:tcPr>
          <w:p w14:paraId="00D6E4AC" w14:textId="77777777" w:rsidR="00CE27FE" w:rsidRPr="004C04C6" w:rsidRDefault="00CE27FE" w:rsidP="00CE27FE">
            <w:pPr>
              <w:pStyle w:val="Tabletext"/>
            </w:pPr>
            <w:r w:rsidRPr="004C04C6">
              <w:t>Comments</w:t>
            </w:r>
          </w:p>
        </w:tc>
      </w:tr>
      <w:tr w:rsidR="00CE27FE" w:rsidRPr="0030188E" w14:paraId="5245B0AE" w14:textId="77777777" w:rsidTr="00CE27FE">
        <w:trPr>
          <w:cantSplit/>
        </w:trPr>
        <w:tc>
          <w:tcPr>
            <w:tcW w:w="1566" w:type="dxa"/>
            <w:tcBorders>
              <w:bottom w:val="single" w:sz="4" w:space="0" w:color="auto"/>
            </w:tcBorders>
          </w:tcPr>
          <w:p w14:paraId="184E7221" w14:textId="77777777" w:rsidR="00CE27FE" w:rsidRPr="00B066E0" w:rsidRDefault="00CE27FE" w:rsidP="00CE27FE">
            <w:pPr>
              <w:pStyle w:val="Tabletext"/>
              <w:rPr>
                <w:b w:val="0"/>
                <w:bCs/>
              </w:rPr>
            </w:pPr>
            <w:r w:rsidRPr="00B066E0">
              <w:rPr>
                <w:b w:val="0"/>
                <w:bCs/>
              </w:rPr>
              <w:t>(k) LOINC Code</w:t>
            </w:r>
          </w:p>
        </w:tc>
        <w:tc>
          <w:tcPr>
            <w:tcW w:w="1404" w:type="dxa"/>
            <w:tcBorders>
              <w:bottom w:val="single" w:sz="4" w:space="0" w:color="auto"/>
            </w:tcBorders>
          </w:tcPr>
          <w:p w14:paraId="147D2904" w14:textId="77777777" w:rsidR="00CE27FE" w:rsidRPr="00B066E0" w:rsidRDefault="00CE27FE" w:rsidP="00CE27FE">
            <w:pPr>
              <w:pStyle w:val="Tabletext"/>
              <w:rPr>
                <w:b w:val="0"/>
                <w:bCs/>
              </w:rPr>
            </w:pPr>
            <w:r w:rsidRPr="00B066E0">
              <w:rPr>
                <w:b w:val="0"/>
                <w:bCs/>
              </w:rPr>
              <w:t>String, 10</w:t>
            </w:r>
          </w:p>
        </w:tc>
        <w:tc>
          <w:tcPr>
            <w:tcW w:w="720" w:type="dxa"/>
            <w:tcBorders>
              <w:bottom w:val="single" w:sz="4" w:space="0" w:color="auto"/>
            </w:tcBorders>
          </w:tcPr>
          <w:p w14:paraId="209B4DCE" w14:textId="77777777" w:rsidR="00CE27FE" w:rsidRPr="00B066E0" w:rsidRDefault="00CE27FE" w:rsidP="00CE27FE">
            <w:pPr>
              <w:pStyle w:val="Tabletext"/>
              <w:rPr>
                <w:b w:val="0"/>
                <w:bCs/>
              </w:rPr>
            </w:pPr>
            <w:r w:rsidRPr="00B066E0">
              <w:rPr>
                <w:b w:val="0"/>
                <w:bCs/>
              </w:rPr>
              <w:t>1..1</w:t>
            </w:r>
          </w:p>
        </w:tc>
        <w:tc>
          <w:tcPr>
            <w:tcW w:w="3121" w:type="dxa"/>
            <w:tcBorders>
              <w:bottom w:val="single" w:sz="4" w:space="0" w:color="auto"/>
            </w:tcBorders>
          </w:tcPr>
          <w:p w14:paraId="01049907" w14:textId="77777777" w:rsidR="00CE27FE" w:rsidRPr="00B066E0" w:rsidRDefault="00CE27FE" w:rsidP="00CE27FE">
            <w:pPr>
              <w:pStyle w:val="Tabletext"/>
              <w:rPr>
                <w:b w:val="0"/>
                <w:bCs/>
              </w:rPr>
            </w:pPr>
            <w:r w:rsidRPr="00B066E0">
              <w:rPr>
                <w:b w:val="0"/>
                <w:bCs/>
              </w:rPr>
              <w:t>LOINC</w:t>
            </w:r>
          </w:p>
        </w:tc>
        <w:tc>
          <w:tcPr>
            <w:tcW w:w="2409" w:type="dxa"/>
            <w:vMerge w:val="restart"/>
            <w:vAlign w:val="center"/>
          </w:tcPr>
          <w:p w14:paraId="286F5612" w14:textId="77777777" w:rsidR="00CE27FE" w:rsidRPr="00B066E0" w:rsidRDefault="00CE27FE" w:rsidP="00CE27FE">
            <w:pPr>
              <w:pStyle w:val="Tabletext"/>
              <w:jc w:val="center"/>
              <w:rPr>
                <w:b w:val="0"/>
                <w:bCs/>
              </w:rPr>
            </w:pPr>
            <w:r w:rsidRPr="00B066E0">
              <w:rPr>
                <w:b w:val="0"/>
                <w:bCs/>
              </w:rPr>
              <w:t>Content defined by LOINC Users’ Guide</w:t>
            </w:r>
          </w:p>
        </w:tc>
      </w:tr>
      <w:tr w:rsidR="00CE27FE" w:rsidRPr="0030188E" w14:paraId="5D4BB090" w14:textId="77777777" w:rsidTr="00CE27FE">
        <w:trPr>
          <w:cantSplit/>
        </w:trPr>
        <w:tc>
          <w:tcPr>
            <w:tcW w:w="1566" w:type="dxa"/>
          </w:tcPr>
          <w:p w14:paraId="5697D4C5" w14:textId="77777777" w:rsidR="00CE27FE" w:rsidRPr="00B066E0" w:rsidRDefault="00CE27FE" w:rsidP="00CE27FE">
            <w:pPr>
              <w:pStyle w:val="Tabletext"/>
              <w:jc w:val="left"/>
              <w:rPr>
                <w:b w:val="0"/>
                <w:bCs/>
              </w:rPr>
            </w:pPr>
            <w:r w:rsidRPr="00B066E0">
              <w:rPr>
                <w:b w:val="0"/>
                <w:bCs/>
              </w:rPr>
              <w:t>LOINC Long Name</w:t>
            </w:r>
          </w:p>
        </w:tc>
        <w:tc>
          <w:tcPr>
            <w:tcW w:w="1404" w:type="dxa"/>
          </w:tcPr>
          <w:p w14:paraId="19CA6BBA" w14:textId="77777777" w:rsidR="00CE27FE" w:rsidRPr="00B066E0" w:rsidRDefault="00CE27FE" w:rsidP="00CE27FE">
            <w:pPr>
              <w:pStyle w:val="Tabletext"/>
              <w:rPr>
                <w:b w:val="0"/>
                <w:bCs/>
              </w:rPr>
            </w:pPr>
            <w:r w:rsidRPr="00B066E0">
              <w:rPr>
                <w:b w:val="0"/>
                <w:bCs/>
              </w:rPr>
              <w:t xml:space="preserve">String, </w:t>
            </w:r>
            <w:r>
              <w:rPr>
                <w:b w:val="0"/>
                <w:bCs/>
              </w:rPr>
              <w:t>255</w:t>
            </w:r>
          </w:p>
        </w:tc>
        <w:tc>
          <w:tcPr>
            <w:tcW w:w="720" w:type="dxa"/>
          </w:tcPr>
          <w:p w14:paraId="0593701A" w14:textId="77777777" w:rsidR="00CE27FE" w:rsidRPr="00B066E0" w:rsidRDefault="00CE27FE" w:rsidP="00CE27FE">
            <w:pPr>
              <w:pStyle w:val="Tabletext"/>
              <w:rPr>
                <w:b w:val="0"/>
                <w:bCs/>
              </w:rPr>
            </w:pPr>
            <w:r w:rsidRPr="00B066E0">
              <w:rPr>
                <w:b w:val="0"/>
                <w:bCs/>
              </w:rPr>
              <w:t>1..1</w:t>
            </w:r>
          </w:p>
        </w:tc>
        <w:tc>
          <w:tcPr>
            <w:tcW w:w="3121" w:type="dxa"/>
          </w:tcPr>
          <w:p w14:paraId="04404B66" w14:textId="77777777" w:rsidR="00CE27FE" w:rsidRPr="00B066E0" w:rsidRDefault="00CE27FE" w:rsidP="00CE27FE">
            <w:pPr>
              <w:pStyle w:val="Tabletext"/>
              <w:rPr>
                <w:b w:val="0"/>
                <w:bCs/>
              </w:rPr>
            </w:pPr>
            <w:r w:rsidRPr="00B066E0">
              <w:rPr>
                <w:b w:val="0"/>
                <w:bCs/>
              </w:rPr>
              <w:t>LOINC</w:t>
            </w:r>
          </w:p>
        </w:tc>
        <w:tc>
          <w:tcPr>
            <w:tcW w:w="2409" w:type="dxa"/>
            <w:vMerge/>
          </w:tcPr>
          <w:p w14:paraId="31993324" w14:textId="77777777" w:rsidR="00CE27FE" w:rsidRPr="00B066E0" w:rsidRDefault="00CE27FE" w:rsidP="00CE27FE">
            <w:pPr>
              <w:pStyle w:val="Tabletext"/>
              <w:rPr>
                <w:b w:val="0"/>
                <w:bCs/>
              </w:rPr>
            </w:pPr>
          </w:p>
        </w:tc>
      </w:tr>
      <w:tr w:rsidR="00CE27FE" w:rsidRPr="0030188E" w14:paraId="6A05602C" w14:textId="77777777" w:rsidTr="00CE27FE">
        <w:trPr>
          <w:cantSplit/>
        </w:trPr>
        <w:tc>
          <w:tcPr>
            <w:tcW w:w="1566" w:type="dxa"/>
          </w:tcPr>
          <w:p w14:paraId="3BC15EE7" w14:textId="77777777" w:rsidR="00CE27FE" w:rsidRPr="00B066E0" w:rsidRDefault="00CE27FE" w:rsidP="00CE27FE">
            <w:pPr>
              <w:pStyle w:val="Tabletext"/>
              <w:rPr>
                <w:b w:val="0"/>
                <w:bCs/>
              </w:rPr>
            </w:pPr>
            <w:r w:rsidRPr="00B066E0">
              <w:rPr>
                <w:b w:val="0"/>
                <w:bCs/>
              </w:rPr>
              <w:t>Component</w:t>
            </w:r>
          </w:p>
        </w:tc>
        <w:tc>
          <w:tcPr>
            <w:tcW w:w="1404" w:type="dxa"/>
          </w:tcPr>
          <w:p w14:paraId="04628E8D" w14:textId="77777777" w:rsidR="00CE27FE" w:rsidRPr="00B066E0" w:rsidRDefault="00CE27FE" w:rsidP="00CE27FE">
            <w:pPr>
              <w:pStyle w:val="Tabletext"/>
              <w:rPr>
                <w:b w:val="0"/>
                <w:bCs/>
              </w:rPr>
            </w:pPr>
            <w:r w:rsidRPr="00B066E0">
              <w:rPr>
                <w:b w:val="0"/>
                <w:bCs/>
              </w:rPr>
              <w:t xml:space="preserve">String, </w:t>
            </w:r>
            <w:r>
              <w:rPr>
                <w:b w:val="0"/>
                <w:bCs/>
              </w:rPr>
              <w:t>255</w:t>
            </w:r>
          </w:p>
        </w:tc>
        <w:tc>
          <w:tcPr>
            <w:tcW w:w="720" w:type="dxa"/>
          </w:tcPr>
          <w:p w14:paraId="54036767" w14:textId="77777777" w:rsidR="00CE27FE" w:rsidRPr="00B066E0" w:rsidRDefault="00CE27FE" w:rsidP="00CE27FE">
            <w:pPr>
              <w:pStyle w:val="Tabletext"/>
              <w:rPr>
                <w:b w:val="0"/>
                <w:bCs/>
              </w:rPr>
            </w:pPr>
            <w:r w:rsidRPr="00B066E0">
              <w:rPr>
                <w:b w:val="0"/>
                <w:bCs/>
              </w:rPr>
              <w:t>1..1</w:t>
            </w:r>
          </w:p>
        </w:tc>
        <w:tc>
          <w:tcPr>
            <w:tcW w:w="3121" w:type="dxa"/>
          </w:tcPr>
          <w:p w14:paraId="21A2AC64" w14:textId="77777777" w:rsidR="00CE27FE" w:rsidRPr="00B066E0" w:rsidRDefault="00CE27FE" w:rsidP="00CE27FE">
            <w:pPr>
              <w:pStyle w:val="Tabletext"/>
              <w:rPr>
                <w:b w:val="0"/>
                <w:bCs/>
              </w:rPr>
            </w:pPr>
            <w:r w:rsidRPr="00B066E0">
              <w:rPr>
                <w:b w:val="0"/>
                <w:bCs/>
              </w:rPr>
              <w:t>Component /Analyte – 1</w:t>
            </w:r>
            <w:r w:rsidRPr="00B066E0">
              <w:rPr>
                <w:b w:val="0"/>
                <w:bCs/>
                <w:vertAlign w:val="superscript"/>
              </w:rPr>
              <w:t>st</w:t>
            </w:r>
            <w:r w:rsidRPr="00B066E0">
              <w:rPr>
                <w:b w:val="0"/>
                <w:bCs/>
              </w:rPr>
              <w:t xml:space="preserve"> part</w:t>
            </w:r>
          </w:p>
        </w:tc>
        <w:tc>
          <w:tcPr>
            <w:tcW w:w="2409" w:type="dxa"/>
            <w:vMerge/>
          </w:tcPr>
          <w:p w14:paraId="78BC4739" w14:textId="77777777" w:rsidR="00CE27FE" w:rsidRPr="00B066E0" w:rsidRDefault="00CE27FE" w:rsidP="00CE27FE">
            <w:pPr>
              <w:pStyle w:val="Tabletext"/>
              <w:rPr>
                <w:b w:val="0"/>
                <w:bCs/>
              </w:rPr>
            </w:pPr>
          </w:p>
        </w:tc>
      </w:tr>
      <w:tr w:rsidR="00CE27FE" w:rsidRPr="0030188E" w14:paraId="0EE63192" w14:textId="77777777" w:rsidTr="00CE27FE">
        <w:trPr>
          <w:cantSplit/>
        </w:trPr>
        <w:tc>
          <w:tcPr>
            <w:tcW w:w="1566" w:type="dxa"/>
          </w:tcPr>
          <w:p w14:paraId="6B476B99" w14:textId="77777777" w:rsidR="00CE27FE" w:rsidRPr="00B066E0" w:rsidRDefault="00CE27FE" w:rsidP="00CE27FE">
            <w:pPr>
              <w:pStyle w:val="Tabletext"/>
              <w:rPr>
                <w:b w:val="0"/>
                <w:bCs/>
              </w:rPr>
            </w:pPr>
            <w:r w:rsidRPr="00B066E0">
              <w:rPr>
                <w:b w:val="0"/>
                <w:bCs/>
              </w:rPr>
              <w:t>Property</w:t>
            </w:r>
          </w:p>
        </w:tc>
        <w:tc>
          <w:tcPr>
            <w:tcW w:w="1404" w:type="dxa"/>
          </w:tcPr>
          <w:p w14:paraId="2DF7B0D6" w14:textId="77777777" w:rsidR="00CE27FE" w:rsidRPr="00B066E0" w:rsidRDefault="00CE27FE" w:rsidP="00CE27FE">
            <w:pPr>
              <w:pStyle w:val="Tabletext"/>
              <w:rPr>
                <w:b w:val="0"/>
                <w:bCs/>
              </w:rPr>
            </w:pPr>
            <w:r w:rsidRPr="00B066E0">
              <w:rPr>
                <w:b w:val="0"/>
                <w:bCs/>
              </w:rPr>
              <w:t xml:space="preserve">String, </w:t>
            </w:r>
            <w:r>
              <w:rPr>
                <w:b w:val="0"/>
                <w:bCs/>
              </w:rPr>
              <w:t>255</w:t>
            </w:r>
          </w:p>
        </w:tc>
        <w:tc>
          <w:tcPr>
            <w:tcW w:w="720" w:type="dxa"/>
          </w:tcPr>
          <w:p w14:paraId="1247DD15" w14:textId="77777777" w:rsidR="00CE27FE" w:rsidRPr="00B066E0" w:rsidRDefault="00CE27FE" w:rsidP="00CE27FE">
            <w:pPr>
              <w:pStyle w:val="Tabletext"/>
              <w:rPr>
                <w:b w:val="0"/>
                <w:bCs/>
              </w:rPr>
            </w:pPr>
            <w:r w:rsidRPr="00B066E0">
              <w:rPr>
                <w:b w:val="0"/>
                <w:bCs/>
              </w:rPr>
              <w:t>1..1</w:t>
            </w:r>
          </w:p>
        </w:tc>
        <w:tc>
          <w:tcPr>
            <w:tcW w:w="3121" w:type="dxa"/>
          </w:tcPr>
          <w:p w14:paraId="69F93236" w14:textId="77777777" w:rsidR="00CE27FE" w:rsidRPr="00B066E0" w:rsidRDefault="00CE27FE" w:rsidP="00CE27FE">
            <w:pPr>
              <w:pStyle w:val="Tabletext"/>
              <w:rPr>
                <w:b w:val="0"/>
                <w:bCs/>
              </w:rPr>
            </w:pPr>
            <w:r w:rsidRPr="00B066E0">
              <w:rPr>
                <w:b w:val="0"/>
                <w:bCs/>
              </w:rPr>
              <w:t>Kind of Property – 2</w:t>
            </w:r>
            <w:r w:rsidRPr="00B066E0">
              <w:rPr>
                <w:b w:val="0"/>
                <w:bCs/>
                <w:vertAlign w:val="superscript"/>
              </w:rPr>
              <w:t>nd</w:t>
            </w:r>
            <w:r w:rsidRPr="00B066E0">
              <w:rPr>
                <w:b w:val="0"/>
                <w:bCs/>
              </w:rPr>
              <w:t xml:space="preserve"> part</w:t>
            </w:r>
          </w:p>
        </w:tc>
        <w:tc>
          <w:tcPr>
            <w:tcW w:w="2409" w:type="dxa"/>
            <w:vMerge/>
          </w:tcPr>
          <w:p w14:paraId="18083BAE" w14:textId="77777777" w:rsidR="00CE27FE" w:rsidRPr="00B066E0" w:rsidRDefault="00CE27FE" w:rsidP="00CE27FE">
            <w:pPr>
              <w:pStyle w:val="Tabletext"/>
              <w:rPr>
                <w:b w:val="0"/>
                <w:bCs/>
              </w:rPr>
            </w:pPr>
          </w:p>
        </w:tc>
      </w:tr>
      <w:tr w:rsidR="00CE27FE" w:rsidRPr="0030188E" w14:paraId="5EE7FDF0" w14:textId="77777777" w:rsidTr="00CE27FE">
        <w:trPr>
          <w:cantSplit/>
        </w:trPr>
        <w:tc>
          <w:tcPr>
            <w:tcW w:w="1566" w:type="dxa"/>
            <w:tcBorders>
              <w:bottom w:val="single" w:sz="4" w:space="0" w:color="auto"/>
            </w:tcBorders>
          </w:tcPr>
          <w:p w14:paraId="300859B9" w14:textId="77777777" w:rsidR="00CE27FE" w:rsidRPr="00B066E0" w:rsidRDefault="00CE27FE" w:rsidP="00CE27FE">
            <w:pPr>
              <w:pStyle w:val="Tabletext"/>
              <w:rPr>
                <w:b w:val="0"/>
                <w:bCs/>
              </w:rPr>
            </w:pPr>
            <w:r w:rsidRPr="00B066E0">
              <w:rPr>
                <w:b w:val="0"/>
                <w:bCs/>
              </w:rPr>
              <w:t>Time</w:t>
            </w:r>
          </w:p>
        </w:tc>
        <w:tc>
          <w:tcPr>
            <w:tcW w:w="1404" w:type="dxa"/>
          </w:tcPr>
          <w:p w14:paraId="4B66E413" w14:textId="77777777" w:rsidR="00CE27FE" w:rsidRPr="00B066E0" w:rsidRDefault="00CE27FE" w:rsidP="00CE27FE">
            <w:pPr>
              <w:pStyle w:val="Tabletext"/>
              <w:rPr>
                <w:b w:val="0"/>
                <w:bCs/>
              </w:rPr>
            </w:pPr>
            <w:r w:rsidRPr="00B066E0">
              <w:rPr>
                <w:b w:val="0"/>
                <w:bCs/>
              </w:rPr>
              <w:t xml:space="preserve">String, </w:t>
            </w:r>
            <w:r>
              <w:rPr>
                <w:b w:val="0"/>
                <w:bCs/>
              </w:rPr>
              <w:t>255</w:t>
            </w:r>
          </w:p>
        </w:tc>
        <w:tc>
          <w:tcPr>
            <w:tcW w:w="720" w:type="dxa"/>
          </w:tcPr>
          <w:p w14:paraId="45488CE3" w14:textId="77777777" w:rsidR="00CE27FE" w:rsidRPr="00B066E0" w:rsidRDefault="00CE27FE" w:rsidP="00CE27FE">
            <w:pPr>
              <w:pStyle w:val="Tabletext"/>
              <w:rPr>
                <w:b w:val="0"/>
                <w:bCs/>
              </w:rPr>
            </w:pPr>
            <w:r w:rsidRPr="00B066E0">
              <w:rPr>
                <w:b w:val="0"/>
                <w:bCs/>
              </w:rPr>
              <w:t>1..1</w:t>
            </w:r>
          </w:p>
        </w:tc>
        <w:tc>
          <w:tcPr>
            <w:tcW w:w="3121" w:type="dxa"/>
          </w:tcPr>
          <w:p w14:paraId="0B51AE18" w14:textId="77777777" w:rsidR="00CE27FE" w:rsidRPr="00B066E0" w:rsidRDefault="00CE27FE" w:rsidP="00CE27FE">
            <w:pPr>
              <w:pStyle w:val="Tabletext"/>
              <w:rPr>
                <w:b w:val="0"/>
                <w:bCs/>
              </w:rPr>
            </w:pPr>
            <w:r w:rsidRPr="00B066E0">
              <w:rPr>
                <w:b w:val="0"/>
                <w:bCs/>
              </w:rPr>
              <w:t>Time Aspect – 3</w:t>
            </w:r>
            <w:r w:rsidRPr="00B066E0">
              <w:rPr>
                <w:b w:val="0"/>
                <w:bCs/>
                <w:vertAlign w:val="superscript"/>
              </w:rPr>
              <w:t>rd</w:t>
            </w:r>
            <w:r w:rsidRPr="00B066E0">
              <w:rPr>
                <w:b w:val="0"/>
                <w:bCs/>
              </w:rPr>
              <w:t xml:space="preserve"> part</w:t>
            </w:r>
          </w:p>
        </w:tc>
        <w:tc>
          <w:tcPr>
            <w:tcW w:w="2409" w:type="dxa"/>
            <w:vMerge/>
          </w:tcPr>
          <w:p w14:paraId="57908916" w14:textId="77777777" w:rsidR="00CE27FE" w:rsidRPr="00B066E0" w:rsidRDefault="00CE27FE" w:rsidP="00CE27FE">
            <w:pPr>
              <w:pStyle w:val="Tabletext"/>
              <w:rPr>
                <w:b w:val="0"/>
                <w:bCs/>
              </w:rPr>
            </w:pPr>
          </w:p>
        </w:tc>
      </w:tr>
      <w:tr w:rsidR="00CE27FE" w:rsidRPr="0030188E" w14:paraId="359A6E6F" w14:textId="77777777" w:rsidTr="00CE27FE">
        <w:trPr>
          <w:cantSplit/>
        </w:trPr>
        <w:tc>
          <w:tcPr>
            <w:tcW w:w="1566" w:type="dxa"/>
            <w:tcBorders>
              <w:bottom w:val="single" w:sz="4" w:space="0" w:color="auto"/>
            </w:tcBorders>
          </w:tcPr>
          <w:p w14:paraId="0505BE14" w14:textId="77777777" w:rsidR="00CE27FE" w:rsidRPr="00B066E0" w:rsidRDefault="00CE27FE" w:rsidP="00CE27FE">
            <w:pPr>
              <w:pStyle w:val="Tabletext"/>
              <w:rPr>
                <w:b w:val="0"/>
                <w:bCs/>
              </w:rPr>
            </w:pPr>
            <w:r w:rsidRPr="00B066E0">
              <w:rPr>
                <w:b w:val="0"/>
                <w:bCs/>
              </w:rPr>
              <w:t>System</w:t>
            </w:r>
          </w:p>
        </w:tc>
        <w:tc>
          <w:tcPr>
            <w:tcW w:w="1404" w:type="dxa"/>
            <w:tcBorders>
              <w:bottom w:val="single" w:sz="4" w:space="0" w:color="auto"/>
            </w:tcBorders>
          </w:tcPr>
          <w:p w14:paraId="4859A93B" w14:textId="77777777" w:rsidR="00CE27FE" w:rsidRPr="00B066E0" w:rsidRDefault="00CE27FE" w:rsidP="00CE27FE">
            <w:pPr>
              <w:pStyle w:val="Tabletext"/>
              <w:rPr>
                <w:b w:val="0"/>
                <w:bCs/>
              </w:rPr>
            </w:pPr>
            <w:r w:rsidRPr="00B066E0">
              <w:rPr>
                <w:b w:val="0"/>
                <w:bCs/>
              </w:rPr>
              <w:t xml:space="preserve">String, </w:t>
            </w:r>
            <w:r>
              <w:rPr>
                <w:b w:val="0"/>
                <w:bCs/>
              </w:rPr>
              <w:t>255</w:t>
            </w:r>
          </w:p>
        </w:tc>
        <w:tc>
          <w:tcPr>
            <w:tcW w:w="720" w:type="dxa"/>
            <w:tcBorders>
              <w:bottom w:val="single" w:sz="4" w:space="0" w:color="auto"/>
            </w:tcBorders>
          </w:tcPr>
          <w:p w14:paraId="32BE1D78" w14:textId="77777777" w:rsidR="00CE27FE" w:rsidRPr="00B066E0" w:rsidRDefault="00CE27FE" w:rsidP="00CE27FE">
            <w:pPr>
              <w:pStyle w:val="Tabletext"/>
              <w:rPr>
                <w:b w:val="0"/>
                <w:bCs/>
              </w:rPr>
            </w:pPr>
            <w:r w:rsidRPr="00B066E0">
              <w:rPr>
                <w:b w:val="0"/>
                <w:bCs/>
              </w:rPr>
              <w:t>1..1</w:t>
            </w:r>
          </w:p>
        </w:tc>
        <w:tc>
          <w:tcPr>
            <w:tcW w:w="3121" w:type="dxa"/>
            <w:tcBorders>
              <w:bottom w:val="single" w:sz="4" w:space="0" w:color="auto"/>
            </w:tcBorders>
          </w:tcPr>
          <w:p w14:paraId="427D40B0" w14:textId="77777777" w:rsidR="00CE27FE" w:rsidRPr="00B066E0" w:rsidRDefault="00CE27FE" w:rsidP="00CE27FE">
            <w:pPr>
              <w:pStyle w:val="Tabletext"/>
              <w:rPr>
                <w:b w:val="0"/>
                <w:bCs/>
              </w:rPr>
            </w:pPr>
            <w:r w:rsidRPr="00B066E0">
              <w:rPr>
                <w:b w:val="0"/>
                <w:bCs/>
              </w:rPr>
              <w:t>System (Sample) Type – 4th part</w:t>
            </w:r>
          </w:p>
        </w:tc>
        <w:tc>
          <w:tcPr>
            <w:tcW w:w="2409" w:type="dxa"/>
            <w:vMerge/>
          </w:tcPr>
          <w:p w14:paraId="5A276D56" w14:textId="77777777" w:rsidR="00CE27FE" w:rsidRPr="00B066E0" w:rsidRDefault="00CE27FE" w:rsidP="00CE27FE">
            <w:pPr>
              <w:pStyle w:val="Tabletext"/>
              <w:rPr>
                <w:b w:val="0"/>
                <w:bCs/>
              </w:rPr>
            </w:pPr>
          </w:p>
        </w:tc>
      </w:tr>
      <w:tr w:rsidR="00CE27FE" w:rsidRPr="0030188E" w14:paraId="48B98F8C" w14:textId="77777777" w:rsidTr="00CE27FE">
        <w:trPr>
          <w:cantSplit/>
        </w:trPr>
        <w:tc>
          <w:tcPr>
            <w:tcW w:w="1566" w:type="dxa"/>
            <w:tcBorders>
              <w:top w:val="single" w:sz="4" w:space="0" w:color="auto"/>
              <w:bottom w:val="single" w:sz="4" w:space="0" w:color="auto"/>
            </w:tcBorders>
          </w:tcPr>
          <w:p w14:paraId="008B6B46" w14:textId="77777777" w:rsidR="00CE27FE" w:rsidRPr="00B066E0" w:rsidRDefault="00CE27FE" w:rsidP="00CE27FE">
            <w:pPr>
              <w:pStyle w:val="Tabletext"/>
              <w:rPr>
                <w:b w:val="0"/>
                <w:bCs/>
              </w:rPr>
            </w:pPr>
            <w:r w:rsidRPr="00B066E0">
              <w:rPr>
                <w:b w:val="0"/>
                <w:bCs/>
              </w:rPr>
              <w:t>Scale</w:t>
            </w:r>
          </w:p>
        </w:tc>
        <w:tc>
          <w:tcPr>
            <w:tcW w:w="1404" w:type="dxa"/>
            <w:tcBorders>
              <w:top w:val="single" w:sz="4" w:space="0" w:color="auto"/>
              <w:bottom w:val="single" w:sz="4" w:space="0" w:color="auto"/>
            </w:tcBorders>
          </w:tcPr>
          <w:p w14:paraId="7F9F12D3" w14:textId="77777777" w:rsidR="00CE27FE" w:rsidRPr="00B066E0" w:rsidRDefault="00CE27FE" w:rsidP="00CE27FE">
            <w:pPr>
              <w:pStyle w:val="Tabletext"/>
              <w:rPr>
                <w:b w:val="0"/>
                <w:bCs/>
              </w:rPr>
            </w:pPr>
            <w:r w:rsidRPr="00B066E0">
              <w:rPr>
                <w:b w:val="0"/>
                <w:bCs/>
              </w:rPr>
              <w:t xml:space="preserve">String, </w:t>
            </w:r>
            <w:r>
              <w:rPr>
                <w:b w:val="0"/>
                <w:bCs/>
              </w:rPr>
              <w:t>255</w:t>
            </w:r>
          </w:p>
        </w:tc>
        <w:tc>
          <w:tcPr>
            <w:tcW w:w="720" w:type="dxa"/>
            <w:tcBorders>
              <w:top w:val="single" w:sz="4" w:space="0" w:color="auto"/>
              <w:bottom w:val="single" w:sz="4" w:space="0" w:color="auto"/>
            </w:tcBorders>
          </w:tcPr>
          <w:p w14:paraId="14A223EA" w14:textId="77777777" w:rsidR="00CE27FE" w:rsidRPr="00B066E0" w:rsidRDefault="00CE27FE" w:rsidP="00CE27FE">
            <w:pPr>
              <w:pStyle w:val="Tabletext"/>
              <w:rPr>
                <w:b w:val="0"/>
                <w:bCs/>
              </w:rPr>
            </w:pPr>
            <w:r w:rsidRPr="00B066E0">
              <w:rPr>
                <w:b w:val="0"/>
                <w:bCs/>
              </w:rPr>
              <w:t>1..1</w:t>
            </w:r>
          </w:p>
        </w:tc>
        <w:tc>
          <w:tcPr>
            <w:tcW w:w="3121" w:type="dxa"/>
            <w:tcBorders>
              <w:top w:val="single" w:sz="4" w:space="0" w:color="auto"/>
              <w:bottom w:val="single" w:sz="4" w:space="0" w:color="auto"/>
            </w:tcBorders>
          </w:tcPr>
          <w:p w14:paraId="2B487F62" w14:textId="77777777" w:rsidR="00CE27FE" w:rsidRPr="00B066E0" w:rsidRDefault="00CE27FE" w:rsidP="00CE27FE">
            <w:pPr>
              <w:pStyle w:val="Tabletext"/>
              <w:rPr>
                <w:b w:val="0"/>
                <w:bCs/>
              </w:rPr>
            </w:pPr>
            <w:r w:rsidRPr="00B066E0">
              <w:rPr>
                <w:b w:val="0"/>
                <w:bCs/>
              </w:rPr>
              <w:t>Type of Scale – 5</w:t>
            </w:r>
            <w:r w:rsidRPr="00B066E0">
              <w:rPr>
                <w:b w:val="0"/>
                <w:bCs/>
                <w:vertAlign w:val="superscript"/>
              </w:rPr>
              <w:t>th</w:t>
            </w:r>
            <w:r w:rsidRPr="00B066E0">
              <w:rPr>
                <w:b w:val="0"/>
                <w:bCs/>
              </w:rPr>
              <w:t xml:space="preserve"> part</w:t>
            </w:r>
          </w:p>
        </w:tc>
        <w:tc>
          <w:tcPr>
            <w:tcW w:w="2409" w:type="dxa"/>
            <w:vMerge/>
          </w:tcPr>
          <w:p w14:paraId="174B8EFF" w14:textId="77777777" w:rsidR="00CE27FE" w:rsidRPr="00B066E0" w:rsidRDefault="00CE27FE" w:rsidP="00CE27FE">
            <w:pPr>
              <w:pStyle w:val="Tabletext"/>
              <w:rPr>
                <w:b w:val="0"/>
                <w:bCs/>
              </w:rPr>
            </w:pPr>
          </w:p>
        </w:tc>
      </w:tr>
      <w:tr w:rsidR="00CE27FE" w:rsidRPr="0030188E" w14:paraId="33CBBAE6" w14:textId="77777777" w:rsidTr="00CE27FE">
        <w:trPr>
          <w:cantSplit/>
        </w:trPr>
        <w:tc>
          <w:tcPr>
            <w:tcW w:w="1566" w:type="dxa"/>
            <w:tcBorders>
              <w:top w:val="single" w:sz="4" w:space="0" w:color="auto"/>
              <w:bottom w:val="single" w:sz="4" w:space="0" w:color="auto"/>
            </w:tcBorders>
          </w:tcPr>
          <w:p w14:paraId="11C4CF92" w14:textId="77777777" w:rsidR="00CE27FE" w:rsidRPr="00B066E0" w:rsidRDefault="00CE27FE" w:rsidP="00CE27FE">
            <w:pPr>
              <w:pStyle w:val="Tabletext"/>
              <w:rPr>
                <w:b w:val="0"/>
                <w:bCs/>
              </w:rPr>
            </w:pPr>
            <w:r w:rsidRPr="00B066E0">
              <w:rPr>
                <w:b w:val="0"/>
                <w:bCs/>
              </w:rPr>
              <w:t>Method</w:t>
            </w:r>
          </w:p>
        </w:tc>
        <w:tc>
          <w:tcPr>
            <w:tcW w:w="1404" w:type="dxa"/>
            <w:tcBorders>
              <w:top w:val="single" w:sz="4" w:space="0" w:color="auto"/>
              <w:bottom w:val="single" w:sz="4" w:space="0" w:color="auto"/>
            </w:tcBorders>
          </w:tcPr>
          <w:p w14:paraId="465BC21F" w14:textId="77777777" w:rsidR="00CE27FE" w:rsidRPr="00B066E0" w:rsidRDefault="00CE27FE" w:rsidP="00CE27FE">
            <w:pPr>
              <w:pStyle w:val="Tabletext"/>
              <w:rPr>
                <w:b w:val="0"/>
                <w:bCs/>
              </w:rPr>
            </w:pPr>
            <w:r w:rsidRPr="00B066E0">
              <w:rPr>
                <w:b w:val="0"/>
                <w:bCs/>
              </w:rPr>
              <w:t xml:space="preserve">String, </w:t>
            </w:r>
            <w:r>
              <w:rPr>
                <w:b w:val="0"/>
                <w:bCs/>
              </w:rPr>
              <w:t>255</w:t>
            </w:r>
          </w:p>
        </w:tc>
        <w:tc>
          <w:tcPr>
            <w:tcW w:w="720" w:type="dxa"/>
            <w:tcBorders>
              <w:top w:val="single" w:sz="4" w:space="0" w:color="auto"/>
              <w:bottom w:val="single" w:sz="4" w:space="0" w:color="auto"/>
            </w:tcBorders>
          </w:tcPr>
          <w:p w14:paraId="4932EDF0" w14:textId="77777777" w:rsidR="00CE27FE" w:rsidRPr="00B066E0" w:rsidRDefault="00CE27FE" w:rsidP="00CE27FE">
            <w:pPr>
              <w:pStyle w:val="Tabletext"/>
              <w:rPr>
                <w:b w:val="0"/>
                <w:bCs/>
              </w:rPr>
            </w:pPr>
            <w:r>
              <w:rPr>
                <w:b w:val="0"/>
                <w:bCs/>
              </w:rPr>
              <w:t>0</w:t>
            </w:r>
            <w:r w:rsidRPr="00B066E0">
              <w:rPr>
                <w:b w:val="0"/>
                <w:bCs/>
              </w:rPr>
              <w:t>..1</w:t>
            </w:r>
          </w:p>
        </w:tc>
        <w:tc>
          <w:tcPr>
            <w:tcW w:w="3121" w:type="dxa"/>
            <w:tcBorders>
              <w:top w:val="single" w:sz="4" w:space="0" w:color="auto"/>
              <w:bottom w:val="single" w:sz="4" w:space="0" w:color="auto"/>
            </w:tcBorders>
          </w:tcPr>
          <w:p w14:paraId="41DEDF63" w14:textId="77777777" w:rsidR="00CE27FE" w:rsidRPr="00B066E0" w:rsidRDefault="00CE27FE" w:rsidP="00CE27FE">
            <w:pPr>
              <w:pStyle w:val="Tabletext"/>
              <w:rPr>
                <w:b w:val="0"/>
                <w:bCs/>
              </w:rPr>
            </w:pPr>
            <w:r w:rsidRPr="00B066E0">
              <w:rPr>
                <w:b w:val="0"/>
                <w:bCs/>
              </w:rPr>
              <w:t>Type of Method – 6</w:t>
            </w:r>
            <w:r w:rsidRPr="00B066E0">
              <w:rPr>
                <w:b w:val="0"/>
                <w:bCs/>
                <w:vertAlign w:val="superscript"/>
              </w:rPr>
              <w:t>th</w:t>
            </w:r>
            <w:r w:rsidRPr="00B066E0">
              <w:rPr>
                <w:b w:val="0"/>
                <w:bCs/>
              </w:rPr>
              <w:t xml:space="preserve"> part</w:t>
            </w:r>
          </w:p>
        </w:tc>
        <w:tc>
          <w:tcPr>
            <w:tcW w:w="2409" w:type="dxa"/>
            <w:vMerge/>
            <w:tcBorders>
              <w:bottom w:val="single" w:sz="4" w:space="0" w:color="auto"/>
            </w:tcBorders>
          </w:tcPr>
          <w:p w14:paraId="1E2CB295" w14:textId="77777777" w:rsidR="00CE27FE" w:rsidRPr="00B066E0" w:rsidRDefault="00CE27FE" w:rsidP="00CE27FE">
            <w:pPr>
              <w:pStyle w:val="Tabletext"/>
              <w:rPr>
                <w:b w:val="0"/>
                <w:bCs/>
              </w:rPr>
            </w:pPr>
          </w:p>
        </w:tc>
      </w:tr>
    </w:tbl>
    <w:p w14:paraId="29CDC8F2" w14:textId="77777777" w:rsidR="00CE27FE" w:rsidRPr="004C04C6" w:rsidRDefault="00CE27FE" w:rsidP="00CE27FE">
      <w:pPr>
        <w:rPr>
          <w:rFonts w:ascii="HelveticaNeueLT Pro 45 Lt" w:eastAsiaTheme="majorEastAsia" w:hAnsi="HelveticaNeueLT Pro 45 Lt" w:cstheme="majorBidi"/>
          <w:color w:val="000000" w:themeColor="text1"/>
          <w:sz w:val="26"/>
          <w:szCs w:val="26"/>
        </w:rPr>
      </w:pPr>
      <w:r w:rsidRPr="004C04C6">
        <w:br w:type="page"/>
      </w:r>
    </w:p>
    <w:p w14:paraId="56A2B904" w14:textId="77777777" w:rsidR="00CE27FE" w:rsidRPr="004C04C6" w:rsidRDefault="00CE27FE" w:rsidP="00473233">
      <w:pPr>
        <w:pStyle w:val="Heading3"/>
      </w:pPr>
      <w:bookmarkStart w:id="15" w:name="_Ref37338368"/>
      <w:r w:rsidRPr="004C04C6">
        <w:t>Data Definition Content</w:t>
      </w:r>
      <w:bookmarkEnd w:id="15"/>
    </w:p>
    <w:p w14:paraId="3BA0A4C5" w14:textId="77777777" w:rsidR="00CE27FE" w:rsidRPr="00215C50" w:rsidRDefault="00CE27FE" w:rsidP="00CE27FE">
      <w:pPr>
        <w:pStyle w:val="ListBullet4"/>
        <w:rPr>
          <w:lang w:val="en-US"/>
        </w:rPr>
      </w:pPr>
      <w:r w:rsidRPr="009C50E8">
        <w:rPr>
          <w:lang w:val="en-US"/>
        </w:rPr>
        <w:t xml:space="preserve">The </w:t>
      </w:r>
      <w:r w:rsidRPr="009C50E8">
        <w:rPr>
          <w:b/>
          <w:i/>
          <w:lang w:val="en-US"/>
        </w:rPr>
        <w:t>LOINC</w:t>
      </w:r>
      <w:r w:rsidRPr="009C50E8">
        <w:rPr>
          <w:lang w:val="en-US"/>
        </w:rPr>
        <w:t xml:space="preserve"> element can be left null for the case where no </w:t>
      </w:r>
      <w:r w:rsidRPr="009C50E8">
        <w:rPr>
          <w:b/>
          <w:i/>
          <w:lang w:val="en-US"/>
        </w:rPr>
        <w:t>LOINC Code</w:t>
      </w:r>
      <w:r w:rsidRPr="009C50E8">
        <w:rPr>
          <w:lang w:val="en-US"/>
        </w:rPr>
        <w:t xml:space="preserve"> is available for this specific </w:t>
      </w:r>
      <w:r w:rsidRPr="009C50E8">
        <w:rPr>
          <w:b/>
          <w:i/>
          <w:lang w:val="en-US"/>
        </w:rPr>
        <w:t>IVD Test Result</w:t>
      </w:r>
      <w:r w:rsidRPr="009C50E8">
        <w:rPr>
          <w:lang w:val="en-US"/>
        </w:rPr>
        <w:t>.</w:t>
      </w:r>
    </w:p>
    <w:p w14:paraId="1CDDFD00" w14:textId="77777777" w:rsidR="00CE27FE" w:rsidRPr="00215C50" w:rsidRDefault="00CE27FE" w:rsidP="00CE27FE">
      <w:pPr>
        <w:pStyle w:val="ListBullet4"/>
        <w:rPr>
          <w:lang w:val="en-US"/>
        </w:rPr>
      </w:pPr>
      <w:r>
        <w:rPr>
          <w:lang w:val="en-US"/>
        </w:rPr>
        <w:t>T</w:t>
      </w:r>
      <w:r w:rsidRPr="002F3F35">
        <w:rPr>
          <w:lang w:val="en-US"/>
        </w:rPr>
        <w:t xml:space="preserve">he combination of </w:t>
      </w:r>
      <w:r w:rsidRPr="002F3F35">
        <w:rPr>
          <w:b/>
          <w:i/>
          <w:lang w:val="en-US"/>
        </w:rPr>
        <w:t>Manufacturer</w:t>
      </w:r>
      <w:r w:rsidRPr="002F3F35">
        <w:rPr>
          <w:lang w:val="en-US"/>
        </w:rPr>
        <w:t xml:space="preserve">, </w:t>
      </w:r>
      <w:r w:rsidRPr="002F3F35">
        <w:rPr>
          <w:b/>
          <w:i/>
          <w:lang w:val="en-US"/>
        </w:rPr>
        <w:t>Model</w:t>
      </w:r>
      <w:r w:rsidRPr="002F3F35">
        <w:rPr>
          <w:lang w:val="en-US"/>
        </w:rPr>
        <w:t xml:space="preserve">, </w:t>
      </w:r>
      <w:r w:rsidRPr="002F3F35">
        <w:rPr>
          <w:b/>
          <w:i/>
          <w:lang w:val="en-US"/>
        </w:rPr>
        <w:t xml:space="preserve">Vendor Analyte Code </w:t>
      </w:r>
      <w:r w:rsidRPr="002F3F35">
        <w:rPr>
          <w:lang w:val="en-US"/>
        </w:rPr>
        <w:t xml:space="preserve">(represents the </w:t>
      </w:r>
      <w:r w:rsidRPr="002F3F35">
        <w:rPr>
          <w:b/>
          <w:i/>
          <w:lang w:val="en-US"/>
        </w:rPr>
        <w:t>Vendor Transmission Code</w:t>
      </w:r>
      <w:r w:rsidRPr="002F3F35">
        <w:rPr>
          <w:lang w:val="en-US"/>
        </w:rPr>
        <w:t xml:space="preserve"> or </w:t>
      </w:r>
      <w:r w:rsidRPr="002F3F35">
        <w:rPr>
          <w:b/>
          <w:i/>
          <w:lang w:val="en-US"/>
        </w:rPr>
        <w:t>Vendor Analyte Identifier</w:t>
      </w:r>
      <w:r w:rsidRPr="002F3F35">
        <w:rPr>
          <w:lang w:val="en-US"/>
        </w:rPr>
        <w:t xml:space="preserve">), and </w:t>
      </w:r>
      <w:r w:rsidRPr="002F3F35">
        <w:rPr>
          <w:b/>
          <w:i/>
          <w:lang w:val="en-US"/>
        </w:rPr>
        <w:t>LOINC Code</w:t>
      </w:r>
      <w:r w:rsidRPr="002F3F35">
        <w:rPr>
          <w:lang w:val="en-US"/>
        </w:rPr>
        <w:t xml:space="preserve"> must be unique </w:t>
      </w:r>
      <w:r w:rsidRPr="008B10EF">
        <w:rPr>
          <w:u w:val="single"/>
          <w:lang w:val="en-US"/>
        </w:rPr>
        <w:t>based on the mandatory items</w:t>
      </w:r>
      <w:r w:rsidRPr="002F3F35">
        <w:rPr>
          <w:lang w:val="en-US"/>
        </w:rPr>
        <w:t xml:space="preserve"> identified for each element</w:t>
      </w:r>
      <w:r w:rsidRPr="002F3F35">
        <w:rPr>
          <w:b/>
          <w:i/>
          <w:lang w:val="en-US"/>
        </w:rPr>
        <w:t>.</w:t>
      </w:r>
    </w:p>
    <w:p w14:paraId="0B3F9DE7" w14:textId="77777777" w:rsidR="00CE27FE" w:rsidRPr="00215C50" w:rsidRDefault="00CE27FE" w:rsidP="00CE27FE">
      <w:pPr>
        <w:pStyle w:val="ListBullet4"/>
        <w:rPr>
          <w:lang w:val="en-US"/>
        </w:rPr>
      </w:pPr>
      <w:r w:rsidRPr="002F3F35">
        <w:rPr>
          <w:lang w:val="en-US"/>
        </w:rPr>
        <w:t>The definition accommodates automated IVD instruments</w:t>
      </w:r>
      <w:r>
        <w:rPr>
          <w:lang w:val="en-US"/>
        </w:rPr>
        <w:t xml:space="preserve"> and tests kits</w:t>
      </w:r>
      <w:r w:rsidRPr="002F3F35">
        <w:rPr>
          <w:lang w:val="en-US"/>
        </w:rPr>
        <w:t xml:space="preserve">. </w:t>
      </w:r>
      <w:r w:rsidRPr="00EC6EA6">
        <w:rPr>
          <w:lang w:val="en-US"/>
        </w:rPr>
        <w:t>For a test</w:t>
      </w:r>
      <w:r>
        <w:rPr>
          <w:lang w:val="en-US"/>
        </w:rPr>
        <w:t xml:space="preserve"> kit</w:t>
      </w:r>
      <w:r w:rsidRPr="00EC6EA6">
        <w:rPr>
          <w:lang w:val="en-US"/>
        </w:rPr>
        <w:t>, the following is required:</w:t>
      </w:r>
    </w:p>
    <w:p w14:paraId="22996389" w14:textId="77777777" w:rsidR="00CE27FE" w:rsidRPr="00215C50" w:rsidRDefault="00CE27FE" w:rsidP="00CE27FE">
      <w:pPr>
        <w:pStyle w:val="ListBullet4"/>
        <w:numPr>
          <w:ilvl w:val="0"/>
          <w:numId w:val="37"/>
        </w:numPr>
        <w:rPr>
          <w:lang w:val="en-US"/>
        </w:rPr>
      </w:pPr>
      <w:r w:rsidRPr="00B066E0">
        <w:rPr>
          <w:b/>
          <w:bCs/>
          <w:lang w:val="en-US"/>
        </w:rPr>
        <w:t>Model</w:t>
      </w:r>
      <w:r w:rsidRPr="004C04C6">
        <w:rPr>
          <w:lang w:val="en-US"/>
        </w:rPr>
        <w:t xml:space="preserve"> will be populated with the vendor Test Kit Name.</w:t>
      </w:r>
    </w:p>
    <w:p w14:paraId="718C5695" w14:textId="77777777" w:rsidR="00CE27FE" w:rsidRPr="00215C50" w:rsidRDefault="00CE27FE" w:rsidP="00CE27FE">
      <w:pPr>
        <w:pStyle w:val="ListBullet4"/>
        <w:numPr>
          <w:ilvl w:val="0"/>
          <w:numId w:val="37"/>
        </w:numPr>
        <w:rPr>
          <w:lang w:val="en-US"/>
        </w:rPr>
      </w:pPr>
      <w:r w:rsidRPr="00B066E0">
        <w:rPr>
          <w:b/>
          <w:bCs/>
          <w:lang w:val="en-US"/>
        </w:rPr>
        <w:t>Vendor Analyte Code</w:t>
      </w:r>
      <w:r w:rsidRPr="004C04C6">
        <w:rPr>
          <w:lang w:val="en-US"/>
        </w:rPr>
        <w:t xml:space="preserve"> will be populated with </w:t>
      </w:r>
      <w:r w:rsidRPr="00B066E0">
        <w:rPr>
          <w:b/>
          <w:bCs/>
          <w:lang w:val="en-US"/>
        </w:rPr>
        <w:t>Vendor Analyte Identifier</w:t>
      </w:r>
      <w:r w:rsidRPr="004C04C6">
        <w:rPr>
          <w:lang w:val="en-US"/>
        </w:rPr>
        <w:t>.</w:t>
      </w:r>
    </w:p>
    <w:p w14:paraId="2FE28DD6" w14:textId="77777777" w:rsidR="00CE27FE" w:rsidRPr="004C04C6" w:rsidRDefault="00CE27FE" w:rsidP="00CE27FE">
      <w:r w:rsidRPr="004C04C6">
        <w:t xml:space="preserve">The following table describes the data elements of the definition, which </w:t>
      </w:r>
      <w:proofErr w:type="gramStart"/>
      <w:r w:rsidRPr="004C04C6">
        <w:t>is considered to be</w:t>
      </w:r>
      <w:proofErr w:type="gramEnd"/>
      <w:r w:rsidRPr="004C04C6">
        <w:t xml:space="preserve"> one instance of the LOINC mapping publication for a particular </w:t>
      </w:r>
      <w:r>
        <w:t>publisher</w:t>
      </w:r>
      <w:r w:rsidRPr="004C04C6">
        <w:t>.</w:t>
      </w:r>
    </w:p>
    <w:tbl>
      <w:tblPr>
        <w:tblStyle w:val="TableGrid"/>
        <w:tblpPr w:leftFromText="180" w:rightFromText="180" w:vertAnchor="text" w:horzAnchor="margin" w:tblpXSpec="right" w:tblpY="126"/>
        <w:tblW w:w="9383" w:type="dxa"/>
        <w:tblLayout w:type="fixed"/>
        <w:tblLook w:val="04A0" w:firstRow="1" w:lastRow="0" w:firstColumn="1" w:lastColumn="0" w:noHBand="0" w:noVBand="1"/>
      </w:tblPr>
      <w:tblGrid>
        <w:gridCol w:w="1283"/>
        <w:gridCol w:w="270"/>
        <w:gridCol w:w="1800"/>
        <w:gridCol w:w="2137"/>
        <w:gridCol w:w="833"/>
        <w:gridCol w:w="3060"/>
      </w:tblGrid>
      <w:tr w:rsidR="00CE27FE" w:rsidRPr="004C04C6" w14:paraId="43E7CF28" w14:textId="77777777" w:rsidTr="00CE27FE">
        <w:trPr>
          <w:cantSplit/>
          <w:tblHeader/>
        </w:trPr>
        <w:tc>
          <w:tcPr>
            <w:tcW w:w="5490" w:type="dxa"/>
            <w:gridSpan w:val="4"/>
            <w:tcBorders>
              <w:top w:val="single" w:sz="4" w:space="0" w:color="auto"/>
              <w:bottom w:val="single" w:sz="4" w:space="0" w:color="auto"/>
            </w:tcBorders>
            <w:shd w:val="clear" w:color="auto" w:fill="BFBFBF" w:themeFill="background1" w:themeFillShade="BF"/>
          </w:tcPr>
          <w:p w14:paraId="21682063" w14:textId="77777777" w:rsidR="00CE27FE" w:rsidRPr="004C04C6" w:rsidRDefault="00CE27FE" w:rsidP="00CE27FE">
            <w:pPr>
              <w:pStyle w:val="Tabletext"/>
            </w:pPr>
            <w:commentRangeStart w:id="16"/>
            <w:commentRangeStart w:id="17"/>
            <w:commentRangeStart w:id="18"/>
            <w:commentRangeStart w:id="19"/>
            <w:r w:rsidRPr="004C04C6">
              <w:t>Element</w:t>
            </w:r>
          </w:p>
        </w:tc>
        <w:tc>
          <w:tcPr>
            <w:tcW w:w="833" w:type="dxa"/>
            <w:tcBorders>
              <w:top w:val="single" w:sz="4" w:space="0" w:color="auto"/>
              <w:bottom w:val="single" w:sz="4" w:space="0" w:color="auto"/>
            </w:tcBorders>
            <w:shd w:val="clear" w:color="auto" w:fill="BFBFBF" w:themeFill="background1" w:themeFillShade="BF"/>
          </w:tcPr>
          <w:p w14:paraId="32AF410B" w14:textId="77777777" w:rsidR="00CE27FE" w:rsidRPr="004C04C6" w:rsidRDefault="00CE27FE" w:rsidP="00CE27FE">
            <w:pPr>
              <w:pStyle w:val="Tabletext"/>
            </w:pPr>
            <w:r w:rsidRPr="004C04C6">
              <w:t>Card.</w:t>
            </w:r>
          </w:p>
        </w:tc>
        <w:tc>
          <w:tcPr>
            <w:tcW w:w="3060" w:type="dxa"/>
            <w:tcBorders>
              <w:top w:val="single" w:sz="4" w:space="0" w:color="auto"/>
            </w:tcBorders>
            <w:shd w:val="clear" w:color="auto" w:fill="BFBFBF" w:themeFill="background1" w:themeFillShade="BF"/>
          </w:tcPr>
          <w:p w14:paraId="085F1CFD" w14:textId="77777777" w:rsidR="00CE27FE" w:rsidRPr="004C04C6" w:rsidRDefault="00CE27FE" w:rsidP="00CE27FE">
            <w:pPr>
              <w:pStyle w:val="Tabletext"/>
            </w:pPr>
            <w:r w:rsidRPr="004C04C6">
              <w:t>Comments</w:t>
            </w:r>
          </w:p>
        </w:tc>
      </w:tr>
      <w:tr w:rsidR="00CE27FE" w:rsidRPr="004C04C6" w14:paraId="3DE23974" w14:textId="77777777" w:rsidTr="00CE27FE">
        <w:trPr>
          <w:cantSplit/>
        </w:trPr>
        <w:tc>
          <w:tcPr>
            <w:tcW w:w="3353" w:type="dxa"/>
            <w:gridSpan w:val="3"/>
            <w:tcBorders>
              <w:bottom w:val="nil"/>
              <w:right w:val="nil"/>
            </w:tcBorders>
          </w:tcPr>
          <w:p w14:paraId="2F0302AE" w14:textId="77777777" w:rsidR="00CE27FE" w:rsidRPr="004C04C6" w:rsidRDefault="00CE27FE" w:rsidP="00CE27FE">
            <w:pPr>
              <w:pStyle w:val="Tabletext"/>
            </w:pPr>
            <w:r w:rsidRPr="004C04C6">
              <w:t>IVD LOINC Publication</w:t>
            </w:r>
          </w:p>
        </w:tc>
        <w:tc>
          <w:tcPr>
            <w:tcW w:w="2137" w:type="dxa"/>
            <w:tcBorders>
              <w:left w:val="nil"/>
              <w:bottom w:val="single" w:sz="4" w:space="0" w:color="auto"/>
              <w:right w:val="single" w:sz="4" w:space="0" w:color="auto"/>
            </w:tcBorders>
          </w:tcPr>
          <w:p w14:paraId="218A9C30" w14:textId="77777777" w:rsidR="00CE27FE" w:rsidRPr="004C04C6" w:rsidRDefault="00CE27FE" w:rsidP="00CE27FE">
            <w:pPr>
              <w:pStyle w:val="Tabletext"/>
            </w:pPr>
          </w:p>
        </w:tc>
        <w:tc>
          <w:tcPr>
            <w:tcW w:w="833" w:type="dxa"/>
            <w:tcBorders>
              <w:left w:val="single" w:sz="4" w:space="0" w:color="auto"/>
              <w:right w:val="single" w:sz="4" w:space="0" w:color="auto"/>
            </w:tcBorders>
          </w:tcPr>
          <w:p w14:paraId="5D96A225" w14:textId="77777777" w:rsidR="00CE27FE" w:rsidRPr="004C04C6" w:rsidRDefault="00CE27FE" w:rsidP="00CE27FE">
            <w:pPr>
              <w:pStyle w:val="Tabletext"/>
            </w:pPr>
            <w:r w:rsidRPr="004C04C6">
              <w:t>1..1</w:t>
            </w:r>
          </w:p>
        </w:tc>
        <w:tc>
          <w:tcPr>
            <w:tcW w:w="3060" w:type="dxa"/>
          </w:tcPr>
          <w:p w14:paraId="76D754EF" w14:textId="77777777" w:rsidR="00CE27FE" w:rsidRPr="004C04C6" w:rsidRDefault="00CE27FE" w:rsidP="00CE27FE">
            <w:pPr>
              <w:pStyle w:val="Tabletext"/>
            </w:pPr>
            <w:r w:rsidRPr="004C04C6">
              <w:t>The mapping publication</w:t>
            </w:r>
          </w:p>
        </w:tc>
      </w:tr>
      <w:tr w:rsidR="00CE27FE" w:rsidRPr="004C04C6" w14:paraId="37381012" w14:textId="77777777" w:rsidTr="00CE27FE">
        <w:trPr>
          <w:cantSplit/>
        </w:trPr>
        <w:tc>
          <w:tcPr>
            <w:tcW w:w="1553" w:type="dxa"/>
            <w:gridSpan w:val="2"/>
            <w:tcBorders>
              <w:top w:val="nil"/>
              <w:bottom w:val="nil"/>
            </w:tcBorders>
          </w:tcPr>
          <w:p w14:paraId="2AC2EEE2" w14:textId="77777777" w:rsidR="00CE27FE" w:rsidRPr="004C04C6" w:rsidRDefault="00CE27FE" w:rsidP="00CE27FE">
            <w:pPr>
              <w:pStyle w:val="Tabletext"/>
            </w:pPr>
          </w:p>
        </w:tc>
        <w:tc>
          <w:tcPr>
            <w:tcW w:w="1800" w:type="dxa"/>
            <w:tcBorders>
              <w:top w:val="single" w:sz="4" w:space="0" w:color="auto"/>
              <w:bottom w:val="single" w:sz="4" w:space="0" w:color="auto"/>
              <w:right w:val="nil"/>
            </w:tcBorders>
          </w:tcPr>
          <w:p w14:paraId="1353227B" w14:textId="25D941EB" w:rsidR="00CE27FE" w:rsidRPr="004C04C6" w:rsidRDefault="00CE27FE" w:rsidP="00CE27FE">
            <w:pPr>
              <w:pStyle w:val="Tabletext"/>
            </w:pPr>
            <w:r>
              <w:t>LIVD</w:t>
            </w:r>
            <w:r w:rsidRPr="004C04C6">
              <w:t xml:space="preserve"> Publication</w:t>
            </w:r>
          </w:p>
        </w:tc>
        <w:tc>
          <w:tcPr>
            <w:tcW w:w="2137" w:type="dxa"/>
            <w:tcBorders>
              <w:top w:val="single" w:sz="4" w:space="0" w:color="auto"/>
              <w:left w:val="nil"/>
              <w:bottom w:val="single" w:sz="4" w:space="0" w:color="auto"/>
              <w:right w:val="single" w:sz="4" w:space="0" w:color="auto"/>
            </w:tcBorders>
          </w:tcPr>
          <w:p w14:paraId="775E7C02" w14:textId="77777777" w:rsidR="00CE27FE" w:rsidRPr="004C04C6" w:rsidRDefault="00CE27FE" w:rsidP="00CE27FE">
            <w:pPr>
              <w:pStyle w:val="Tabletext"/>
            </w:pPr>
          </w:p>
        </w:tc>
        <w:tc>
          <w:tcPr>
            <w:tcW w:w="833" w:type="dxa"/>
            <w:tcBorders>
              <w:left w:val="single" w:sz="4" w:space="0" w:color="auto"/>
              <w:right w:val="single" w:sz="4" w:space="0" w:color="auto"/>
            </w:tcBorders>
          </w:tcPr>
          <w:p w14:paraId="7EC842D2" w14:textId="77777777" w:rsidR="00CE27FE" w:rsidRPr="004C04C6" w:rsidRDefault="00CE27FE" w:rsidP="00CE27FE">
            <w:pPr>
              <w:pStyle w:val="Tabletext"/>
            </w:pPr>
            <w:r w:rsidRPr="004C04C6">
              <w:t>1..1</w:t>
            </w:r>
          </w:p>
        </w:tc>
        <w:tc>
          <w:tcPr>
            <w:tcW w:w="3060" w:type="dxa"/>
          </w:tcPr>
          <w:p w14:paraId="63B87A48" w14:textId="77777777" w:rsidR="00CE27FE" w:rsidRPr="004C04C6" w:rsidRDefault="00CE27FE" w:rsidP="00CE27FE">
            <w:pPr>
              <w:pStyle w:val="Tabletext"/>
            </w:pPr>
            <w:r w:rsidRPr="004C04C6">
              <w:t>Vendor version information</w:t>
            </w:r>
          </w:p>
        </w:tc>
      </w:tr>
      <w:tr w:rsidR="00CE27FE" w:rsidRPr="004C04C6" w14:paraId="60703348" w14:textId="77777777" w:rsidTr="00CE27FE">
        <w:trPr>
          <w:cantSplit/>
        </w:trPr>
        <w:tc>
          <w:tcPr>
            <w:tcW w:w="1553" w:type="dxa"/>
            <w:gridSpan w:val="2"/>
            <w:tcBorders>
              <w:top w:val="nil"/>
              <w:bottom w:val="nil"/>
              <w:right w:val="nil"/>
            </w:tcBorders>
          </w:tcPr>
          <w:p w14:paraId="7CCD5C4D" w14:textId="77777777" w:rsidR="00CE27FE" w:rsidRPr="004C04C6" w:rsidRDefault="00CE27FE" w:rsidP="00CE27FE">
            <w:pPr>
              <w:pStyle w:val="Tabletext"/>
            </w:pPr>
          </w:p>
        </w:tc>
        <w:tc>
          <w:tcPr>
            <w:tcW w:w="3937" w:type="dxa"/>
            <w:gridSpan w:val="2"/>
            <w:tcBorders>
              <w:bottom w:val="nil"/>
              <w:right w:val="single" w:sz="4" w:space="0" w:color="auto"/>
            </w:tcBorders>
          </w:tcPr>
          <w:p w14:paraId="6D5AE709" w14:textId="77777777" w:rsidR="00CE27FE" w:rsidRPr="004C04C6" w:rsidRDefault="00CE27FE" w:rsidP="00CE27FE">
            <w:pPr>
              <w:pStyle w:val="Tabletext"/>
            </w:pPr>
            <w:r w:rsidRPr="004C04C6">
              <w:t>Vendor Equipment Mapping</w:t>
            </w:r>
          </w:p>
        </w:tc>
        <w:tc>
          <w:tcPr>
            <w:tcW w:w="833" w:type="dxa"/>
            <w:tcBorders>
              <w:left w:val="single" w:sz="4" w:space="0" w:color="auto"/>
            </w:tcBorders>
          </w:tcPr>
          <w:p w14:paraId="535E4838" w14:textId="77777777" w:rsidR="00CE27FE" w:rsidRPr="004C04C6" w:rsidRDefault="00CE27FE" w:rsidP="00CE27FE">
            <w:pPr>
              <w:pStyle w:val="Tabletext"/>
            </w:pPr>
            <w:proofErr w:type="gramStart"/>
            <w:r w:rsidRPr="004C04C6">
              <w:t>1..*</w:t>
            </w:r>
            <w:proofErr w:type="gramEnd"/>
          </w:p>
        </w:tc>
        <w:tc>
          <w:tcPr>
            <w:tcW w:w="3060" w:type="dxa"/>
          </w:tcPr>
          <w:p w14:paraId="6305613C" w14:textId="77777777" w:rsidR="00CE27FE" w:rsidRPr="004C04C6" w:rsidRDefault="00CE27FE" w:rsidP="00CE27FE">
            <w:pPr>
              <w:pStyle w:val="Tabletext"/>
            </w:pPr>
            <w:r w:rsidRPr="004C04C6">
              <w:t>Mappings may be defined for multiple equipment</w:t>
            </w:r>
          </w:p>
        </w:tc>
      </w:tr>
      <w:tr w:rsidR="00CE27FE" w:rsidRPr="004C04C6" w14:paraId="685F7B56" w14:textId="77777777" w:rsidTr="00CE27FE">
        <w:trPr>
          <w:cantSplit/>
        </w:trPr>
        <w:tc>
          <w:tcPr>
            <w:tcW w:w="1553" w:type="dxa"/>
            <w:gridSpan w:val="2"/>
            <w:tcBorders>
              <w:top w:val="nil"/>
              <w:bottom w:val="nil"/>
            </w:tcBorders>
          </w:tcPr>
          <w:p w14:paraId="4B6C2DFE" w14:textId="77777777" w:rsidR="00CE27FE" w:rsidRPr="004C04C6" w:rsidRDefault="00CE27FE" w:rsidP="00CE27FE">
            <w:pPr>
              <w:pStyle w:val="Tabletext"/>
            </w:pPr>
          </w:p>
        </w:tc>
        <w:tc>
          <w:tcPr>
            <w:tcW w:w="1800" w:type="dxa"/>
            <w:tcBorders>
              <w:top w:val="nil"/>
              <w:bottom w:val="nil"/>
              <w:right w:val="single" w:sz="4" w:space="0" w:color="auto"/>
            </w:tcBorders>
          </w:tcPr>
          <w:p w14:paraId="102D4524" w14:textId="77777777" w:rsidR="00CE27FE" w:rsidRPr="004C04C6" w:rsidRDefault="00CE27FE" w:rsidP="00CE27FE">
            <w:pPr>
              <w:pStyle w:val="Tabletext"/>
            </w:pPr>
          </w:p>
        </w:tc>
        <w:tc>
          <w:tcPr>
            <w:tcW w:w="2137" w:type="dxa"/>
            <w:tcBorders>
              <w:left w:val="single" w:sz="4" w:space="0" w:color="auto"/>
              <w:bottom w:val="single" w:sz="4" w:space="0" w:color="auto"/>
              <w:right w:val="single" w:sz="4" w:space="0" w:color="auto"/>
            </w:tcBorders>
          </w:tcPr>
          <w:p w14:paraId="33C21DB7" w14:textId="77777777" w:rsidR="00CE27FE" w:rsidRPr="004C04C6" w:rsidRDefault="00CE27FE" w:rsidP="00CE27FE">
            <w:pPr>
              <w:pStyle w:val="Tabletext"/>
            </w:pPr>
            <w:r w:rsidRPr="004C04C6">
              <w:t>Equipment</w:t>
            </w:r>
          </w:p>
        </w:tc>
        <w:tc>
          <w:tcPr>
            <w:tcW w:w="833" w:type="dxa"/>
            <w:tcBorders>
              <w:left w:val="single" w:sz="4" w:space="0" w:color="auto"/>
            </w:tcBorders>
          </w:tcPr>
          <w:p w14:paraId="38FAD2B1" w14:textId="77777777" w:rsidR="00CE27FE" w:rsidRPr="004C04C6" w:rsidRDefault="00CE27FE" w:rsidP="00CE27FE">
            <w:pPr>
              <w:pStyle w:val="Tabletext"/>
            </w:pPr>
            <w:r w:rsidRPr="004C04C6">
              <w:t>1..1</w:t>
            </w:r>
          </w:p>
        </w:tc>
        <w:tc>
          <w:tcPr>
            <w:tcW w:w="3060" w:type="dxa"/>
          </w:tcPr>
          <w:p w14:paraId="0971A8A5" w14:textId="77777777" w:rsidR="00CE27FE" w:rsidRPr="004C04C6" w:rsidRDefault="00CE27FE" w:rsidP="00CE27FE">
            <w:pPr>
              <w:pStyle w:val="Tabletext"/>
            </w:pPr>
            <w:r w:rsidRPr="004C04C6">
              <w:t>The equipment or manual test</w:t>
            </w:r>
          </w:p>
        </w:tc>
      </w:tr>
      <w:tr w:rsidR="00CE27FE" w:rsidRPr="004C04C6" w14:paraId="64A3814F" w14:textId="77777777" w:rsidTr="00CE27FE">
        <w:trPr>
          <w:cantSplit/>
        </w:trPr>
        <w:tc>
          <w:tcPr>
            <w:tcW w:w="1283" w:type="dxa"/>
            <w:vMerge w:val="restart"/>
            <w:tcBorders>
              <w:top w:val="nil"/>
              <w:bottom w:val="nil"/>
              <w:right w:val="nil"/>
            </w:tcBorders>
          </w:tcPr>
          <w:p w14:paraId="320B7154" w14:textId="77777777" w:rsidR="00CE27FE" w:rsidRPr="004C04C6" w:rsidRDefault="00CE27FE" w:rsidP="00CE27FE">
            <w:pPr>
              <w:pStyle w:val="Tabletext"/>
            </w:pPr>
          </w:p>
        </w:tc>
        <w:tc>
          <w:tcPr>
            <w:tcW w:w="270" w:type="dxa"/>
            <w:tcBorders>
              <w:top w:val="nil"/>
              <w:left w:val="nil"/>
              <w:bottom w:val="nil"/>
              <w:right w:val="single" w:sz="4" w:space="0" w:color="auto"/>
            </w:tcBorders>
          </w:tcPr>
          <w:p w14:paraId="7C076A3F" w14:textId="77777777" w:rsidR="00CE27FE" w:rsidRPr="004C04C6" w:rsidRDefault="00CE27FE" w:rsidP="00CE27FE">
            <w:pPr>
              <w:pStyle w:val="Tabletext"/>
            </w:pPr>
          </w:p>
        </w:tc>
        <w:tc>
          <w:tcPr>
            <w:tcW w:w="1800" w:type="dxa"/>
            <w:tcBorders>
              <w:top w:val="nil"/>
              <w:left w:val="single" w:sz="4" w:space="0" w:color="auto"/>
              <w:bottom w:val="nil"/>
              <w:right w:val="single" w:sz="4" w:space="0" w:color="auto"/>
            </w:tcBorders>
          </w:tcPr>
          <w:p w14:paraId="4383DEB5" w14:textId="77777777" w:rsidR="00CE27FE" w:rsidRPr="004C04C6" w:rsidRDefault="00CE27FE" w:rsidP="00CE27FE">
            <w:pPr>
              <w:pStyle w:val="Tabletext"/>
            </w:pPr>
          </w:p>
        </w:tc>
        <w:tc>
          <w:tcPr>
            <w:tcW w:w="2137" w:type="dxa"/>
            <w:tcBorders>
              <w:left w:val="single" w:sz="4" w:space="0" w:color="auto"/>
              <w:bottom w:val="nil"/>
              <w:right w:val="single" w:sz="4" w:space="0" w:color="auto"/>
            </w:tcBorders>
          </w:tcPr>
          <w:p w14:paraId="3503AE48" w14:textId="77777777" w:rsidR="00CE27FE" w:rsidRPr="004C04C6" w:rsidRDefault="00CE27FE" w:rsidP="00CE27FE">
            <w:pPr>
              <w:pStyle w:val="Tabletext"/>
            </w:pPr>
            <w:r w:rsidRPr="004C04C6">
              <w:t>IVD Test Mapping</w:t>
            </w:r>
          </w:p>
        </w:tc>
        <w:tc>
          <w:tcPr>
            <w:tcW w:w="833" w:type="dxa"/>
            <w:tcBorders>
              <w:left w:val="single" w:sz="4" w:space="0" w:color="auto"/>
            </w:tcBorders>
          </w:tcPr>
          <w:p w14:paraId="6941C28A" w14:textId="77777777" w:rsidR="00CE27FE" w:rsidRPr="004C04C6" w:rsidRDefault="00CE27FE" w:rsidP="00CE27FE">
            <w:pPr>
              <w:pStyle w:val="Tabletext"/>
            </w:pPr>
            <w:r w:rsidRPr="004C04C6">
              <w:t>1.*</w:t>
            </w:r>
          </w:p>
        </w:tc>
        <w:tc>
          <w:tcPr>
            <w:tcW w:w="3060" w:type="dxa"/>
          </w:tcPr>
          <w:p w14:paraId="1AD125CA" w14:textId="77777777" w:rsidR="00CE27FE" w:rsidRPr="004C04C6" w:rsidRDefault="00CE27FE" w:rsidP="00CE27FE">
            <w:pPr>
              <w:pStyle w:val="Tabletext"/>
            </w:pPr>
            <w:r w:rsidRPr="004C04C6">
              <w:t>One or more LOINC mappings</w:t>
            </w:r>
          </w:p>
        </w:tc>
      </w:tr>
      <w:tr w:rsidR="00CE27FE" w:rsidRPr="004C04C6" w14:paraId="0671BBFF" w14:textId="77777777" w:rsidTr="00CE27FE">
        <w:trPr>
          <w:cantSplit/>
        </w:trPr>
        <w:tc>
          <w:tcPr>
            <w:tcW w:w="1283" w:type="dxa"/>
            <w:vMerge/>
            <w:tcBorders>
              <w:top w:val="nil"/>
              <w:bottom w:val="nil"/>
              <w:right w:val="nil"/>
            </w:tcBorders>
          </w:tcPr>
          <w:p w14:paraId="6FA4A61D" w14:textId="77777777" w:rsidR="00CE27FE" w:rsidRPr="004C04C6" w:rsidRDefault="00CE27FE" w:rsidP="00CE27FE">
            <w:pPr>
              <w:pStyle w:val="Tabletext"/>
            </w:pPr>
          </w:p>
        </w:tc>
        <w:tc>
          <w:tcPr>
            <w:tcW w:w="270" w:type="dxa"/>
            <w:tcBorders>
              <w:top w:val="nil"/>
              <w:left w:val="nil"/>
              <w:bottom w:val="nil"/>
            </w:tcBorders>
          </w:tcPr>
          <w:p w14:paraId="1A858E63" w14:textId="77777777" w:rsidR="00CE27FE" w:rsidRPr="004C04C6" w:rsidRDefault="00CE27FE" w:rsidP="00CE27FE">
            <w:pPr>
              <w:pStyle w:val="Tabletext"/>
            </w:pPr>
          </w:p>
        </w:tc>
        <w:tc>
          <w:tcPr>
            <w:tcW w:w="1800" w:type="dxa"/>
            <w:tcBorders>
              <w:top w:val="nil"/>
              <w:bottom w:val="nil"/>
            </w:tcBorders>
          </w:tcPr>
          <w:p w14:paraId="10B43C84" w14:textId="77777777" w:rsidR="00CE27FE" w:rsidRPr="004C04C6" w:rsidRDefault="00CE27FE" w:rsidP="00CE27FE">
            <w:pPr>
              <w:pStyle w:val="Tabletext"/>
            </w:pPr>
          </w:p>
        </w:tc>
        <w:tc>
          <w:tcPr>
            <w:tcW w:w="2137" w:type="dxa"/>
            <w:tcBorders>
              <w:top w:val="nil"/>
              <w:bottom w:val="nil"/>
            </w:tcBorders>
          </w:tcPr>
          <w:p w14:paraId="6D82518B" w14:textId="77777777" w:rsidR="00CE27FE" w:rsidRPr="004C04C6" w:rsidRDefault="00CE27FE" w:rsidP="00CE27FE">
            <w:pPr>
              <w:pStyle w:val="Tabletext"/>
            </w:pPr>
            <w:r w:rsidRPr="004C04C6">
              <w:t>IVD Test Result</w:t>
            </w:r>
          </w:p>
        </w:tc>
        <w:tc>
          <w:tcPr>
            <w:tcW w:w="833" w:type="dxa"/>
            <w:tcBorders>
              <w:bottom w:val="single" w:sz="4" w:space="0" w:color="auto"/>
            </w:tcBorders>
          </w:tcPr>
          <w:p w14:paraId="3B7F272D" w14:textId="77777777" w:rsidR="00CE27FE" w:rsidRPr="004C04C6" w:rsidRDefault="00CE27FE" w:rsidP="00CE27FE">
            <w:pPr>
              <w:pStyle w:val="Tabletext"/>
            </w:pPr>
            <w:r w:rsidRPr="004C04C6">
              <w:t>1..1</w:t>
            </w:r>
          </w:p>
        </w:tc>
        <w:tc>
          <w:tcPr>
            <w:tcW w:w="3060" w:type="dxa"/>
            <w:tcBorders>
              <w:bottom w:val="single" w:sz="4" w:space="0" w:color="auto"/>
            </w:tcBorders>
          </w:tcPr>
          <w:p w14:paraId="180EAF8F" w14:textId="77777777" w:rsidR="00CE27FE" w:rsidRPr="004C04C6" w:rsidRDefault="00CE27FE" w:rsidP="00CE27FE">
            <w:pPr>
              <w:pStyle w:val="Tabletext"/>
            </w:pPr>
            <w:r w:rsidRPr="004C04C6">
              <w:t>Must provide a test result</w:t>
            </w:r>
          </w:p>
        </w:tc>
      </w:tr>
      <w:tr w:rsidR="00CE27FE" w:rsidRPr="004C04C6" w14:paraId="40A0D695" w14:textId="77777777" w:rsidTr="00CE27FE">
        <w:trPr>
          <w:cantSplit/>
        </w:trPr>
        <w:tc>
          <w:tcPr>
            <w:tcW w:w="1283" w:type="dxa"/>
            <w:vMerge/>
            <w:tcBorders>
              <w:top w:val="nil"/>
              <w:bottom w:val="single" w:sz="4" w:space="0" w:color="auto"/>
              <w:right w:val="nil"/>
            </w:tcBorders>
          </w:tcPr>
          <w:p w14:paraId="5445DE35" w14:textId="77777777" w:rsidR="00CE27FE" w:rsidRPr="004C04C6" w:rsidRDefault="00CE27FE" w:rsidP="00CE27FE">
            <w:pPr>
              <w:pStyle w:val="Tabletext"/>
            </w:pPr>
          </w:p>
        </w:tc>
        <w:tc>
          <w:tcPr>
            <w:tcW w:w="270" w:type="dxa"/>
            <w:tcBorders>
              <w:top w:val="nil"/>
              <w:left w:val="nil"/>
              <w:bottom w:val="single" w:sz="4" w:space="0" w:color="auto"/>
            </w:tcBorders>
          </w:tcPr>
          <w:p w14:paraId="176A766A" w14:textId="77777777" w:rsidR="00CE27FE" w:rsidRPr="004C04C6" w:rsidRDefault="00CE27FE" w:rsidP="00CE27FE">
            <w:pPr>
              <w:pStyle w:val="Tabletext"/>
            </w:pPr>
          </w:p>
        </w:tc>
        <w:tc>
          <w:tcPr>
            <w:tcW w:w="1800" w:type="dxa"/>
            <w:tcBorders>
              <w:top w:val="nil"/>
              <w:bottom w:val="single" w:sz="4" w:space="0" w:color="auto"/>
            </w:tcBorders>
          </w:tcPr>
          <w:p w14:paraId="6A4D8E35" w14:textId="77777777" w:rsidR="00CE27FE" w:rsidRPr="004C04C6" w:rsidRDefault="00CE27FE" w:rsidP="00CE27FE">
            <w:pPr>
              <w:pStyle w:val="Tabletext"/>
            </w:pPr>
          </w:p>
        </w:tc>
        <w:tc>
          <w:tcPr>
            <w:tcW w:w="2137" w:type="dxa"/>
            <w:tcBorders>
              <w:top w:val="nil"/>
              <w:bottom w:val="single" w:sz="4" w:space="0" w:color="auto"/>
            </w:tcBorders>
          </w:tcPr>
          <w:p w14:paraId="3C556EF5" w14:textId="77777777" w:rsidR="00CE27FE" w:rsidRPr="004C04C6" w:rsidRDefault="00CE27FE" w:rsidP="00CE27FE">
            <w:pPr>
              <w:pStyle w:val="Tabletext"/>
            </w:pPr>
            <w:r w:rsidRPr="004C04C6">
              <w:t>LOINC</w:t>
            </w:r>
          </w:p>
        </w:tc>
        <w:tc>
          <w:tcPr>
            <w:tcW w:w="833" w:type="dxa"/>
            <w:tcBorders>
              <w:bottom w:val="single" w:sz="4" w:space="0" w:color="auto"/>
            </w:tcBorders>
          </w:tcPr>
          <w:p w14:paraId="348E6F77" w14:textId="77777777" w:rsidR="00CE27FE" w:rsidRPr="004C04C6" w:rsidRDefault="00CE27FE" w:rsidP="00CE27FE">
            <w:pPr>
              <w:pStyle w:val="Tabletext"/>
            </w:pPr>
            <w:r w:rsidRPr="004C04C6">
              <w:t>0..1</w:t>
            </w:r>
          </w:p>
        </w:tc>
        <w:tc>
          <w:tcPr>
            <w:tcW w:w="3060" w:type="dxa"/>
            <w:tcBorders>
              <w:bottom w:val="single" w:sz="4" w:space="0" w:color="auto"/>
            </w:tcBorders>
          </w:tcPr>
          <w:p w14:paraId="5757067D" w14:textId="77777777" w:rsidR="00CE27FE" w:rsidRPr="004C04C6" w:rsidRDefault="00CE27FE" w:rsidP="00CE27FE">
            <w:pPr>
              <w:pStyle w:val="Tabletext"/>
            </w:pPr>
            <w:r w:rsidRPr="004C04C6">
              <w:t>LOINC is optional</w:t>
            </w:r>
            <w:commentRangeEnd w:id="16"/>
            <w:r>
              <w:rPr>
                <w:rStyle w:val="CommentReference"/>
                <w:b w:val="0"/>
              </w:rPr>
              <w:commentReference w:id="16"/>
            </w:r>
            <w:r>
              <w:rPr>
                <w:rStyle w:val="CommentReference"/>
                <w:b w:val="0"/>
              </w:rPr>
              <w:commentReference w:id="17"/>
            </w:r>
            <w:r>
              <w:rPr>
                <w:rStyle w:val="CommentReference"/>
                <w:b w:val="0"/>
              </w:rPr>
              <w:commentReference w:id="18"/>
            </w:r>
            <w:r w:rsidR="004C3F95">
              <w:rPr>
                <w:rStyle w:val="CommentReference"/>
                <w:b w:val="0"/>
              </w:rPr>
              <w:commentReference w:id="19"/>
            </w:r>
          </w:p>
        </w:tc>
      </w:tr>
      <w:commentRangeEnd w:id="17"/>
      <w:commentRangeEnd w:id="18"/>
      <w:commentRangeEnd w:id="19"/>
    </w:tbl>
    <w:p w14:paraId="7554DE8E" w14:textId="77777777" w:rsidR="00CE27FE" w:rsidRPr="004C04C6" w:rsidRDefault="00CE27FE" w:rsidP="00CE27FE"/>
    <w:p w14:paraId="53EAD1EA" w14:textId="77777777" w:rsidR="00CE27FE" w:rsidRPr="004C04C6" w:rsidRDefault="00CE27FE" w:rsidP="00CE27FE"/>
    <w:p w14:paraId="7283E03C" w14:textId="77777777" w:rsidR="00CE27FE" w:rsidRPr="004C04C6" w:rsidRDefault="00CE27FE" w:rsidP="00CE27FE"/>
    <w:p w14:paraId="483E6305" w14:textId="77777777" w:rsidR="00CE27FE" w:rsidRPr="004C04C6" w:rsidRDefault="00CE27FE" w:rsidP="00CE27FE"/>
    <w:p w14:paraId="1C698F29" w14:textId="77777777" w:rsidR="00CE27FE" w:rsidRPr="004C04C6" w:rsidRDefault="00CE27FE" w:rsidP="00CE27FE"/>
    <w:p w14:paraId="18A5D14B" w14:textId="77777777" w:rsidR="00CE27FE" w:rsidRPr="004C04C6" w:rsidRDefault="00CE27FE" w:rsidP="00CE27FE">
      <w:pPr>
        <w:sectPr w:rsidR="00CE27FE" w:rsidRPr="004C04C6" w:rsidSect="00B3052A">
          <w:headerReference w:type="even" r:id="rId14"/>
          <w:headerReference w:type="default" r:id="rId15"/>
          <w:footerReference w:type="default" r:id="rId16"/>
          <w:headerReference w:type="first" r:id="rId17"/>
          <w:pgSz w:w="12240" w:h="15840"/>
          <w:pgMar w:top="1440" w:right="720" w:bottom="1440" w:left="720" w:header="720" w:footer="720" w:gutter="0"/>
          <w:cols w:space="720"/>
          <w:titlePg/>
          <w:docGrid w:linePitch="360"/>
        </w:sectPr>
      </w:pPr>
    </w:p>
    <w:p w14:paraId="7F3C597B" w14:textId="77777777" w:rsidR="00424E46" w:rsidRPr="004C04C6" w:rsidRDefault="00424E46">
      <w:pPr>
        <w:pStyle w:val="Heading1"/>
      </w:pPr>
      <w:r w:rsidRPr="004C04C6">
        <w:t>Data Format</w:t>
      </w:r>
    </w:p>
    <w:p w14:paraId="4941B1E7" w14:textId="77777777" w:rsidR="00FA7AB1" w:rsidRPr="004C04C6" w:rsidRDefault="00FA7AB1">
      <w:r w:rsidRPr="004C04C6">
        <w:t>A</w:t>
      </w:r>
      <w:r w:rsidR="00B14E68" w:rsidRPr="004C04C6">
        <w:t xml:space="preserve"> </w:t>
      </w:r>
      <w:r w:rsidRPr="004C04C6">
        <w:t>tab</w:t>
      </w:r>
      <w:r w:rsidR="00B14E68" w:rsidRPr="004C04C6">
        <w:t xml:space="preserve">le </w:t>
      </w:r>
      <w:r w:rsidRPr="004C04C6">
        <w:t xml:space="preserve">and </w:t>
      </w:r>
      <w:r w:rsidR="00B14E68" w:rsidRPr="004C04C6">
        <w:t>digital format are defined</w:t>
      </w:r>
      <w:r w:rsidRPr="004C04C6">
        <w:t>.</w:t>
      </w:r>
    </w:p>
    <w:p w14:paraId="7852CC3F" w14:textId="77777777" w:rsidR="007F1E25" w:rsidRPr="004C04C6" w:rsidRDefault="007F1E25">
      <w:pPr>
        <w:pStyle w:val="Heading2"/>
      </w:pPr>
      <w:r w:rsidRPr="004C04C6">
        <w:t>Criteria</w:t>
      </w:r>
    </w:p>
    <w:p w14:paraId="1B728B38" w14:textId="77777777" w:rsidR="00F977BE" w:rsidRPr="004C04C6" w:rsidRDefault="0078445F">
      <w:r w:rsidRPr="004C04C6">
        <w:t xml:space="preserve">The following </w:t>
      </w:r>
      <w:r w:rsidR="00F977BE" w:rsidRPr="004C04C6">
        <w:t>criteria</w:t>
      </w:r>
      <w:r w:rsidRPr="004C04C6">
        <w:t xml:space="preserve"> were established</w:t>
      </w:r>
      <w:r w:rsidR="00B14E68" w:rsidRPr="004C04C6">
        <w:t xml:space="preserve"> for the format</w:t>
      </w:r>
      <w:r w:rsidR="00F977BE" w:rsidRPr="004C04C6">
        <w:t>:</w:t>
      </w:r>
    </w:p>
    <w:p w14:paraId="1453A06A" w14:textId="77777777" w:rsidR="00F977BE" w:rsidRPr="004C04C6" w:rsidRDefault="00A54129">
      <w:pPr>
        <w:pStyle w:val="ListBullet2"/>
        <w:numPr>
          <w:ilvl w:val="0"/>
          <w:numId w:val="18"/>
        </w:numPr>
      </w:pPr>
      <w:r w:rsidRPr="004C04C6">
        <w:t>Widely used and accepted</w:t>
      </w:r>
    </w:p>
    <w:p w14:paraId="673DB768" w14:textId="77777777" w:rsidR="00F977BE" w:rsidRPr="004C04C6" w:rsidRDefault="00A54129">
      <w:pPr>
        <w:pStyle w:val="ListBullet2"/>
        <w:numPr>
          <w:ilvl w:val="0"/>
          <w:numId w:val="18"/>
        </w:numPr>
      </w:pPr>
      <w:r w:rsidRPr="004C04C6">
        <w:t>Used i</w:t>
      </w:r>
      <w:r w:rsidR="00F977BE" w:rsidRPr="004C04C6">
        <w:t>nternational</w:t>
      </w:r>
      <w:r w:rsidRPr="004C04C6">
        <w:t>ly</w:t>
      </w:r>
    </w:p>
    <w:p w14:paraId="45B1F3C3" w14:textId="77777777" w:rsidR="00F977BE" w:rsidRPr="004C04C6" w:rsidRDefault="00F977BE">
      <w:pPr>
        <w:pStyle w:val="ListBullet2"/>
        <w:numPr>
          <w:ilvl w:val="0"/>
          <w:numId w:val="18"/>
        </w:numPr>
      </w:pPr>
      <w:r w:rsidRPr="004C04C6">
        <w:t>Common tooling available</w:t>
      </w:r>
      <w:r w:rsidR="00A54129" w:rsidRPr="004C04C6">
        <w:t xml:space="preserve"> for producing and parsing the format</w:t>
      </w:r>
    </w:p>
    <w:p w14:paraId="56E157A8" w14:textId="77777777" w:rsidR="00F977BE" w:rsidRPr="004C04C6" w:rsidRDefault="00F977BE">
      <w:pPr>
        <w:pStyle w:val="ListBullet2"/>
        <w:numPr>
          <w:ilvl w:val="0"/>
          <w:numId w:val="18"/>
        </w:numPr>
      </w:pPr>
      <w:r w:rsidRPr="004C04C6">
        <w:t>Support human readable content</w:t>
      </w:r>
    </w:p>
    <w:p w14:paraId="1DEC9D61" w14:textId="77777777" w:rsidR="00F977BE" w:rsidRPr="004C04C6" w:rsidRDefault="00F977BE">
      <w:pPr>
        <w:pStyle w:val="ListBullet2"/>
        <w:numPr>
          <w:ilvl w:val="0"/>
          <w:numId w:val="18"/>
        </w:numPr>
      </w:pPr>
      <w:r w:rsidRPr="004C04C6">
        <w:t>Support exchange with or consumption by machines</w:t>
      </w:r>
      <w:r w:rsidR="00F47511" w:rsidRPr="004C04C6">
        <w:t xml:space="preserve"> (LIS vendors, etc.)</w:t>
      </w:r>
    </w:p>
    <w:p w14:paraId="195E4172" w14:textId="77777777" w:rsidR="00FA7AB1" w:rsidRPr="004C04C6" w:rsidRDefault="00FA7AB1">
      <w:pPr>
        <w:pStyle w:val="Heading2"/>
      </w:pPr>
      <w:r w:rsidRPr="004C04C6">
        <w:t>Table Format Recommendation</w:t>
      </w:r>
    </w:p>
    <w:p w14:paraId="50017686" w14:textId="77777777" w:rsidR="00FA7AB1" w:rsidRPr="004C04C6" w:rsidRDefault="00BD2C1F">
      <w:r w:rsidRPr="004C04C6">
        <w:t>A spreadsheet</w:t>
      </w:r>
      <w:r w:rsidR="00517970" w:rsidRPr="004C04C6">
        <w:t xml:space="preserve"> is recommended as the</w:t>
      </w:r>
      <w:r w:rsidR="00FA7AB1" w:rsidRPr="004C04C6">
        <w:t xml:space="preserve"> table format. </w:t>
      </w:r>
      <w:r w:rsidR="00B14E68" w:rsidRPr="004C04C6">
        <w:t>Spreadsheets can</w:t>
      </w:r>
      <w:r w:rsidR="00FA7AB1" w:rsidRPr="004C04C6">
        <w:t xml:space="preserve"> be used to filter the publication content as part of a manual activity to select the LOINC codes. </w:t>
      </w:r>
      <w:r w:rsidR="009F1EF6" w:rsidRPr="004C04C6">
        <w:t xml:space="preserve">It </w:t>
      </w:r>
      <w:r w:rsidR="00FA7AB1" w:rsidRPr="004C04C6">
        <w:t xml:space="preserve">is </w:t>
      </w:r>
      <w:r w:rsidR="00517970" w:rsidRPr="004C04C6">
        <w:t xml:space="preserve">also </w:t>
      </w:r>
      <w:r w:rsidR="00FA7AB1" w:rsidRPr="004C04C6">
        <w:t xml:space="preserve">possible to create the </w:t>
      </w:r>
      <w:r w:rsidRPr="004C04C6">
        <w:t>spreadsheet</w:t>
      </w:r>
      <w:r w:rsidR="00FA7AB1" w:rsidRPr="004C04C6">
        <w:t xml:space="preserve"> content based on the digital content described below.</w:t>
      </w:r>
      <w:r w:rsidR="009F1EF6" w:rsidRPr="004C04C6">
        <w:t xml:space="preserve"> In addition, </w:t>
      </w:r>
      <w:r w:rsidR="00517970" w:rsidRPr="004C04C6">
        <w:t xml:space="preserve">table </w:t>
      </w:r>
      <w:r w:rsidR="009F1EF6" w:rsidRPr="004C04C6">
        <w:t xml:space="preserve">content from multiple vendors can be merged into a single </w:t>
      </w:r>
      <w:r w:rsidRPr="004C04C6">
        <w:t>spreadsheet</w:t>
      </w:r>
      <w:r w:rsidR="009F1EF6" w:rsidRPr="004C04C6">
        <w:t>.</w:t>
      </w:r>
    </w:p>
    <w:p w14:paraId="58F84598" w14:textId="67B70681" w:rsidR="000C58C4" w:rsidRDefault="009F1EF6" w:rsidP="00B066E0">
      <w:r w:rsidRPr="004C04C6">
        <w:t>The spreadsheet will contain</w:t>
      </w:r>
    </w:p>
    <w:p w14:paraId="5F9E8E35" w14:textId="51A30C66" w:rsidR="00B853FD" w:rsidRPr="00510883" w:rsidRDefault="009F1EF6" w:rsidP="00510883">
      <w:pPr>
        <w:pStyle w:val="ListBullet4"/>
        <w:rPr>
          <w:lang w:val="en-US"/>
        </w:rPr>
      </w:pPr>
      <w:r w:rsidRPr="00510883">
        <w:rPr>
          <w:lang w:val="en-US"/>
        </w:rPr>
        <w:t xml:space="preserve">a </w:t>
      </w:r>
      <w:r w:rsidR="000C58C4" w:rsidRPr="00510883">
        <w:rPr>
          <w:lang w:val="en-US"/>
        </w:rPr>
        <w:t xml:space="preserve">first </w:t>
      </w:r>
      <w:r w:rsidRPr="00510883">
        <w:rPr>
          <w:lang w:val="en-US"/>
        </w:rPr>
        <w:t xml:space="preserve">worksheet </w:t>
      </w:r>
      <w:r w:rsidR="00445FEC" w:rsidRPr="00510883">
        <w:rPr>
          <w:lang w:val="en-US"/>
        </w:rPr>
        <w:t>(named “</w:t>
      </w:r>
      <w:r w:rsidR="00ED10A2" w:rsidRPr="00510883">
        <w:rPr>
          <w:lang w:val="en-US"/>
        </w:rPr>
        <w:t xml:space="preserve">LIVD </w:t>
      </w:r>
      <w:r w:rsidR="00445FEC" w:rsidRPr="00510883">
        <w:rPr>
          <w:lang w:val="en-US"/>
        </w:rPr>
        <w:t>Publication”)</w:t>
      </w:r>
      <w:r w:rsidR="00792081" w:rsidRPr="00510883">
        <w:rPr>
          <w:lang w:val="en-US"/>
        </w:rPr>
        <w:t xml:space="preserve"> </w:t>
      </w:r>
      <w:r w:rsidRPr="00510883">
        <w:rPr>
          <w:lang w:val="en-US"/>
        </w:rPr>
        <w:t>cont</w:t>
      </w:r>
      <w:r w:rsidR="000C58C4" w:rsidRPr="00510883">
        <w:rPr>
          <w:lang w:val="en-US"/>
        </w:rPr>
        <w:t>ai</w:t>
      </w:r>
      <w:r w:rsidRPr="00510883">
        <w:rPr>
          <w:lang w:val="en-US"/>
        </w:rPr>
        <w:t>n</w:t>
      </w:r>
      <w:r w:rsidR="000C58C4" w:rsidRPr="00510883">
        <w:rPr>
          <w:lang w:val="en-US"/>
        </w:rPr>
        <w:t>ing information of the “</w:t>
      </w:r>
      <w:r w:rsidR="00ED10A2" w:rsidRPr="00510883">
        <w:rPr>
          <w:lang w:val="en-US"/>
        </w:rPr>
        <w:t>LIVD Publication</w:t>
      </w:r>
      <w:r w:rsidR="000C58C4" w:rsidRPr="00510883">
        <w:rPr>
          <w:lang w:val="en-US"/>
        </w:rPr>
        <w:t>” section</w:t>
      </w:r>
      <w:r w:rsidR="00ED10A2" w:rsidRPr="00510883">
        <w:rPr>
          <w:lang w:val="en-US"/>
        </w:rPr>
        <w:t>,</w:t>
      </w:r>
    </w:p>
    <w:p w14:paraId="283C553E" w14:textId="6DBEF3FC" w:rsidR="00ED10A2" w:rsidRPr="00510883" w:rsidRDefault="000C58C4" w:rsidP="00510883">
      <w:pPr>
        <w:pStyle w:val="ListBullet4"/>
        <w:rPr>
          <w:lang w:val="en-US"/>
        </w:rPr>
      </w:pPr>
      <w:r w:rsidRPr="00510883">
        <w:rPr>
          <w:lang w:val="en-US"/>
        </w:rPr>
        <w:t xml:space="preserve">a second </w:t>
      </w:r>
      <w:r w:rsidR="009F1EF6" w:rsidRPr="00510883">
        <w:rPr>
          <w:lang w:val="en-US"/>
        </w:rPr>
        <w:t>worksheet</w:t>
      </w:r>
      <w:r w:rsidR="00445FEC" w:rsidRPr="00510883">
        <w:rPr>
          <w:lang w:val="en-US"/>
        </w:rPr>
        <w:t xml:space="preserve"> (named “L</w:t>
      </w:r>
      <w:r w:rsidR="00F247BA" w:rsidRPr="00510883">
        <w:rPr>
          <w:lang w:val="en-US"/>
        </w:rPr>
        <w:t>O</w:t>
      </w:r>
      <w:r w:rsidR="00445FEC" w:rsidRPr="00510883">
        <w:rPr>
          <w:lang w:val="en-US"/>
        </w:rPr>
        <w:t>I</w:t>
      </w:r>
      <w:r w:rsidR="00F247BA" w:rsidRPr="00510883">
        <w:rPr>
          <w:lang w:val="en-US"/>
        </w:rPr>
        <w:t>NC mapping</w:t>
      </w:r>
      <w:r w:rsidR="00445FEC" w:rsidRPr="00510883">
        <w:rPr>
          <w:lang w:val="en-US"/>
        </w:rPr>
        <w:t>”)</w:t>
      </w:r>
      <w:r w:rsidR="009F1EF6" w:rsidRPr="00510883">
        <w:rPr>
          <w:lang w:val="en-US"/>
        </w:rPr>
        <w:t xml:space="preserve"> containing </w:t>
      </w:r>
      <w:r w:rsidR="00517970" w:rsidRPr="00510883">
        <w:rPr>
          <w:lang w:val="en-US"/>
        </w:rPr>
        <w:t>the mapping content</w:t>
      </w:r>
      <w:r w:rsidR="00A71C8F" w:rsidRPr="00510883">
        <w:rPr>
          <w:lang w:val="en-US"/>
        </w:rPr>
        <w:t xml:space="preserve">. The table is normalized following the </w:t>
      </w:r>
      <w:r w:rsidRPr="00510883">
        <w:rPr>
          <w:lang w:val="en-US"/>
        </w:rPr>
        <w:t xml:space="preserve">information </w:t>
      </w:r>
      <w:r w:rsidR="00ED10A2" w:rsidRPr="00510883">
        <w:rPr>
          <w:lang w:val="en-US"/>
        </w:rPr>
        <w:t xml:space="preserve">for </w:t>
      </w:r>
      <w:r w:rsidR="00ED10A2" w:rsidRPr="00510883">
        <w:rPr>
          <w:b/>
          <w:lang w:val="en-US"/>
        </w:rPr>
        <w:t>IVD Test Results</w:t>
      </w:r>
      <w:r w:rsidR="00ED10A2" w:rsidRPr="00510883">
        <w:rPr>
          <w:lang w:val="en-US"/>
        </w:rPr>
        <w:t xml:space="preserve"> and </w:t>
      </w:r>
      <w:r w:rsidR="00ED10A2" w:rsidRPr="00510883">
        <w:rPr>
          <w:b/>
          <w:lang w:val="en-US"/>
        </w:rPr>
        <w:t>LOINC</w:t>
      </w:r>
      <w:r w:rsidR="00ED10A2" w:rsidRPr="00510883">
        <w:rPr>
          <w:lang w:val="en-US"/>
        </w:rPr>
        <w:t xml:space="preserve"> from </w:t>
      </w:r>
      <w:proofErr w:type="gramStart"/>
      <w:r w:rsidR="00ED10A2" w:rsidRPr="00510883">
        <w:rPr>
          <w:lang w:val="en-US"/>
        </w:rPr>
        <w:t xml:space="preserve">the </w:t>
      </w:r>
      <w:r w:rsidRPr="00510883">
        <w:rPr>
          <w:lang w:val="en-US"/>
        </w:rPr>
        <w:t xml:space="preserve"> “</w:t>
      </w:r>
      <w:proofErr w:type="gramEnd"/>
      <w:r w:rsidRPr="00ED10A2">
        <w:fldChar w:fldCharType="begin"/>
      </w:r>
      <w:r w:rsidRPr="00510883">
        <w:rPr>
          <w:lang w:val="en-US"/>
        </w:rPr>
        <w:instrText xml:space="preserve"> REF _Ref37338368 \h </w:instrText>
      </w:r>
      <w:r w:rsidRPr="00ED10A2">
        <w:fldChar w:fldCharType="separate"/>
      </w:r>
      <w:r w:rsidRPr="00510883">
        <w:rPr>
          <w:lang w:val="en-US"/>
        </w:rPr>
        <w:t>Data Definition Content</w:t>
      </w:r>
      <w:r w:rsidRPr="00ED10A2">
        <w:fldChar w:fldCharType="end"/>
      </w:r>
      <w:r w:rsidRPr="00510883">
        <w:rPr>
          <w:lang w:val="en-US"/>
        </w:rPr>
        <w:t>”.</w:t>
      </w:r>
      <w:r w:rsidR="00ED10A2" w:rsidRPr="00510883">
        <w:rPr>
          <w:lang w:val="en-US"/>
        </w:rPr>
        <w:t xml:space="preserve"> </w:t>
      </w:r>
    </w:p>
    <w:p w14:paraId="336FCFFC" w14:textId="77777777" w:rsidR="005351DB" w:rsidRDefault="005351DB" w:rsidP="00ED10A2">
      <w:pPr>
        <w:pStyle w:val="ListBullet4"/>
        <w:numPr>
          <w:ilvl w:val="0"/>
          <w:numId w:val="0"/>
        </w:numPr>
        <w:ind w:left="2345"/>
        <w:rPr>
          <w:lang w:val="en-US"/>
        </w:rPr>
      </w:pPr>
    </w:p>
    <w:p w14:paraId="6616DA09" w14:textId="20073DFB" w:rsidR="00FA7AB1" w:rsidRPr="00ED10A2" w:rsidRDefault="000C58C4" w:rsidP="005351DB">
      <w:pPr>
        <w:pStyle w:val="ListBullet4"/>
        <w:numPr>
          <w:ilvl w:val="0"/>
          <w:numId w:val="0"/>
        </w:numPr>
        <w:ind w:left="1440"/>
        <w:rPr>
          <w:lang w:val="en-US"/>
        </w:rPr>
      </w:pPr>
      <w:r w:rsidRPr="00ED10A2">
        <w:rPr>
          <w:lang w:val="en-US"/>
        </w:rPr>
        <w:t>E</w:t>
      </w:r>
      <w:r w:rsidR="00517970" w:rsidRPr="00ED10A2">
        <w:rPr>
          <w:lang w:val="en-US"/>
        </w:rPr>
        <w:t xml:space="preserve">ach row of the </w:t>
      </w:r>
      <w:r w:rsidR="005351DB">
        <w:rPr>
          <w:lang w:val="en-US"/>
        </w:rPr>
        <w:t xml:space="preserve">second </w:t>
      </w:r>
      <w:r w:rsidR="00517970" w:rsidRPr="00ED10A2">
        <w:rPr>
          <w:lang w:val="en-US"/>
        </w:rPr>
        <w:t>worksheet contain</w:t>
      </w:r>
      <w:r w:rsidR="005351DB">
        <w:rPr>
          <w:lang w:val="en-US"/>
        </w:rPr>
        <w:t>s</w:t>
      </w:r>
      <w:r w:rsidR="00517970" w:rsidRPr="00ED10A2">
        <w:rPr>
          <w:lang w:val="en-US"/>
        </w:rPr>
        <w:t xml:space="preserve"> the following data definition content</w:t>
      </w:r>
    </w:p>
    <w:tbl>
      <w:tblPr>
        <w:tblStyle w:val="TableGrid"/>
        <w:tblW w:w="8280" w:type="dxa"/>
        <w:tblInd w:w="1638" w:type="dxa"/>
        <w:tblLayout w:type="fixed"/>
        <w:tblLook w:val="04A0" w:firstRow="1" w:lastRow="0" w:firstColumn="1" w:lastColumn="0" w:noHBand="0" w:noVBand="1"/>
      </w:tblPr>
      <w:tblGrid>
        <w:gridCol w:w="2970"/>
        <w:gridCol w:w="5310"/>
      </w:tblGrid>
      <w:tr w:rsidR="007E5A87" w:rsidRPr="00010662" w14:paraId="5761847F" w14:textId="77777777" w:rsidTr="005B3903">
        <w:trPr>
          <w:cantSplit/>
          <w:tblHeader/>
        </w:trPr>
        <w:tc>
          <w:tcPr>
            <w:tcW w:w="2970" w:type="dxa"/>
            <w:tcBorders>
              <w:top w:val="single" w:sz="4" w:space="0" w:color="auto"/>
              <w:bottom w:val="single" w:sz="4" w:space="0" w:color="auto"/>
            </w:tcBorders>
            <w:shd w:val="clear" w:color="auto" w:fill="BFBFBF" w:themeFill="background1" w:themeFillShade="BF"/>
          </w:tcPr>
          <w:p w14:paraId="15B78016" w14:textId="77777777" w:rsidR="007E5A87" w:rsidRPr="00010662" w:rsidRDefault="007E5A87" w:rsidP="00B066E0">
            <w:pPr>
              <w:pStyle w:val="Tabletext"/>
              <w:spacing w:before="0"/>
            </w:pPr>
            <w:r w:rsidRPr="00010662">
              <w:t>Column Header</w:t>
            </w:r>
          </w:p>
        </w:tc>
        <w:tc>
          <w:tcPr>
            <w:tcW w:w="5310" w:type="dxa"/>
            <w:tcBorders>
              <w:top w:val="single" w:sz="4" w:space="0" w:color="auto"/>
            </w:tcBorders>
            <w:shd w:val="clear" w:color="auto" w:fill="BFBFBF" w:themeFill="background1" w:themeFillShade="BF"/>
          </w:tcPr>
          <w:p w14:paraId="3BB98649" w14:textId="77777777" w:rsidR="007E5A87" w:rsidRPr="00010662" w:rsidRDefault="007E5A87" w:rsidP="00B066E0">
            <w:pPr>
              <w:pStyle w:val="Tabletext"/>
              <w:spacing w:before="0"/>
            </w:pPr>
            <w:r w:rsidRPr="00010662">
              <w:t>Comments</w:t>
            </w:r>
          </w:p>
        </w:tc>
      </w:tr>
      <w:tr w:rsidR="00010662" w:rsidRPr="004C04C6" w14:paraId="4B3B363F" w14:textId="77777777" w:rsidTr="005B3903">
        <w:tc>
          <w:tcPr>
            <w:tcW w:w="2970" w:type="dxa"/>
          </w:tcPr>
          <w:p w14:paraId="5324DE24" w14:textId="77777777" w:rsidR="00010662" w:rsidRPr="00B066E0" w:rsidRDefault="00010662" w:rsidP="00B066E0">
            <w:pPr>
              <w:pStyle w:val="Tabletext"/>
              <w:spacing w:before="0"/>
              <w:rPr>
                <w:b w:val="0"/>
                <w:bCs/>
              </w:rPr>
            </w:pPr>
            <w:r w:rsidRPr="00B066E0">
              <w:rPr>
                <w:b w:val="0"/>
                <w:bCs/>
              </w:rPr>
              <w:t>Publication Version ID</w:t>
            </w:r>
          </w:p>
        </w:tc>
        <w:tc>
          <w:tcPr>
            <w:tcW w:w="5310" w:type="dxa"/>
          </w:tcPr>
          <w:p w14:paraId="486AFB65" w14:textId="4BA63E56" w:rsidR="00010662" w:rsidRPr="00B066E0" w:rsidRDefault="00010662" w:rsidP="00B066E0">
            <w:pPr>
              <w:pStyle w:val="Tabletext"/>
              <w:spacing w:before="0"/>
              <w:rPr>
                <w:b w:val="0"/>
                <w:bCs/>
              </w:rPr>
            </w:pPr>
            <w:r w:rsidRPr="00B066E0">
              <w:rPr>
                <w:b w:val="0"/>
                <w:bCs/>
              </w:rPr>
              <w:t xml:space="preserve">Sortable column could be used if </w:t>
            </w:r>
            <w:r w:rsidR="00ED10A2">
              <w:rPr>
                <w:b w:val="0"/>
                <w:bCs/>
              </w:rPr>
              <w:t>mapping from</w:t>
            </w:r>
            <w:r w:rsidRPr="00B066E0">
              <w:rPr>
                <w:b w:val="0"/>
                <w:bCs/>
              </w:rPr>
              <w:t xml:space="preserve"> multiple </w:t>
            </w:r>
            <w:r w:rsidR="002E010C">
              <w:rPr>
                <w:b w:val="0"/>
                <w:bCs/>
              </w:rPr>
              <w:t xml:space="preserve">publications </w:t>
            </w:r>
            <w:r w:rsidRPr="00B066E0">
              <w:rPr>
                <w:b w:val="0"/>
                <w:bCs/>
              </w:rPr>
              <w:t>are combined into one</w:t>
            </w:r>
          </w:p>
        </w:tc>
      </w:tr>
      <w:tr w:rsidR="00010662" w:rsidRPr="004C04C6" w14:paraId="0D10883C" w14:textId="77777777" w:rsidTr="005B3903">
        <w:tc>
          <w:tcPr>
            <w:tcW w:w="2970" w:type="dxa"/>
          </w:tcPr>
          <w:p w14:paraId="407948AB" w14:textId="70DC34C4" w:rsidR="00010662" w:rsidRPr="00B066E0" w:rsidRDefault="00010662" w:rsidP="00B066E0">
            <w:pPr>
              <w:pStyle w:val="Tabletext"/>
              <w:spacing w:before="0"/>
              <w:rPr>
                <w:b w:val="0"/>
                <w:bCs/>
              </w:rPr>
            </w:pPr>
            <w:r w:rsidRPr="00B066E0">
              <w:rPr>
                <w:b w:val="0"/>
                <w:bCs/>
              </w:rPr>
              <w:t>LOINC Version ID</w:t>
            </w:r>
          </w:p>
        </w:tc>
        <w:tc>
          <w:tcPr>
            <w:tcW w:w="5310" w:type="dxa"/>
          </w:tcPr>
          <w:p w14:paraId="07E591A1" w14:textId="77777777" w:rsidR="00010662" w:rsidRPr="00B066E0" w:rsidRDefault="00010662" w:rsidP="00B066E0">
            <w:pPr>
              <w:pStyle w:val="Tabletext"/>
              <w:spacing w:before="0"/>
              <w:rPr>
                <w:b w:val="0"/>
                <w:bCs/>
              </w:rPr>
            </w:pPr>
          </w:p>
        </w:tc>
      </w:tr>
      <w:tr w:rsidR="00010662" w:rsidRPr="004C04C6" w14:paraId="21102241" w14:textId="77777777" w:rsidTr="005B3903">
        <w:trPr>
          <w:cantSplit/>
        </w:trPr>
        <w:tc>
          <w:tcPr>
            <w:tcW w:w="2970" w:type="dxa"/>
            <w:tcBorders>
              <w:left w:val="single" w:sz="4" w:space="0" w:color="auto"/>
              <w:right w:val="single" w:sz="4" w:space="0" w:color="auto"/>
            </w:tcBorders>
          </w:tcPr>
          <w:p w14:paraId="399CDF96" w14:textId="77777777" w:rsidR="00010662" w:rsidRPr="00B066E0" w:rsidRDefault="00010662" w:rsidP="00B066E0">
            <w:pPr>
              <w:pStyle w:val="Tabletext"/>
              <w:spacing w:before="0"/>
              <w:rPr>
                <w:b w:val="0"/>
                <w:bCs/>
              </w:rPr>
            </w:pPr>
            <w:r w:rsidRPr="00B066E0">
              <w:rPr>
                <w:b w:val="0"/>
                <w:bCs/>
              </w:rPr>
              <w:t>Manufacturer</w:t>
            </w:r>
          </w:p>
        </w:tc>
        <w:tc>
          <w:tcPr>
            <w:tcW w:w="5310" w:type="dxa"/>
          </w:tcPr>
          <w:p w14:paraId="523A4905" w14:textId="43B24E53" w:rsidR="00010662" w:rsidRPr="00B066E0" w:rsidRDefault="00010662" w:rsidP="00B066E0">
            <w:pPr>
              <w:pStyle w:val="Tabletext"/>
              <w:spacing w:before="0"/>
              <w:rPr>
                <w:b w:val="0"/>
                <w:bCs/>
              </w:rPr>
            </w:pPr>
            <w:r w:rsidRPr="00B066E0">
              <w:rPr>
                <w:b w:val="0"/>
                <w:bCs/>
              </w:rPr>
              <w:t xml:space="preserve">Sortable column could be used if </w:t>
            </w:r>
            <w:r w:rsidR="00ED10A2">
              <w:rPr>
                <w:b w:val="0"/>
                <w:bCs/>
              </w:rPr>
              <w:t>mapping from</w:t>
            </w:r>
            <w:r w:rsidRPr="00B066E0">
              <w:rPr>
                <w:b w:val="0"/>
                <w:bCs/>
              </w:rPr>
              <w:t xml:space="preserve"> multiple manufacturers are combined into one</w:t>
            </w:r>
          </w:p>
        </w:tc>
      </w:tr>
      <w:tr w:rsidR="00010662" w:rsidRPr="004C04C6" w14:paraId="56381E9E" w14:textId="77777777" w:rsidTr="005B3903">
        <w:trPr>
          <w:cantSplit/>
        </w:trPr>
        <w:tc>
          <w:tcPr>
            <w:tcW w:w="2970" w:type="dxa"/>
            <w:tcBorders>
              <w:left w:val="single" w:sz="4" w:space="0" w:color="auto"/>
              <w:right w:val="single" w:sz="4" w:space="0" w:color="auto"/>
            </w:tcBorders>
          </w:tcPr>
          <w:p w14:paraId="02FEDE80" w14:textId="77777777" w:rsidR="00010662" w:rsidRPr="00B066E0" w:rsidRDefault="00010662" w:rsidP="00B066E0">
            <w:pPr>
              <w:pStyle w:val="Tabletext"/>
              <w:spacing w:before="0"/>
              <w:rPr>
                <w:b w:val="0"/>
                <w:bCs/>
              </w:rPr>
            </w:pPr>
            <w:r w:rsidRPr="00B066E0">
              <w:rPr>
                <w:b w:val="0"/>
                <w:bCs/>
              </w:rPr>
              <w:t>Model</w:t>
            </w:r>
          </w:p>
        </w:tc>
        <w:tc>
          <w:tcPr>
            <w:tcW w:w="5310" w:type="dxa"/>
          </w:tcPr>
          <w:p w14:paraId="06AA8189" w14:textId="77777777" w:rsidR="00010662" w:rsidRPr="00B066E0" w:rsidRDefault="00010662" w:rsidP="00B066E0">
            <w:pPr>
              <w:pStyle w:val="Tabletext"/>
              <w:spacing w:before="0"/>
              <w:rPr>
                <w:b w:val="0"/>
                <w:bCs/>
              </w:rPr>
            </w:pPr>
            <w:r w:rsidRPr="00B066E0">
              <w:rPr>
                <w:b w:val="0"/>
                <w:bCs/>
              </w:rPr>
              <w:t>Name of instrument or IVD Test Kit Name</w:t>
            </w:r>
          </w:p>
        </w:tc>
      </w:tr>
      <w:tr w:rsidR="00010662" w:rsidRPr="004C04C6" w14:paraId="1121A951" w14:textId="77777777" w:rsidTr="005B3903">
        <w:trPr>
          <w:cantSplit/>
        </w:trPr>
        <w:tc>
          <w:tcPr>
            <w:tcW w:w="2970" w:type="dxa"/>
            <w:tcBorders>
              <w:left w:val="single" w:sz="4" w:space="0" w:color="auto"/>
              <w:right w:val="single" w:sz="4" w:space="0" w:color="auto"/>
            </w:tcBorders>
          </w:tcPr>
          <w:p w14:paraId="41FB668F" w14:textId="77777777" w:rsidR="00010662" w:rsidRPr="00B066E0" w:rsidRDefault="00010662" w:rsidP="00B066E0">
            <w:pPr>
              <w:pStyle w:val="Tabletext"/>
              <w:spacing w:before="0"/>
              <w:rPr>
                <w:b w:val="0"/>
                <w:bCs/>
              </w:rPr>
            </w:pPr>
            <w:r w:rsidRPr="00B066E0">
              <w:rPr>
                <w:b w:val="0"/>
                <w:bCs/>
              </w:rPr>
              <w:t>Equipment UID</w:t>
            </w:r>
          </w:p>
        </w:tc>
        <w:tc>
          <w:tcPr>
            <w:tcW w:w="5310" w:type="dxa"/>
          </w:tcPr>
          <w:p w14:paraId="649A5E54" w14:textId="77777777" w:rsidR="00010662" w:rsidRPr="00B066E0" w:rsidRDefault="00010662" w:rsidP="00B066E0">
            <w:pPr>
              <w:pStyle w:val="Tabletext"/>
              <w:spacing w:before="0"/>
              <w:rPr>
                <w:b w:val="0"/>
                <w:bCs/>
              </w:rPr>
            </w:pPr>
            <w:r w:rsidRPr="00B066E0">
              <w:rPr>
                <w:b w:val="0"/>
                <w:bCs/>
              </w:rPr>
              <w:t>Leave empty if no Universal ID</w:t>
            </w:r>
          </w:p>
        </w:tc>
      </w:tr>
      <w:tr w:rsidR="00010662" w:rsidRPr="004C04C6" w14:paraId="5CB886AD" w14:textId="77777777" w:rsidTr="005B3903">
        <w:tc>
          <w:tcPr>
            <w:tcW w:w="2970" w:type="dxa"/>
          </w:tcPr>
          <w:p w14:paraId="53693203" w14:textId="77777777" w:rsidR="00010662" w:rsidRPr="00B066E0" w:rsidRDefault="00010662" w:rsidP="00B066E0">
            <w:pPr>
              <w:pStyle w:val="Tabletext"/>
              <w:spacing w:before="0"/>
              <w:rPr>
                <w:b w:val="0"/>
                <w:bCs/>
              </w:rPr>
            </w:pPr>
            <w:r w:rsidRPr="00B066E0">
              <w:rPr>
                <w:b w:val="0"/>
                <w:bCs/>
              </w:rPr>
              <w:t>Equipment UID Type</w:t>
            </w:r>
          </w:p>
        </w:tc>
        <w:tc>
          <w:tcPr>
            <w:tcW w:w="5310" w:type="dxa"/>
          </w:tcPr>
          <w:p w14:paraId="05B06FAA" w14:textId="77777777" w:rsidR="00010662" w:rsidRPr="00B066E0" w:rsidRDefault="00010662" w:rsidP="00B066E0">
            <w:pPr>
              <w:pStyle w:val="Tabletext"/>
              <w:spacing w:before="0"/>
              <w:rPr>
                <w:b w:val="0"/>
                <w:bCs/>
              </w:rPr>
            </w:pPr>
            <w:r w:rsidRPr="00B066E0">
              <w:rPr>
                <w:b w:val="0"/>
                <w:bCs/>
              </w:rPr>
              <w:t>Leave empty if no Universal ID</w:t>
            </w:r>
          </w:p>
        </w:tc>
      </w:tr>
      <w:tr w:rsidR="00010662" w:rsidRPr="004C04C6" w14:paraId="670D8E35" w14:textId="77777777" w:rsidTr="005B3903">
        <w:tc>
          <w:tcPr>
            <w:tcW w:w="2970" w:type="dxa"/>
          </w:tcPr>
          <w:p w14:paraId="2E138459" w14:textId="0EB29292" w:rsidR="00010662" w:rsidRPr="00B066E0" w:rsidRDefault="00010662" w:rsidP="00B066E0">
            <w:pPr>
              <w:pStyle w:val="Tabletext"/>
              <w:spacing w:before="0"/>
              <w:rPr>
                <w:b w:val="0"/>
                <w:bCs/>
              </w:rPr>
            </w:pPr>
            <w:r w:rsidRPr="00B066E0">
              <w:rPr>
                <w:b w:val="0"/>
              </w:rPr>
              <w:t>Vendor</w:t>
            </w:r>
            <w:r w:rsidRPr="00B066E0">
              <w:rPr>
                <w:b w:val="0"/>
                <w:bCs/>
              </w:rPr>
              <w:t xml:space="preserve"> Analyte Code</w:t>
            </w:r>
          </w:p>
        </w:tc>
        <w:tc>
          <w:tcPr>
            <w:tcW w:w="5310" w:type="dxa"/>
          </w:tcPr>
          <w:p w14:paraId="3DC91A95" w14:textId="77777777" w:rsidR="00010662" w:rsidRPr="00B066E0" w:rsidRDefault="00010662" w:rsidP="00B066E0">
            <w:pPr>
              <w:pStyle w:val="Tabletext"/>
              <w:spacing w:before="0"/>
              <w:rPr>
                <w:b w:val="0"/>
                <w:bCs/>
              </w:rPr>
            </w:pPr>
            <w:r w:rsidRPr="00B066E0">
              <w:rPr>
                <w:b w:val="0"/>
                <w:bCs/>
              </w:rPr>
              <w:t xml:space="preserve">Transmission Code or Analyte Identifier </w:t>
            </w:r>
          </w:p>
        </w:tc>
      </w:tr>
      <w:tr w:rsidR="00010662" w:rsidRPr="004C04C6" w14:paraId="6A2CDB63" w14:textId="77777777" w:rsidTr="005B3903">
        <w:tc>
          <w:tcPr>
            <w:tcW w:w="2970" w:type="dxa"/>
          </w:tcPr>
          <w:p w14:paraId="0E157D6B" w14:textId="56112ABF" w:rsidR="00010662" w:rsidRPr="00B066E0" w:rsidRDefault="00010662" w:rsidP="00B066E0">
            <w:pPr>
              <w:pStyle w:val="Tabletext"/>
              <w:spacing w:before="0"/>
              <w:rPr>
                <w:b w:val="0"/>
                <w:bCs/>
              </w:rPr>
            </w:pPr>
            <w:r w:rsidRPr="00B066E0">
              <w:rPr>
                <w:b w:val="0"/>
                <w:bCs/>
              </w:rPr>
              <w:t>Vendor Analyte Name</w:t>
            </w:r>
          </w:p>
        </w:tc>
        <w:tc>
          <w:tcPr>
            <w:tcW w:w="5310" w:type="dxa"/>
          </w:tcPr>
          <w:p w14:paraId="69793681" w14:textId="77777777" w:rsidR="00010662" w:rsidRPr="00B066E0" w:rsidRDefault="00010662" w:rsidP="00B066E0">
            <w:pPr>
              <w:pStyle w:val="Tabletext"/>
              <w:spacing w:before="0"/>
              <w:rPr>
                <w:b w:val="0"/>
                <w:bCs/>
              </w:rPr>
            </w:pPr>
          </w:p>
        </w:tc>
      </w:tr>
      <w:tr w:rsidR="00010662" w:rsidRPr="004C04C6" w14:paraId="17C342DC" w14:textId="77777777" w:rsidTr="005B3903">
        <w:tc>
          <w:tcPr>
            <w:tcW w:w="2970" w:type="dxa"/>
          </w:tcPr>
          <w:p w14:paraId="55E94DB7" w14:textId="5C05D6A1" w:rsidR="00010662" w:rsidRPr="00B066E0" w:rsidRDefault="00010662" w:rsidP="00B066E0">
            <w:pPr>
              <w:pStyle w:val="Tabletext"/>
              <w:spacing w:before="0"/>
              <w:rPr>
                <w:b w:val="0"/>
                <w:bCs/>
              </w:rPr>
            </w:pPr>
            <w:r w:rsidRPr="00B066E0">
              <w:rPr>
                <w:b w:val="0"/>
                <w:bCs/>
              </w:rPr>
              <w:t>Vendor Specimen Description</w:t>
            </w:r>
          </w:p>
        </w:tc>
        <w:tc>
          <w:tcPr>
            <w:tcW w:w="5310" w:type="dxa"/>
          </w:tcPr>
          <w:p w14:paraId="72573CC5" w14:textId="77777777" w:rsidR="00010662" w:rsidRPr="00B066E0" w:rsidRDefault="00010662" w:rsidP="00B066E0">
            <w:pPr>
              <w:pStyle w:val="Tabletext"/>
              <w:spacing w:before="0"/>
              <w:rPr>
                <w:b w:val="0"/>
                <w:bCs/>
              </w:rPr>
            </w:pPr>
          </w:p>
        </w:tc>
      </w:tr>
      <w:tr w:rsidR="00010662" w:rsidRPr="004C04C6" w14:paraId="75EC6418" w14:textId="77777777" w:rsidTr="005B3903">
        <w:tc>
          <w:tcPr>
            <w:tcW w:w="2970" w:type="dxa"/>
          </w:tcPr>
          <w:p w14:paraId="38E8BDFA" w14:textId="0E8FAB25" w:rsidR="00010662" w:rsidRPr="00B066E0" w:rsidRDefault="00010662" w:rsidP="00B066E0">
            <w:pPr>
              <w:pStyle w:val="Tabletext"/>
              <w:spacing w:before="0"/>
              <w:rPr>
                <w:b w:val="0"/>
                <w:bCs/>
              </w:rPr>
            </w:pPr>
            <w:r w:rsidRPr="00B066E0">
              <w:rPr>
                <w:b w:val="0"/>
                <w:bCs/>
              </w:rPr>
              <w:t>Vendor Result Description</w:t>
            </w:r>
          </w:p>
        </w:tc>
        <w:tc>
          <w:tcPr>
            <w:tcW w:w="5310" w:type="dxa"/>
          </w:tcPr>
          <w:p w14:paraId="53CCE14F" w14:textId="77777777" w:rsidR="00010662" w:rsidRPr="00B066E0" w:rsidRDefault="00010662" w:rsidP="00B066E0">
            <w:pPr>
              <w:pStyle w:val="Tabletext"/>
              <w:spacing w:before="0"/>
              <w:rPr>
                <w:b w:val="0"/>
                <w:bCs/>
              </w:rPr>
            </w:pPr>
          </w:p>
        </w:tc>
      </w:tr>
      <w:tr w:rsidR="00010662" w:rsidRPr="004C04C6" w14:paraId="7A8DB5BE" w14:textId="77777777" w:rsidTr="005B3903">
        <w:tc>
          <w:tcPr>
            <w:tcW w:w="2970" w:type="dxa"/>
          </w:tcPr>
          <w:p w14:paraId="08C8E91A" w14:textId="7BF06448" w:rsidR="00010662" w:rsidRPr="00B066E0" w:rsidRDefault="00010662" w:rsidP="00B066E0">
            <w:pPr>
              <w:pStyle w:val="Tabletext"/>
              <w:spacing w:before="0"/>
              <w:rPr>
                <w:b w:val="0"/>
                <w:bCs/>
              </w:rPr>
            </w:pPr>
            <w:r w:rsidRPr="00B066E0">
              <w:rPr>
                <w:b w:val="0"/>
                <w:bCs/>
              </w:rPr>
              <w:t>Vendor Reference ID</w:t>
            </w:r>
          </w:p>
        </w:tc>
        <w:tc>
          <w:tcPr>
            <w:tcW w:w="5310" w:type="dxa"/>
          </w:tcPr>
          <w:p w14:paraId="1EA35201" w14:textId="2A7391E8" w:rsidR="00010662" w:rsidRPr="00B066E0" w:rsidRDefault="00010662" w:rsidP="00B066E0">
            <w:pPr>
              <w:pStyle w:val="Tabletext"/>
              <w:spacing w:before="0"/>
              <w:rPr>
                <w:b w:val="0"/>
                <w:bCs/>
              </w:rPr>
            </w:pPr>
            <w:r w:rsidRPr="00B066E0">
              <w:rPr>
                <w:b w:val="0"/>
                <w:bCs/>
              </w:rPr>
              <w:t>Leave empty if no additional vendor reference</w:t>
            </w:r>
          </w:p>
        </w:tc>
      </w:tr>
      <w:tr w:rsidR="002E010C" w:rsidRPr="004C04C6" w14:paraId="6049168A" w14:textId="77777777" w:rsidTr="005B3903">
        <w:tc>
          <w:tcPr>
            <w:tcW w:w="2970" w:type="dxa"/>
          </w:tcPr>
          <w:p w14:paraId="4707E03B" w14:textId="4172CCF5" w:rsidR="002E010C" w:rsidRPr="00010662" w:rsidRDefault="00BB54E9">
            <w:pPr>
              <w:pStyle w:val="Tabletext"/>
              <w:spacing w:before="0"/>
              <w:rPr>
                <w:b w:val="0"/>
                <w:bCs/>
              </w:rPr>
            </w:pPr>
            <w:proofErr w:type="spellStart"/>
            <w:r>
              <w:rPr>
                <w:b w:val="0"/>
              </w:rPr>
              <w:t>Testkit</w:t>
            </w:r>
            <w:proofErr w:type="spellEnd"/>
            <w:r>
              <w:rPr>
                <w:b w:val="0"/>
              </w:rPr>
              <w:t xml:space="preserve"> Name</w:t>
            </w:r>
            <w:r w:rsidR="002E010C" w:rsidRPr="002E010C">
              <w:rPr>
                <w:b w:val="0"/>
                <w:bCs/>
              </w:rPr>
              <w:t xml:space="preserve"> ID</w:t>
            </w:r>
          </w:p>
        </w:tc>
        <w:tc>
          <w:tcPr>
            <w:tcW w:w="5310" w:type="dxa"/>
          </w:tcPr>
          <w:p w14:paraId="1432147F" w14:textId="3A1769F8" w:rsidR="002E010C" w:rsidRPr="00010662" w:rsidRDefault="002E010C" w:rsidP="002E010C">
            <w:pPr>
              <w:pStyle w:val="Tabletext"/>
              <w:spacing w:before="0"/>
              <w:rPr>
                <w:b w:val="0"/>
                <w:bCs/>
              </w:rPr>
            </w:pPr>
            <w:r w:rsidRPr="00435ADB">
              <w:rPr>
                <w:b w:val="0"/>
                <w:bCs/>
              </w:rPr>
              <w:t>Leave empty if no Universal ID</w:t>
            </w:r>
          </w:p>
        </w:tc>
      </w:tr>
      <w:tr w:rsidR="002E010C" w:rsidRPr="004C04C6" w14:paraId="29EA4EB7" w14:textId="77777777" w:rsidTr="005B3903">
        <w:tc>
          <w:tcPr>
            <w:tcW w:w="2970" w:type="dxa"/>
          </w:tcPr>
          <w:p w14:paraId="3050BE17" w14:textId="6F1252D1" w:rsidR="002E010C" w:rsidRPr="00010662" w:rsidRDefault="00BB54E9">
            <w:pPr>
              <w:pStyle w:val="Tabletext"/>
              <w:spacing w:before="0"/>
              <w:rPr>
                <w:b w:val="0"/>
                <w:bCs/>
              </w:rPr>
            </w:pPr>
            <w:proofErr w:type="spellStart"/>
            <w:r>
              <w:rPr>
                <w:b w:val="0"/>
              </w:rPr>
              <w:t>Testkit</w:t>
            </w:r>
            <w:proofErr w:type="spellEnd"/>
            <w:r>
              <w:rPr>
                <w:b w:val="0"/>
              </w:rPr>
              <w:t xml:space="preserve"> Name ID Type</w:t>
            </w:r>
          </w:p>
        </w:tc>
        <w:tc>
          <w:tcPr>
            <w:tcW w:w="5310" w:type="dxa"/>
          </w:tcPr>
          <w:p w14:paraId="249958A4" w14:textId="2F491C1F" w:rsidR="002E010C" w:rsidRPr="00010662" w:rsidRDefault="002E010C" w:rsidP="002E010C">
            <w:pPr>
              <w:pStyle w:val="Tabletext"/>
              <w:spacing w:before="0"/>
              <w:rPr>
                <w:b w:val="0"/>
                <w:bCs/>
              </w:rPr>
            </w:pPr>
            <w:r w:rsidRPr="00435ADB">
              <w:rPr>
                <w:b w:val="0"/>
                <w:bCs/>
              </w:rPr>
              <w:t>Leave empty if no Universal ID</w:t>
            </w:r>
          </w:p>
        </w:tc>
      </w:tr>
      <w:tr w:rsidR="002E010C" w:rsidRPr="004C04C6" w14:paraId="15682722" w14:textId="77777777" w:rsidTr="005B3903">
        <w:tc>
          <w:tcPr>
            <w:tcW w:w="2970" w:type="dxa"/>
          </w:tcPr>
          <w:p w14:paraId="298241DF" w14:textId="03E16267" w:rsidR="002E010C" w:rsidRPr="00B066E0" w:rsidRDefault="002E010C" w:rsidP="00B066E0">
            <w:pPr>
              <w:pStyle w:val="Tabletext"/>
              <w:spacing w:before="0"/>
              <w:rPr>
                <w:b w:val="0"/>
                <w:bCs/>
              </w:rPr>
            </w:pPr>
            <w:r w:rsidRPr="00B066E0">
              <w:rPr>
                <w:b w:val="0"/>
                <w:bCs/>
              </w:rPr>
              <w:t>Vendor Comment</w:t>
            </w:r>
          </w:p>
        </w:tc>
        <w:tc>
          <w:tcPr>
            <w:tcW w:w="5310" w:type="dxa"/>
          </w:tcPr>
          <w:p w14:paraId="0525C7A1" w14:textId="77777777" w:rsidR="002E010C" w:rsidRPr="00B066E0" w:rsidRDefault="002E010C" w:rsidP="00B066E0">
            <w:pPr>
              <w:pStyle w:val="Tabletext"/>
              <w:spacing w:before="0"/>
              <w:rPr>
                <w:b w:val="0"/>
                <w:bCs/>
              </w:rPr>
            </w:pPr>
            <w:r w:rsidRPr="00B066E0">
              <w:rPr>
                <w:b w:val="0"/>
                <w:bCs/>
              </w:rPr>
              <w:t>Leave empty if no vendor comment</w:t>
            </w:r>
          </w:p>
        </w:tc>
      </w:tr>
      <w:tr w:rsidR="002E010C" w:rsidRPr="004C04C6" w14:paraId="1A79F487" w14:textId="77777777" w:rsidTr="005B3903">
        <w:tc>
          <w:tcPr>
            <w:tcW w:w="2970" w:type="dxa"/>
          </w:tcPr>
          <w:p w14:paraId="57B20D4E" w14:textId="77777777" w:rsidR="002E010C" w:rsidRPr="00B066E0" w:rsidRDefault="002E010C" w:rsidP="00B066E0">
            <w:pPr>
              <w:pStyle w:val="Tabletext"/>
              <w:spacing w:before="0"/>
              <w:rPr>
                <w:b w:val="0"/>
                <w:bCs/>
              </w:rPr>
            </w:pPr>
            <w:r w:rsidRPr="00B066E0">
              <w:rPr>
                <w:b w:val="0"/>
                <w:bCs/>
              </w:rPr>
              <w:t>LOINC Code</w:t>
            </w:r>
          </w:p>
        </w:tc>
        <w:tc>
          <w:tcPr>
            <w:tcW w:w="5310" w:type="dxa"/>
          </w:tcPr>
          <w:p w14:paraId="64B54DE3" w14:textId="77777777" w:rsidR="002E010C" w:rsidRPr="00B066E0" w:rsidRDefault="002E010C" w:rsidP="00B066E0">
            <w:pPr>
              <w:pStyle w:val="Tabletext"/>
              <w:spacing w:before="0"/>
              <w:rPr>
                <w:b w:val="0"/>
                <w:bCs/>
              </w:rPr>
            </w:pPr>
            <w:r w:rsidRPr="00B066E0">
              <w:rPr>
                <w:b w:val="0"/>
                <w:bCs/>
              </w:rPr>
              <w:t>Leave empty if no LOINC mapping</w:t>
            </w:r>
          </w:p>
        </w:tc>
      </w:tr>
      <w:tr w:rsidR="002E010C" w:rsidRPr="004C04C6" w14:paraId="2E4F8F34" w14:textId="77777777" w:rsidTr="005B3903">
        <w:tc>
          <w:tcPr>
            <w:tcW w:w="2970" w:type="dxa"/>
          </w:tcPr>
          <w:p w14:paraId="53A6AA92" w14:textId="77777777" w:rsidR="002E010C" w:rsidRPr="00B066E0" w:rsidRDefault="002E010C" w:rsidP="00B066E0">
            <w:pPr>
              <w:pStyle w:val="Tabletext"/>
              <w:spacing w:before="0"/>
              <w:rPr>
                <w:b w:val="0"/>
                <w:bCs/>
              </w:rPr>
            </w:pPr>
            <w:r w:rsidRPr="00B066E0">
              <w:rPr>
                <w:b w:val="0"/>
                <w:bCs/>
              </w:rPr>
              <w:t>LOINC Long Name</w:t>
            </w:r>
          </w:p>
        </w:tc>
        <w:tc>
          <w:tcPr>
            <w:tcW w:w="5310" w:type="dxa"/>
          </w:tcPr>
          <w:p w14:paraId="3BEA807A" w14:textId="77777777" w:rsidR="002E010C" w:rsidRPr="00B066E0" w:rsidRDefault="002E010C" w:rsidP="00B066E0">
            <w:pPr>
              <w:pStyle w:val="Tabletext"/>
              <w:spacing w:before="0"/>
              <w:rPr>
                <w:b w:val="0"/>
                <w:bCs/>
              </w:rPr>
            </w:pPr>
            <w:r w:rsidRPr="00B066E0">
              <w:rPr>
                <w:b w:val="0"/>
                <w:bCs/>
              </w:rPr>
              <w:t>Leave empty if no LOINC mapping</w:t>
            </w:r>
          </w:p>
        </w:tc>
      </w:tr>
      <w:tr w:rsidR="002E010C" w:rsidRPr="004C04C6" w14:paraId="45CB2B1A" w14:textId="77777777" w:rsidTr="005B3903">
        <w:tc>
          <w:tcPr>
            <w:tcW w:w="2970" w:type="dxa"/>
          </w:tcPr>
          <w:p w14:paraId="3D359149" w14:textId="77777777" w:rsidR="002E010C" w:rsidRPr="00B066E0" w:rsidRDefault="002E010C" w:rsidP="00B066E0">
            <w:pPr>
              <w:pStyle w:val="Tabletext"/>
              <w:spacing w:before="0"/>
              <w:rPr>
                <w:b w:val="0"/>
                <w:bCs/>
              </w:rPr>
            </w:pPr>
            <w:r w:rsidRPr="00B066E0">
              <w:rPr>
                <w:b w:val="0"/>
                <w:bCs/>
              </w:rPr>
              <w:t>Component</w:t>
            </w:r>
          </w:p>
        </w:tc>
        <w:tc>
          <w:tcPr>
            <w:tcW w:w="5310" w:type="dxa"/>
          </w:tcPr>
          <w:p w14:paraId="4B137DBA" w14:textId="77777777" w:rsidR="002E010C" w:rsidRPr="00B066E0" w:rsidRDefault="002E010C" w:rsidP="00B066E0">
            <w:pPr>
              <w:pStyle w:val="Tabletext"/>
              <w:spacing w:before="0"/>
              <w:rPr>
                <w:b w:val="0"/>
                <w:bCs/>
              </w:rPr>
            </w:pPr>
            <w:r w:rsidRPr="00B066E0">
              <w:rPr>
                <w:b w:val="0"/>
                <w:bCs/>
              </w:rPr>
              <w:t>Leave empty if no LOINC mapping</w:t>
            </w:r>
          </w:p>
        </w:tc>
      </w:tr>
      <w:tr w:rsidR="002E010C" w:rsidRPr="004C04C6" w14:paraId="2D26472C" w14:textId="77777777" w:rsidTr="005B3903">
        <w:tc>
          <w:tcPr>
            <w:tcW w:w="2970" w:type="dxa"/>
          </w:tcPr>
          <w:p w14:paraId="1E4158D1" w14:textId="77777777" w:rsidR="002E010C" w:rsidRPr="00B066E0" w:rsidRDefault="002E010C" w:rsidP="00B066E0">
            <w:pPr>
              <w:pStyle w:val="Tabletext"/>
              <w:spacing w:before="0"/>
              <w:rPr>
                <w:b w:val="0"/>
                <w:bCs/>
              </w:rPr>
            </w:pPr>
            <w:r w:rsidRPr="00B066E0">
              <w:rPr>
                <w:b w:val="0"/>
                <w:bCs/>
              </w:rPr>
              <w:t>Property</w:t>
            </w:r>
          </w:p>
        </w:tc>
        <w:tc>
          <w:tcPr>
            <w:tcW w:w="5310" w:type="dxa"/>
          </w:tcPr>
          <w:p w14:paraId="4BF911A2" w14:textId="77777777" w:rsidR="002E010C" w:rsidRPr="00B066E0" w:rsidRDefault="002E010C" w:rsidP="00B066E0">
            <w:pPr>
              <w:pStyle w:val="Tabletext"/>
              <w:spacing w:before="0"/>
              <w:rPr>
                <w:b w:val="0"/>
                <w:bCs/>
              </w:rPr>
            </w:pPr>
            <w:r w:rsidRPr="00B066E0">
              <w:rPr>
                <w:b w:val="0"/>
                <w:bCs/>
              </w:rPr>
              <w:t>Leave empty if no LOINC mapping</w:t>
            </w:r>
          </w:p>
        </w:tc>
      </w:tr>
      <w:tr w:rsidR="002E010C" w:rsidRPr="004C04C6" w14:paraId="5A92C66A" w14:textId="77777777" w:rsidTr="005B3903">
        <w:tc>
          <w:tcPr>
            <w:tcW w:w="2970" w:type="dxa"/>
          </w:tcPr>
          <w:p w14:paraId="30853C3A" w14:textId="77777777" w:rsidR="002E010C" w:rsidRPr="00B066E0" w:rsidRDefault="002E010C" w:rsidP="00B066E0">
            <w:pPr>
              <w:pStyle w:val="Tabletext"/>
              <w:spacing w:before="0"/>
              <w:rPr>
                <w:b w:val="0"/>
                <w:bCs/>
              </w:rPr>
            </w:pPr>
            <w:r w:rsidRPr="00B066E0">
              <w:rPr>
                <w:b w:val="0"/>
                <w:bCs/>
              </w:rPr>
              <w:t>Time</w:t>
            </w:r>
          </w:p>
        </w:tc>
        <w:tc>
          <w:tcPr>
            <w:tcW w:w="5310" w:type="dxa"/>
          </w:tcPr>
          <w:p w14:paraId="02643D5D" w14:textId="77777777" w:rsidR="002E010C" w:rsidRPr="00B066E0" w:rsidRDefault="002E010C" w:rsidP="00B066E0">
            <w:pPr>
              <w:pStyle w:val="Tabletext"/>
              <w:spacing w:before="0"/>
              <w:rPr>
                <w:b w:val="0"/>
                <w:bCs/>
              </w:rPr>
            </w:pPr>
            <w:r w:rsidRPr="00B066E0">
              <w:rPr>
                <w:b w:val="0"/>
                <w:bCs/>
              </w:rPr>
              <w:t>Leave empty if no LOINC mapping</w:t>
            </w:r>
          </w:p>
        </w:tc>
      </w:tr>
      <w:tr w:rsidR="002E010C" w:rsidRPr="004C04C6" w14:paraId="4C0A9964" w14:textId="77777777" w:rsidTr="005B3903">
        <w:tc>
          <w:tcPr>
            <w:tcW w:w="2970" w:type="dxa"/>
          </w:tcPr>
          <w:p w14:paraId="4BD2C21A" w14:textId="77777777" w:rsidR="002E010C" w:rsidRPr="00B066E0" w:rsidRDefault="002E010C" w:rsidP="00B066E0">
            <w:pPr>
              <w:pStyle w:val="Tabletext"/>
              <w:spacing w:before="0"/>
              <w:rPr>
                <w:b w:val="0"/>
                <w:bCs/>
              </w:rPr>
            </w:pPr>
            <w:r w:rsidRPr="00B066E0">
              <w:rPr>
                <w:b w:val="0"/>
                <w:bCs/>
              </w:rPr>
              <w:t>System</w:t>
            </w:r>
          </w:p>
        </w:tc>
        <w:tc>
          <w:tcPr>
            <w:tcW w:w="5310" w:type="dxa"/>
          </w:tcPr>
          <w:p w14:paraId="6F6D3802" w14:textId="77777777" w:rsidR="002E010C" w:rsidRPr="00B066E0" w:rsidRDefault="002E010C" w:rsidP="00B066E0">
            <w:pPr>
              <w:pStyle w:val="Tabletext"/>
              <w:spacing w:before="0"/>
              <w:rPr>
                <w:b w:val="0"/>
                <w:bCs/>
              </w:rPr>
            </w:pPr>
            <w:r w:rsidRPr="00B066E0">
              <w:rPr>
                <w:b w:val="0"/>
                <w:bCs/>
              </w:rPr>
              <w:t>Leave empty if no LOINC mapping</w:t>
            </w:r>
          </w:p>
        </w:tc>
      </w:tr>
      <w:tr w:rsidR="002E010C" w:rsidRPr="004C04C6" w14:paraId="2DC48EEA" w14:textId="77777777" w:rsidTr="005B3903">
        <w:tc>
          <w:tcPr>
            <w:tcW w:w="2970" w:type="dxa"/>
          </w:tcPr>
          <w:p w14:paraId="4DAB6420" w14:textId="77777777" w:rsidR="002E010C" w:rsidRPr="00B066E0" w:rsidRDefault="002E010C" w:rsidP="00B066E0">
            <w:pPr>
              <w:pStyle w:val="Tabletext"/>
              <w:spacing w:before="0"/>
              <w:rPr>
                <w:b w:val="0"/>
                <w:bCs/>
              </w:rPr>
            </w:pPr>
            <w:r w:rsidRPr="00B066E0">
              <w:rPr>
                <w:b w:val="0"/>
                <w:bCs/>
              </w:rPr>
              <w:t>Scale</w:t>
            </w:r>
          </w:p>
        </w:tc>
        <w:tc>
          <w:tcPr>
            <w:tcW w:w="5310" w:type="dxa"/>
          </w:tcPr>
          <w:p w14:paraId="432CEE73" w14:textId="77777777" w:rsidR="002E010C" w:rsidRPr="00B066E0" w:rsidRDefault="002E010C" w:rsidP="00B066E0">
            <w:pPr>
              <w:pStyle w:val="Tabletext"/>
              <w:spacing w:before="0"/>
              <w:rPr>
                <w:b w:val="0"/>
                <w:bCs/>
              </w:rPr>
            </w:pPr>
            <w:r w:rsidRPr="00B066E0">
              <w:rPr>
                <w:b w:val="0"/>
                <w:bCs/>
              </w:rPr>
              <w:t>Leave empty if no LOINC mapping</w:t>
            </w:r>
          </w:p>
        </w:tc>
      </w:tr>
      <w:tr w:rsidR="002E010C" w:rsidRPr="004C04C6" w14:paraId="546F2E9B" w14:textId="77777777" w:rsidTr="005B3903">
        <w:tc>
          <w:tcPr>
            <w:tcW w:w="2970" w:type="dxa"/>
          </w:tcPr>
          <w:p w14:paraId="68AB7861" w14:textId="77777777" w:rsidR="002E010C" w:rsidRPr="00B066E0" w:rsidRDefault="002E010C" w:rsidP="00B066E0">
            <w:pPr>
              <w:pStyle w:val="Tabletext"/>
              <w:spacing w:before="0"/>
              <w:rPr>
                <w:b w:val="0"/>
                <w:bCs/>
              </w:rPr>
            </w:pPr>
            <w:r w:rsidRPr="00B066E0">
              <w:rPr>
                <w:b w:val="0"/>
                <w:bCs/>
              </w:rPr>
              <w:t>Method</w:t>
            </w:r>
          </w:p>
        </w:tc>
        <w:tc>
          <w:tcPr>
            <w:tcW w:w="5310" w:type="dxa"/>
          </w:tcPr>
          <w:p w14:paraId="1536051F" w14:textId="77777777" w:rsidR="002E010C" w:rsidRPr="00B066E0" w:rsidRDefault="002E010C" w:rsidP="00B066E0">
            <w:pPr>
              <w:pStyle w:val="Tabletext"/>
              <w:spacing w:before="0"/>
              <w:rPr>
                <w:b w:val="0"/>
                <w:bCs/>
              </w:rPr>
            </w:pPr>
            <w:r w:rsidRPr="00B066E0">
              <w:rPr>
                <w:b w:val="0"/>
                <w:bCs/>
              </w:rPr>
              <w:t>Leave empty if no LOINC mapping</w:t>
            </w:r>
          </w:p>
        </w:tc>
      </w:tr>
    </w:tbl>
    <w:p w14:paraId="485BE0ED" w14:textId="77777777" w:rsidR="00FA7AB1" w:rsidRPr="004C04C6" w:rsidRDefault="00FA7AB1"/>
    <w:p w14:paraId="07D0BE2A" w14:textId="77777777" w:rsidR="005D3BCC" w:rsidRPr="004C04C6" w:rsidRDefault="00B14E68">
      <w:pPr>
        <w:pStyle w:val="Heading2"/>
      </w:pPr>
      <w:commentRangeStart w:id="20"/>
      <w:commentRangeStart w:id="21"/>
      <w:commentRangeStart w:id="22"/>
      <w:r w:rsidRPr="004C04C6">
        <w:t>Digital</w:t>
      </w:r>
      <w:r w:rsidR="00BD2C1F" w:rsidRPr="004C04C6">
        <w:t xml:space="preserve"> </w:t>
      </w:r>
      <w:r w:rsidR="005D3BCC" w:rsidRPr="004C04C6">
        <w:t>Format Recommendation</w:t>
      </w:r>
      <w:commentRangeEnd w:id="20"/>
      <w:r w:rsidR="009F63B2">
        <w:rPr>
          <w:rStyle w:val="CommentReference"/>
          <w:rFonts w:asciiTheme="minorHAnsi" w:eastAsiaTheme="minorHAnsi" w:hAnsiTheme="minorHAnsi" w:cstheme="minorBidi"/>
          <w:b w:val="0"/>
          <w:bCs w:val="0"/>
          <w:color w:val="auto"/>
        </w:rPr>
        <w:commentReference w:id="20"/>
      </w:r>
      <w:commentRangeEnd w:id="21"/>
      <w:r w:rsidR="009C301E">
        <w:rPr>
          <w:rStyle w:val="CommentReference"/>
          <w:rFonts w:asciiTheme="minorHAnsi" w:eastAsiaTheme="minorHAnsi" w:hAnsiTheme="minorHAnsi" w:cstheme="minorBidi"/>
          <w:b w:val="0"/>
          <w:bCs w:val="0"/>
          <w:color w:val="auto"/>
        </w:rPr>
        <w:commentReference w:id="21"/>
      </w:r>
      <w:commentRangeEnd w:id="22"/>
      <w:r w:rsidR="00960DF2">
        <w:rPr>
          <w:rStyle w:val="CommentReference"/>
          <w:rFonts w:asciiTheme="minorHAnsi" w:eastAsiaTheme="minorHAnsi" w:hAnsiTheme="minorHAnsi" w:cstheme="minorBidi"/>
          <w:b w:val="0"/>
          <w:bCs w:val="0"/>
          <w:color w:val="auto"/>
        </w:rPr>
        <w:commentReference w:id="22"/>
      </w:r>
    </w:p>
    <w:p w14:paraId="6E1C1178" w14:textId="56F4589F" w:rsidR="005D3BCC" w:rsidRPr="004C04C6" w:rsidRDefault="005D3BCC">
      <w:r w:rsidRPr="004C04C6">
        <w:t xml:space="preserve">JSON (JavaScript Object Notation) </w:t>
      </w:r>
      <w:r w:rsidR="008D586D">
        <w:t>is recommended</w:t>
      </w:r>
      <w:r w:rsidRPr="004C04C6">
        <w:t xml:space="preserve"> as the digital format.  JSON was chosen because it provides the following benefits:</w:t>
      </w:r>
    </w:p>
    <w:p w14:paraId="45D71BFC" w14:textId="77777777" w:rsidR="005D3BCC" w:rsidRPr="004C04C6" w:rsidRDefault="005D3BCC">
      <w:pPr>
        <w:pStyle w:val="ListBullet2"/>
        <w:numPr>
          <w:ilvl w:val="0"/>
          <w:numId w:val="20"/>
        </w:numPr>
      </w:pPr>
      <w:r w:rsidRPr="004C04C6">
        <w:t>Industry standard for describing digital content</w:t>
      </w:r>
    </w:p>
    <w:p w14:paraId="685961E5" w14:textId="77777777" w:rsidR="005D3BCC" w:rsidRPr="004C04C6" w:rsidRDefault="005D3BCC">
      <w:pPr>
        <w:pStyle w:val="ListBullet2"/>
        <w:numPr>
          <w:ilvl w:val="0"/>
          <w:numId w:val="20"/>
        </w:numPr>
      </w:pPr>
      <w:r w:rsidRPr="004C04C6">
        <w:t>Human readable</w:t>
      </w:r>
    </w:p>
    <w:p w14:paraId="480D75BE" w14:textId="77777777" w:rsidR="005D3BCC" w:rsidRPr="004C04C6" w:rsidRDefault="005D3BCC">
      <w:pPr>
        <w:pStyle w:val="ListBullet2"/>
        <w:numPr>
          <w:ilvl w:val="0"/>
          <w:numId w:val="20"/>
        </w:numPr>
      </w:pPr>
      <w:r w:rsidRPr="004C04C6">
        <w:t>Lightweight</w:t>
      </w:r>
    </w:p>
    <w:p w14:paraId="476AD4E9" w14:textId="77777777" w:rsidR="005D3BCC" w:rsidRPr="004C04C6" w:rsidRDefault="005D3BCC">
      <w:pPr>
        <w:pStyle w:val="ListBullet2"/>
        <w:numPr>
          <w:ilvl w:val="0"/>
          <w:numId w:val="20"/>
        </w:numPr>
      </w:pPr>
      <w:r w:rsidRPr="004C04C6">
        <w:t>Simple syntax</w:t>
      </w:r>
    </w:p>
    <w:p w14:paraId="6876D525" w14:textId="77777777" w:rsidR="005D3BCC" w:rsidRPr="004C04C6" w:rsidRDefault="005D3BCC">
      <w:pPr>
        <w:pStyle w:val="ListBullet2"/>
        <w:numPr>
          <w:ilvl w:val="0"/>
          <w:numId w:val="20"/>
        </w:numPr>
      </w:pPr>
      <w:r w:rsidRPr="004C04C6">
        <w:t>Designed for data exchange</w:t>
      </w:r>
    </w:p>
    <w:p w14:paraId="31DBD8DD" w14:textId="77777777" w:rsidR="00D86E81" w:rsidRPr="004C04C6" w:rsidRDefault="005D3BCC">
      <w:pPr>
        <w:pStyle w:val="ListBullet2"/>
        <w:numPr>
          <w:ilvl w:val="0"/>
          <w:numId w:val="20"/>
        </w:numPr>
      </w:pPr>
      <w:r w:rsidRPr="004C04C6">
        <w:t>Ease of use by IVD Systems and tooling</w:t>
      </w:r>
    </w:p>
    <w:p w14:paraId="5A1B69C1" w14:textId="77777777" w:rsidR="00D86E81" w:rsidRPr="004C04C6" w:rsidRDefault="005D3BCC">
      <w:pPr>
        <w:pStyle w:val="ListBullet2"/>
        <w:numPr>
          <w:ilvl w:val="1"/>
          <w:numId w:val="35"/>
        </w:numPr>
      </w:pPr>
      <w:r w:rsidRPr="004C04C6">
        <w:t xml:space="preserve">Consumption of JSON by IVD software systems </w:t>
      </w:r>
    </w:p>
    <w:p w14:paraId="68B4F84A" w14:textId="77777777" w:rsidR="00D86E81" w:rsidRPr="004C04C6" w:rsidRDefault="005D3BCC">
      <w:pPr>
        <w:pStyle w:val="ListBullet2"/>
        <w:numPr>
          <w:ilvl w:val="1"/>
          <w:numId w:val="35"/>
        </w:numPr>
      </w:pPr>
      <w:r w:rsidRPr="004C04C6">
        <w:t xml:space="preserve">Conversion of JSON into </w:t>
      </w:r>
      <w:r w:rsidR="007E5A87" w:rsidRPr="004C04C6">
        <w:t>spreadsheet</w:t>
      </w:r>
      <w:r w:rsidRPr="004C04C6">
        <w:t xml:space="preserve"> format</w:t>
      </w:r>
    </w:p>
    <w:p w14:paraId="01A60D4C" w14:textId="77777777" w:rsidR="005D3BCC" w:rsidRPr="004C04C6" w:rsidRDefault="005D3BCC">
      <w:pPr>
        <w:pStyle w:val="ListBullet2"/>
        <w:numPr>
          <w:ilvl w:val="1"/>
          <w:numId w:val="35"/>
        </w:numPr>
      </w:pPr>
      <w:r w:rsidRPr="004C04C6">
        <w:t>Conversion of JSON into future FHIR</w:t>
      </w:r>
      <w:r w:rsidR="00C74663" w:rsidRPr="004C04C6">
        <w:rPr>
          <w:rFonts w:cstheme="minorHAnsi"/>
        </w:rPr>
        <w:t>®</w:t>
      </w:r>
      <w:r w:rsidRPr="004C04C6">
        <w:t xml:space="preserve"> format</w:t>
      </w:r>
    </w:p>
    <w:p w14:paraId="5A58CAFD" w14:textId="77777777" w:rsidR="005D3BCC" w:rsidRPr="004C04C6" w:rsidRDefault="005D3BCC">
      <w:pPr>
        <w:pStyle w:val="ListBullet2"/>
        <w:numPr>
          <w:ilvl w:val="0"/>
          <w:numId w:val="2"/>
        </w:numPr>
      </w:pPr>
      <w:r w:rsidRPr="004C04C6">
        <w:t>International format that is not tied to any specific interoperability standard. The format could be easily integrated into or used by existing protocols and standards.</w:t>
      </w:r>
    </w:p>
    <w:p w14:paraId="1B703676" w14:textId="77777777" w:rsidR="0078445F" w:rsidRPr="004C04C6" w:rsidRDefault="00966A77">
      <w:r w:rsidRPr="004C04C6">
        <w:t>It was recognized that multiple formats, protocols, and standards exist</w:t>
      </w:r>
      <w:r w:rsidR="008019BE" w:rsidRPr="004C04C6">
        <w:t xml:space="preserve"> that could be used to publish the LOINC for Vendor IVD Tests</w:t>
      </w:r>
      <w:r w:rsidRPr="004C04C6">
        <w:t xml:space="preserve">. The following </w:t>
      </w:r>
      <w:r w:rsidR="008510AA" w:rsidRPr="004C04C6">
        <w:t xml:space="preserve">possible </w:t>
      </w:r>
      <w:r w:rsidR="008019BE" w:rsidRPr="004C04C6">
        <w:t xml:space="preserve">options </w:t>
      </w:r>
      <w:r w:rsidR="00A54129" w:rsidRPr="004C04C6">
        <w:t>were considered</w:t>
      </w:r>
      <w:r w:rsidR="008510AA" w:rsidRPr="004C04C6">
        <w:t>, but not selected</w:t>
      </w:r>
      <w:r w:rsidR="00A54129" w:rsidRPr="004C04C6">
        <w:t>:</w:t>
      </w:r>
    </w:p>
    <w:p w14:paraId="3AE6170C" w14:textId="77777777" w:rsidR="003B265C" w:rsidRPr="004C04C6" w:rsidRDefault="00A54129">
      <w:pPr>
        <w:pStyle w:val="ListParagraph"/>
        <w:numPr>
          <w:ilvl w:val="0"/>
          <w:numId w:val="22"/>
        </w:numPr>
      </w:pPr>
      <w:proofErr w:type="spellStart"/>
      <w:r w:rsidRPr="004C04C6">
        <w:t>eDOS</w:t>
      </w:r>
      <w:proofErr w:type="spellEnd"/>
      <w:r w:rsidR="007137FE" w:rsidRPr="004C04C6">
        <w:t xml:space="preserve"> – Electronic Delivery of Service</w:t>
      </w:r>
    </w:p>
    <w:p w14:paraId="280EFA75" w14:textId="77777777" w:rsidR="003B265C" w:rsidRPr="004C04C6" w:rsidRDefault="007F1E25">
      <w:pPr>
        <w:pStyle w:val="ListParagraph"/>
        <w:numPr>
          <w:ilvl w:val="1"/>
          <w:numId w:val="23"/>
        </w:numPr>
      </w:pPr>
      <w:r w:rsidRPr="004C04C6">
        <w:t>Does not support human readable (data at rest) representation</w:t>
      </w:r>
    </w:p>
    <w:p w14:paraId="61AB1ED6" w14:textId="77777777" w:rsidR="007F1E25" w:rsidRPr="004C04C6" w:rsidRDefault="007F1E25">
      <w:pPr>
        <w:pStyle w:val="ListParagraph"/>
        <w:numPr>
          <w:ilvl w:val="1"/>
          <w:numId w:val="23"/>
        </w:numPr>
      </w:pPr>
      <w:r w:rsidRPr="004C04C6">
        <w:t>Includes message-level content</w:t>
      </w:r>
    </w:p>
    <w:p w14:paraId="7CCAEAC1" w14:textId="77777777" w:rsidR="00A54129" w:rsidRPr="004C04C6" w:rsidRDefault="00A54129" w:rsidP="00B066E0">
      <w:pPr>
        <w:pStyle w:val="ListParagraph"/>
        <w:numPr>
          <w:ilvl w:val="0"/>
          <w:numId w:val="22"/>
        </w:numPr>
      </w:pPr>
      <w:r w:rsidRPr="004C04C6">
        <w:t>SPL – Structured Product Labeling</w:t>
      </w:r>
    </w:p>
    <w:p w14:paraId="0F9CE75A" w14:textId="77777777" w:rsidR="00A54129" w:rsidRPr="004C04C6" w:rsidRDefault="00A54129" w:rsidP="00B066E0">
      <w:pPr>
        <w:pStyle w:val="ListParagraph"/>
        <w:numPr>
          <w:ilvl w:val="1"/>
          <w:numId w:val="24"/>
        </w:numPr>
      </w:pPr>
      <w:r w:rsidRPr="004C04C6">
        <w:t>Established for pharmaceutical products</w:t>
      </w:r>
    </w:p>
    <w:p w14:paraId="11641747" w14:textId="77777777" w:rsidR="00A54129" w:rsidRPr="004C04C6" w:rsidRDefault="008019BE">
      <w:pPr>
        <w:pStyle w:val="ListParagraph"/>
        <w:numPr>
          <w:ilvl w:val="1"/>
          <w:numId w:val="24"/>
        </w:numPr>
      </w:pPr>
      <w:r w:rsidRPr="004C04C6">
        <w:t>A</w:t>
      </w:r>
      <w:r w:rsidR="00A54129" w:rsidRPr="004C04C6">
        <w:t>lso used for GUID</w:t>
      </w:r>
    </w:p>
    <w:p w14:paraId="47DDBF62" w14:textId="77777777" w:rsidR="00A54129" w:rsidRPr="004C04C6" w:rsidRDefault="00A54129">
      <w:pPr>
        <w:pStyle w:val="ListParagraph"/>
        <w:numPr>
          <w:ilvl w:val="0"/>
          <w:numId w:val="22"/>
        </w:numPr>
      </w:pPr>
      <w:r w:rsidRPr="004C04C6">
        <w:t xml:space="preserve">IHE </w:t>
      </w:r>
      <w:proofErr w:type="spellStart"/>
      <w:r w:rsidRPr="004C04C6">
        <w:t>PaLM</w:t>
      </w:r>
      <w:proofErr w:type="spellEnd"/>
      <w:r w:rsidRPr="004C04C6">
        <w:t xml:space="preserve"> Laboratory Code Set Distribution (LCSD)/HL7</w:t>
      </w:r>
      <w:r w:rsidR="00C74663" w:rsidRPr="004C04C6">
        <w:rPr>
          <w:rFonts w:cstheme="minorHAnsi"/>
        </w:rPr>
        <w:t>®</w:t>
      </w:r>
      <w:r w:rsidRPr="004C04C6">
        <w:t xml:space="preserve"> v2.5.1Master Files</w:t>
      </w:r>
    </w:p>
    <w:p w14:paraId="2103DC1C" w14:textId="77777777" w:rsidR="00A54129" w:rsidRPr="004C04C6" w:rsidRDefault="00A54129">
      <w:pPr>
        <w:pStyle w:val="ListParagraph"/>
        <w:numPr>
          <w:ilvl w:val="1"/>
          <w:numId w:val="25"/>
        </w:numPr>
      </w:pPr>
      <w:r w:rsidRPr="004C04C6">
        <w:t>Does not support human readable (data at rest) representation</w:t>
      </w:r>
    </w:p>
    <w:p w14:paraId="2C1FD8EB" w14:textId="77777777" w:rsidR="007F1E25" w:rsidRPr="004C04C6" w:rsidRDefault="007F1E25">
      <w:pPr>
        <w:pStyle w:val="ListParagraph"/>
        <w:numPr>
          <w:ilvl w:val="1"/>
          <w:numId w:val="25"/>
        </w:numPr>
      </w:pPr>
      <w:r w:rsidRPr="004C04C6">
        <w:t>Includes messaging-level content</w:t>
      </w:r>
    </w:p>
    <w:p w14:paraId="5CD1726E" w14:textId="77777777" w:rsidR="000C0B8D" w:rsidRPr="004C04C6" w:rsidRDefault="00A72287">
      <w:pPr>
        <w:pStyle w:val="ListParagraph"/>
        <w:numPr>
          <w:ilvl w:val="0"/>
          <w:numId w:val="22"/>
        </w:numPr>
      </w:pPr>
      <w:r w:rsidRPr="004C04C6">
        <w:t>CSV</w:t>
      </w:r>
      <w:r w:rsidR="007137FE" w:rsidRPr="004C04C6">
        <w:t xml:space="preserve"> – Comma Separated </w:t>
      </w:r>
      <w:r w:rsidR="001674C4" w:rsidRPr="004C04C6">
        <w:t>V</w:t>
      </w:r>
      <w:r w:rsidR="007137FE" w:rsidRPr="004C04C6">
        <w:t>alues</w:t>
      </w:r>
    </w:p>
    <w:p w14:paraId="6A1FD59A" w14:textId="77777777" w:rsidR="00A72287" w:rsidRPr="004C04C6" w:rsidRDefault="00A72287">
      <w:pPr>
        <w:pStyle w:val="ListParagraph"/>
        <w:numPr>
          <w:ilvl w:val="1"/>
          <w:numId w:val="22"/>
        </w:numPr>
      </w:pPr>
      <w:r w:rsidRPr="004C04C6">
        <w:t xml:space="preserve">The combination of multiple vendor names with multiple LOINC will require </w:t>
      </w:r>
      <w:r w:rsidR="008019BE" w:rsidRPr="004C04C6">
        <w:t xml:space="preserve">a </w:t>
      </w:r>
      <w:r w:rsidRPr="004C04C6">
        <w:t>significant pivot table</w:t>
      </w:r>
    </w:p>
    <w:p w14:paraId="62526782" w14:textId="77777777" w:rsidR="00552D8D" w:rsidRPr="004C04C6" w:rsidRDefault="00552D8D">
      <w:pPr>
        <w:pStyle w:val="ListParagraph"/>
        <w:numPr>
          <w:ilvl w:val="0"/>
          <w:numId w:val="22"/>
        </w:numPr>
      </w:pPr>
      <w:r w:rsidRPr="004C04C6">
        <w:t>XML</w:t>
      </w:r>
      <w:r w:rsidR="008D5224" w:rsidRPr="004C04C6">
        <w:t xml:space="preserve"> – Extensible Markup Language</w:t>
      </w:r>
    </w:p>
    <w:p w14:paraId="0E59DC04" w14:textId="77777777" w:rsidR="008B4728" w:rsidRPr="004C04C6" w:rsidRDefault="008B4728">
      <w:pPr>
        <w:pStyle w:val="ListParagraph"/>
        <w:numPr>
          <w:ilvl w:val="1"/>
          <w:numId w:val="22"/>
        </w:numPr>
      </w:pPr>
      <w:r w:rsidRPr="004C04C6">
        <w:t>Excellent for data representation (documents)</w:t>
      </w:r>
    </w:p>
    <w:p w14:paraId="285A4D9C" w14:textId="77777777" w:rsidR="008B4728" w:rsidRPr="004C04C6" w:rsidRDefault="008B4728">
      <w:pPr>
        <w:pStyle w:val="ListParagraph"/>
        <w:numPr>
          <w:ilvl w:val="1"/>
          <w:numId w:val="22"/>
        </w:numPr>
      </w:pPr>
      <w:r w:rsidRPr="004C04C6">
        <w:t>Cumbersome for data exchange</w:t>
      </w:r>
    </w:p>
    <w:p w14:paraId="28B59385" w14:textId="77777777" w:rsidR="00E63E2C" w:rsidRPr="004C04C6" w:rsidRDefault="00E63E2C">
      <w:pPr>
        <w:pStyle w:val="Heading2"/>
      </w:pPr>
      <w:commentRangeStart w:id="23"/>
      <w:r w:rsidRPr="004C04C6">
        <w:t>Digital Format Schema</w:t>
      </w:r>
      <w:commentRangeEnd w:id="23"/>
      <w:r w:rsidR="00960DF2">
        <w:rPr>
          <w:rStyle w:val="CommentReference"/>
          <w:rFonts w:asciiTheme="minorHAnsi" w:eastAsiaTheme="minorHAnsi" w:hAnsiTheme="minorHAnsi" w:cstheme="minorBidi"/>
          <w:b w:val="0"/>
          <w:bCs w:val="0"/>
          <w:color w:val="auto"/>
        </w:rPr>
        <w:commentReference w:id="23"/>
      </w:r>
    </w:p>
    <w:p w14:paraId="0586C6A4" w14:textId="5F5BFFF1" w:rsidR="00960DF2" w:rsidRPr="004C04C6" w:rsidRDefault="002C5517" w:rsidP="00960DF2">
      <w:r w:rsidRPr="004C04C6">
        <w:t xml:space="preserve">The schema for the JSON Digital Format is </w:t>
      </w:r>
      <w:r w:rsidR="00960DF2">
        <w:t>being developed as a</w:t>
      </w:r>
      <w:r w:rsidR="00960DF2">
        <w:t xml:space="preserve"> </w:t>
      </w:r>
      <w:r w:rsidR="00960DF2" w:rsidRPr="004C04C6">
        <w:t>FHIR</w:t>
      </w:r>
      <w:r w:rsidR="00960DF2" w:rsidRPr="00960DF2">
        <w:rPr>
          <w:rFonts w:cstheme="minorHAnsi"/>
        </w:rPr>
        <w:t>®</w:t>
      </w:r>
      <w:r w:rsidR="00960DF2" w:rsidRPr="004C04C6">
        <w:t xml:space="preserve"> (Fast Healthcare Interoperability Resources</w:t>
      </w:r>
      <w:r w:rsidR="00960DF2" w:rsidRPr="00960DF2">
        <w:rPr>
          <w:rFonts w:cstheme="minorHAnsi"/>
        </w:rPr>
        <w:t>®</w:t>
      </w:r>
      <w:r w:rsidR="00960DF2" w:rsidRPr="004C04C6">
        <w:t>) Resource</w:t>
      </w:r>
      <w:r w:rsidR="00960DF2">
        <w:t>, which provides:</w:t>
      </w:r>
    </w:p>
    <w:p w14:paraId="1E7F43E4" w14:textId="77777777" w:rsidR="00960DF2" w:rsidRPr="004C04C6" w:rsidRDefault="00960DF2" w:rsidP="00960DF2">
      <w:pPr>
        <w:pStyle w:val="ListParagraph"/>
        <w:numPr>
          <w:ilvl w:val="1"/>
          <w:numId w:val="22"/>
        </w:numPr>
      </w:pPr>
      <w:r w:rsidRPr="004C04C6">
        <w:t>Solid ontology-based analysis with a rigorous formal mapping for correctness</w:t>
      </w:r>
    </w:p>
    <w:p w14:paraId="58E9221E" w14:textId="737EDF13" w:rsidR="00E63E2C" w:rsidRDefault="00960DF2" w:rsidP="00960DF2">
      <w:pPr>
        <w:pStyle w:val="ListParagraph"/>
        <w:numPr>
          <w:ilvl w:val="1"/>
          <w:numId w:val="22"/>
        </w:numPr>
      </w:pPr>
      <w:r w:rsidRPr="004C04C6">
        <w:t>Support for light-weight RESTful architectures and seamless exchange of information using messages</w:t>
      </w:r>
    </w:p>
    <w:p w14:paraId="33382988" w14:textId="084A651E" w:rsidR="00960DF2" w:rsidRPr="004C04C6" w:rsidRDefault="00960DF2" w:rsidP="00960DF2">
      <w:r>
        <w:t xml:space="preserve">Please see </w:t>
      </w:r>
      <w:commentRangeStart w:id="24"/>
      <w:r>
        <w:t>&lt;Need a reference to HL7 LIVD IG&gt;</w:t>
      </w:r>
      <w:commentRangeEnd w:id="24"/>
      <w:r>
        <w:rPr>
          <w:rStyle w:val="CommentReference"/>
        </w:rPr>
        <w:commentReference w:id="24"/>
      </w:r>
      <w:r>
        <w:t xml:space="preserve"> for details about the HL7 definition</w:t>
      </w:r>
      <w:r w:rsidR="00C52F04">
        <w:t xml:space="preserve"> and current status</w:t>
      </w:r>
      <w:bookmarkStart w:id="25" w:name="_GoBack"/>
      <w:bookmarkEnd w:id="25"/>
      <w:r>
        <w:t>.</w:t>
      </w:r>
    </w:p>
    <w:p w14:paraId="02CEB9B6" w14:textId="08986FD8" w:rsidR="006C20CE" w:rsidRPr="006B5578" w:rsidRDefault="00DC673E">
      <w:pPr>
        <w:pStyle w:val="Heading1"/>
      </w:pPr>
      <w:r w:rsidRPr="006B5578">
        <w:t xml:space="preserve">LOINC Publication </w:t>
      </w:r>
      <w:r w:rsidR="008B10EF" w:rsidRPr="006B5578">
        <w:t>Ex</w:t>
      </w:r>
      <w:r w:rsidR="008D586D">
        <w:t>a</w:t>
      </w:r>
      <w:r w:rsidR="008B10EF" w:rsidRPr="006B5578">
        <w:t>mple</w:t>
      </w:r>
    </w:p>
    <w:p w14:paraId="4FB7224E" w14:textId="77777777" w:rsidR="00E8516F" w:rsidRPr="006B5578" w:rsidRDefault="00E8516F">
      <w:pPr>
        <w:pStyle w:val="Heading2"/>
      </w:pPr>
      <w:r w:rsidRPr="006B5578">
        <w:t>Excel Table Format</w:t>
      </w:r>
    </w:p>
    <w:p w14:paraId="3FABE41A" w14:textId="77777777" w:rsidR="007F1FB9" w:rsidRPr="004C04C6" w:rsidRDefault="00E8516F">
      <w:r w:rsidRPr="004C04C6">
        <w:t>The table format is useful when the publication is reviewed by a human</w:t>
      </w:r>
      <w:r w:rsidR="005B60E4" w:rsidRPr="004C04C6">
        <w:t>.</w:t>
      </w:r>
      <w:r w:rsidRPr="004C04C6">
        <w:t xml:space="preserve"> Th</w:t>
      </w:r>
      <w:r w:rsidR="00A71C8F" w:rsidRPr="004C04C6">
        <w:t xml:space="preserve">is Excel spreadsheet version was created using the </w:t>
      </w:r>
      <w:r w:rsidR="00A71C8F" w:rsidRPr="004C04C6">
        <w:rPr>
          <w:i/>
        </w:rPr>
        <w:t xml:space="preserve">Table Format Recommendations </w:t>
      </w:r>
      <w:r w:rsidR="00A71C8F" w:rsidRPr="004C04C6">
        <w:t xml:space="preserve">above. The </w:t>
      </w:r>
      <w:r w:rsidRPr="004C04C6">
        <w:t xml:space="preserve">rows </w:t>
      </w:r>
      <w:r w:rsidR="00A71C8F" w:rsidRPr="004C04C6">
        <w:t xml:space="preserve">in the LOINC Table Example worksheet </w:t>
      </w:r>
      <w:r w:rsidRPr="004C04C6">
        <w:t xml:space="preserve">describe a unique IVD Test </w:t>
      </w:r>
      <w:r w:rsidR="00A71C8F" w:rsidRPr="004C04C6">
        <w:t xml:space="preserve">Mapping </w:t>
      </w:r>
      <w:r w:rsidRPr="004C04C6">
        <w:t>for a</w:t>
      </w:r>
      <w:r w:rsidR="00A71C8F" w:rsidRPr="004C04C6">
        <w:t xml:space="preserve"> vendor IVD Test Result</w:t>
      </w:r>
      <w:r w:rsidRPr="004C04C6">
        <w:t xml:space="preserve"> to LOIN</w:t>
      </w:r>
      <w:r w:rsidR="00A71C8F" w:rsidRPr="004C04C6">
        <w:t xml:space="preserve">C </w:t>
      </w:r>
      <w:r w:rsidRPr="004C04C6">
        <w:t xml:space="preserve">relationship. </w:t>
      </w:r>
      <w:r w:rsidR="00A71C8F" w:rsidRPr="004C04C6">
        <w:t>Filters have also been added to the table columns. The Excel table content can be constructed from the JSON Digital Format.</w:t>
      </w:r>
      <w:r w:rsidR="007F1FB9" w:rsidRPr="004C04C6">
        <w:t xml:space="preserve"> An example Excel file is also downloadable from this site.</w:t>
      </w:r>
    </w:p>
    <w:p w14:paraId="470784B6" w14:textId="77777777" w:rsidR="007D4B5C" w:rsidRPr="004C04C6" w:rsidRDefault="000E76F8">
      <w:pPr>
        <w:pStyle w:val="Heading1"/>
      </w:pPr>
      <w:r w:rsidRPr="004C04C6">
        <w:t>Summary</w:t>
      </w:r>
    </w:p>
    <w:p w14:paraId="32EAD41E" w14:textId="6DAEE26B" w:rsidR="000B0E29" w:rsidRDefault="007F1E25">
      <w:r w:rsidRPr="004C04C6">
        <w:t>This document propose</w:t>
      </w:r>
      <w:r w:rsidR="00274FA5" w:rsidRPr="004C04C6">
        <w:t>s</w:t>
      </w:r>
      <w:r w:rsidRPr="004C04C6">
        <w:t xml:space="preserve"> a data definition and digital format, for IVD </w:t>
      </w:r>
      <w:r w:rsidR="000B0E29">
        <w:t>manufacturers</w:t>
      </w:r>
      <w:r w:rsidR="000B0E29" w:rsidRPr="004C04C6">
        <w:t xml:space="preserve"> </w:t>
      </w:r>
      <w:r w:rsidRPr="004C04C6">
        <w:t xml:space="preserve">to use when publishing LOINC codes for their IVD Tests. </w:t>
      </w:r>
      <w:r w:rsidR="000B0E29">
        <w:t xml:space="preserve">This format is also intended to be used when a health authority or any other organization intend </w:t>
      </w:r>
      <w:r w:rsidR="00052B99">
        <w:t xml:space="preserve">to </w:t>
      </w:r>
      <w:r w:rsidR="000B0E29">
        <w:t>aggregate LOINC codes from different manufacturers publications for a specific need.</w:t>
      </w:r>
    </w:p>
    <w:p w14:paraId="067B0978" w14:textId="507BF225" w:rsidR="007F1E25" w:rsidRPr="004C04C6" w:rsidRDefault="007F1E25">
      <w:r w:rsidRPr="004C04C6">
        <w:t xml:space="preserve">The proposed format is human readable, and can be easily </w:t>
      </w:r>
      <w:r w:rsidR="0000081B" w:rsidRPr="004C04C6">
        <w:t>produced as a</w:t>
      </w:r>
      <w:r w:rsidRPr="004C04C6">
        <w:t xml:space="preserve"> table format, such as Microsoft Excel, that further simplifies i</w:t>
      </w:r>
      <w:r w:rsidR="00274FA5" w:rsidRPr="004C04C6">
        <w:t>t</w:t>
      </w:r>
      <w:r w:rsidRPr="004C04C6">
        <w:t xml:space="preserve">s use within a laboratory setting. In addition, the digital format is suitable for use by IVD software </w:t>
      </w:r>
      <w:r w:rsidR="00B14E68" w:rsidRPr="004C04C6">
        <w:t>systems,</w:t>
      </w:r>
      <w:r w:rsidRPr="004C04C6">
        <w:t xml:space="preserve"> such as a Laboratory Information System (LIS), that automate Vendor IVD Test to LOINC mappings.</w:t>
      </w:r>
    </w:p>
    <w:p w14:paraId="392701C8" w14:textId="7F91B403" w:rsidR="007F1E25" w:rsidRPr="004C04C6" w:rsidRDefault="007F1E25">
      <w:r w:rsidRPr="004C04C6">
        <w:t xml:space="preserve">By </w:t>
      </w:r>
      <w:r w:rsidR="00FA5D4E" w:rsidRPr="004C04C6">
        <w:t xml:space="preserve">voluntarily </w:t>
      </w:r>
      <w:r w:rsidRPr="004C04C6">
        <w:t xml:space="preserve">adopting the format described here as an industry convention, IVD </w:t>
      </w:r>
      <w:r w:rsidR="000B0E29">
        <w:t>manufacturers</w:t>
      </w:r>
      <w:r w:rsidR="000B0E29" w:rsidRPr="004C04C6">
        <w:t xml:space="preserve"> </w:t>
      </w:r>
      <w:r w:rsidRPr="004C04C6">
        <w:t>will understand what data and in what format they should provide when publishing LOINC for their IVD Tests. By doing so, this work will significantly reduce the variability of the content and format of the multiple publications received by laboratory environments, further reducing the time and effort required by laboratories to review and integrate this information into their laboratory software systems. The format includes additional vendor information, such as a description of the result</w:t>
      </w:r>
      <w:r w:rsidR="00BF7F9C">
        <w:t xml:space="preserve"> and specimen description</w:t>
      </w:r>
      <w:r w:rsidRPr="004C04C6">
        <w:t>, used to easily discriminate between multiple LOINC codes for the same IVD Test.</w:t>
      </w:r>
    </w:p>
    <w:p w14:paraId="287C308C" w14:textId="3578A14E" w:rsidR="007F1E25" w:rsidRPr="004C04C6" w:rsidRDefault="007F1E25">
      <w:r w:rsidRPr="004C04C6">
        <w:t xml:space="preserve">Ultimately, it is expected that the LOINC codes selected by manufacturers would be reviewed by a common party (e.g. </w:t>
      </w:r>
      <w:r w:rsidR="00BF7F9C">
        <w:t xml:space="preserve">LOINC, </w:t>
      </w:r>
      <w:proofErr w:type="spellStart"/>
      <w:r w:rsidRPr="004C04C6">
        <w:t>Regenstrief</w:t>
      </w:r>
      <w:proofErr w:type="spellEnd"/>
      <w:r w:rsidR="00BF7F9C">
        <w:t xml:space="preserve"> Institute</w:t>
      </w:r>
      <w:r w:rsidRPr="004C04C6">
        <w:t xml:space="preserve">) for correctness and consistency across vendors, </w:t>
      </w:r>
      <w:proofErr w:type="gramStart"/>
      <w:r w:rsidRPr="004C04C6">
        <w:t>and also</w:t>
      </w:r>
      <w:proofErr w:type="gramEnd"/>
      <w:r w:rsidRPr="004C04C6">
        <w:t xml:space="preserve"> that the industry would establish conventions for the storage and access of the IVD </w:t>
      </w:r>
      <w:r w:rsidR="0000081B" w:rsidRPr="004C04C6">
        <w:t>v</w:t>
      </w:r>
      <w:r w:rsidRPr="004C04C6">
        <w:t>endor LOINC publications. The effort required for these object</w:t>
      </w:r>
      <w:r w:rsidR="0000081B" w:rsidRPr="004C04C6">
        <w:t>ive</w:t>
      </w:r>
      <w:r w:rsidRPr="004C04C6">
        <w:t>s will also be reduced by having this standard publication format and associated content.</w:t>
      </w:r>
    </w:p>
    <w:p w14:paraId="3F5F2B00" w14:textId="6FB34A3F" w:rsidR="005812B0" w:rsidRDefault="005812B0">
      <w:r w:rsidRPr="004C04C6">
        <w:br w:type="page"/>
      </w:r>
    </w:p>
    <w:p w14:paraId="1CAFEB3F" w14:textId="0B6A4BA4" w:rsidR="00CE27FE" w:rsidRDefault="00CE27FE" w:rsidP="00CE27FE">
      <w:pPr>
        <w:pStyle w:val="Heading1"/>
      </w:pPr>
      <w:r>
        <w:t>Revision History</w:t>
      </w:r>
    </w:p>
    <w:tbl>
      <w:tblPr>
        <w:tblStyle w:val="GridTable4"/>
        <w:tblW w:w="0" w:type="auto"/>
        <w:tblLook w:val="04A0" w:firstRow="1" w:lastRow="0" w:firstColumn="1" w:lastColumn="0" w:noHBand="0" w:noVBand="1"/>
      </w:tblPr>
      <w:tblGrid>
        <w:gridCol w:w="914"/>
        <w:gridCol w:w="663"/>
        <w:gridCol w:w="9213"/>
      </w:tblGrid>
      <w:tr w:rsidR="00CE27FE" w14:paraId="701A38D1" w14:textId="77777777" w:rsidTr="00CE2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D11923" w14:textId="7BAE8AC2" w:rsidR="00CE27FE" w:rsidRDefault="00CE27FE" w:rsidP="00CE27FE">
            <w:pPr>
              <w:ind w:left="0"/>
            </w:pPr>
            <w:r>
              <w:t>Version</w:t>
            </w:r>
          </w:p>
        </w:tc>
        <w:tc>
          <w:tcPr>
            <w:tcW w:w="0" w:type="auto"/>
          </w:tcPr>
          <w:p w14:paraId="1BBE2DEE" w14:textId="2B2ACA0C" w:rsidR="00CE27FE" w:rsidRDefault="00CE27FE" w:rsidP="00CE27FE">
            <w:pPr>
              <w:ind w:left="0"/>
              <w:cnfStyle w:val="100000000000" w:firstRow="1" w:lastRow="0" w:firstColumn="0" w:lastColumn="0" w:oddVBand="0" w:evenVBand="0" w:oddHBand="0" w:evenHBand="0" w:firstRowFirstColumn="0" w:firstRowLastColumn="0" w:lastRowFirstColumn="0" w:lastRowLastColumn="0"/>
            </w:pPr>
            <w:r>
              <w:t>Date</w:t>
            </w:r>
          </w:p>
        </w:tc>
        <w:tc>
          <w:tcPr>
            <w:tcW w:w="0" w:type="auto"/>
          </w:tcPr>
          <w:p w14:paraId="69F4D19C" w14:textId="566AD3F0" w:rsidR="00CE27FE" w:rsidRDefault="00CE27FE" w:rsidP="00CE27FE">
            <w:pPr>
              <w:ind w:left="0"/>
              <w:cnfStyle w:val="100000000000" w:firstRow="1" w:lastRow="0" w:firstColumn="0" w:lastColumn="0" w:oddVBand="0" w:evenVBand="0" w:oddHBand="0" w:evenHBand="0" w:firstRowFirstColumn="0" w:firstRowLastColumn="0" w:lastRowFirstColumn="0" w:lastRowLastColumn="0"/>
            </w:pPr>
            <w:r>
              <w:t>Modifications</w:t>
            </w:r>
          </w:p>
        </w:tc>
      </w:tr>
      <w:tr w:rsidR="00CE27FE" w14:paraId="0EDD05C7" w14:textId="77777777" w:rsidTr="00CE2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02A063" w14:textId="6C3C6D67" w:rsidR="00CE27FE" w:rsidRDefault="00CE27FE" w:rsidP="00CE27FE">
            <w:pPr>
              <w:ind w:left="0"/>
            </w:pPr>
            <w:r>
              <w:t>1.0</w:t>
            </w:r>
          </w:p>
        </w:tc>
        <w:tc>
          <w:tcPr>
            <w:tcW w:w="0" w:type="auto"/>
          </w:tcPr>
          <w:p w14:paraId="34CFD68C" w14:textId="6127D666" w:rsidR="00CE27FE" w:rsidRDefault="00C4161F" w:rsidP="00CE27FE">
            <w:pPr>
              <w:ind w:left="0"/>
              <w:cnfStyle w:val="000000100000" w:firstRow="0" w:lastRow="0" w:firstColumn="0" w:lastColumn="0" w:oddVBand="0" w:evenVBand="0" w:oddHBand="1" w:evenHBand="0" w:firstRowFirstColumn="0" w:firstRowLastColumn="0" w:lastRowFirstColumn="0" w:lastRowLastColumn="0"/>
            </w:pPr>
            <w:r>
              <w:t>2017</w:t>
            </w:r>
          </w:p>
        </w:tc>
        <w:tc>
          <w:tcPr>
            <w:tcW w:w="0" w:type="auto"/>
          </w:tcPr>
          <w:p w14:paraId="246697DF" w14:textId="7F2B71CF" w:rsidR="00CE27FE" w:rsidRDefault="00CE27FE" w:rsidP="00CE27FE">
            <w:pPr>
              <w:ind w:left="0"/>
              <w:cnfStyle w:val="000000100000" w:firstRow="0" w:lastRow="0" w:firstColumn="0" w:lastColumn="0" w:oddVBand="0" w:evenVBand="0" w:oddHBand="1" w:evenHBand="0" w:firstRowFirstColumn="0" w:firstRowLastColumn="0" w:lastRowFirstColumn="0" w:lastRowLastColumn="0"/>
            </w:pPr>
            <w:r>
              <w:t>Initial version</w:t>
            </w:r>
          </w:p>
        </w:tc>
      </w:tr>
      <w:tr w:rsidR="00CE27FE" w14:paraId="554A6589" w14:textId="77777777" w:rsidTr="00CE27FE">
        <w:tc>
          <w:tcPr>
            <w:cnfStyle w:val="001000000000" w:firstRow="0" w:lastRow="0" w:firstColumn="1" w:lastColumn="0" w:oddVBand="0" w:evenVBand="0" w:oddHBand="0" w:evenHBand="0" w:firstRowFirstColumn="0" w:firstRowLastColumn="0" w:lastRowFirstColumn="0" w:lastRowLastColumn="0"/>
            <w:tcW w:w="0" w:type="auto"/>
          </w:tcPr>
          <w:p w14:paraId="71ABD50A" w14:textId="763CC68B" w:rsidR="00CE27FE" w:rsidRDefault="00CE27FE" w:rsidP="00CE27FE">
            <w:pPr>
              <w:ind w:left="0"/>
            </w:pPr>
            <w:r>
              <w:t>2.0</w:t>
            </w:r>
          </w:p>
        </w:tc>
        <w:tc>
          <w:tcPr>
            <w:tcW w:w="0" w:type="auto"/>
          </w:tcPr>
          <w:p w14:paraId="6818DAEA" w14:textId="4DF984FB" w:rsidR="00CE27FE" w:rsidRDefault="00CE27FE" w:rsidP="00CE27FE">
            <w:pPr>
              <w:ind w:left="0"/>
              <w:cnfStyle w:val="000000000000" w:firstRow="0" w:lastRow="0" w:firstColumn="0" w:lastColumn="0" w:oddVBand="0" w:evenVBand="0" w:oddHBand="0" w:evenHBand="0" w:firstRowFirstColumn="0" w:firstRowLastColumn="0" w:lastRowFirstColumn="0" w:lastRowLastColumn="0"/>
            </w:pPr>
            <w:r>
              <w:t>2020</w:t>
            </w:r>
          </w:p>
        </w:tc>
        <w:tc>
          <w:tcPr>
            <w:tcW w:w="0" w:type="auto"/>
          </w:tcPr>
          <w:p w14:paraId="78F56CBC" w14:textId="72D9105C" w:rsidR="00CE27FE" w:rsidRDefault="00CE27FE" w:rsidP="00CE27FE">
            <w:pPr>
              <w:ind w:left="0"/>
              <w:cnfStyle w:val="000000000000" w:firstRow="0" w:lastRow="0" w:firstColumn="0" w:lastColumn="0" w:oddVBand="0" w:evenVBand="0" w:oddHBand="0" w:evenHBand="0" w:firstRowFirstColumn="0" w:firstRowLastColumn="0" w:lastRowFirstColumn="0" w:lastRowLastColumn="0"/>
            </w:pPr>
            <w:r>
              <w:t>All sections content was improved</w:t>
            </w:r>
          </w:p>
          <w:p w14:paraId="6904AF4A" w14:textId="77777777" w:rsidR="00C4161F" w:rsidRDefault="00CE27FE" w:rsidP="00C4161F">
            <w:pPr>
              <w:spacing w:before="0"/>
              <w:ind w:left="0"/>
              <w:cnfStyle w:val="000000000000" w:firstRow="0" w:lastRow="0" w:firstColumn="0" w:lastColumn="0" w:oddVBand="0" w:evenVBand="0" w:oddHBand="0" w:evenHBand="0" w:firstRowFirstColumn="0" w:firstRowLastColumn="0" w:lastRowFirstColumn="0" w:lastRowLastColumn="0"/>
            </w:pPr>
            <w:r>
              <w:t>Modification of the LIVD deliverable</w:t>
            </w:r>
            <w:r w:rsidR="00C4161F">
              <w:t xml:space="preserve"> as presented in sections “</w:t>
            </w:r>
            <w:r w:rsidR="00C4161F">
              <w:fldChar w:fldCharType="begin"/>
            </w:r>
            <w:r w:rsidR="00C4161F">
              <w:instrText xml:space="preserve"> REF _Ref37338143 \h </w:instrText>
            </w:r>
            <w:r w:rsidR="00C4161F">
              <w:fldChar w:fldCharType="separate"/>
            </w:r>
            <w:r w:rsidR="00C4161F" w:rsidRPr="004C04C6">
              <w:t>Data Definition Types</w:t>
            </w:r>
            <w:r w:rsidR="00C4161F">
              <w:fldChar w:fldCharType="end"/>
            </w:r>
            <w:r w:rsidR="00C4161F">
              <w:t>” and “</w:t>
            </w:r>
            <w:r w:rsidR="00C4161F">
              <w:fldChar w:fldCharType="begin"/>
            </w:r>
            <w:r w:rsidR="00C4161F">
              <w:instrText xml:space="preserve"> REF _Ref37338094 \h </w:instrText>
            </w:r>
            <w:r w:rsidR="00C4161F">
              <w:fldChar w:fldCharType="separate"/>
            </w:r>
            <w:r w:rsidR="00C4161F" w:rsidRPr="004C04C6">
              <w:t>Data Definition Structure</w:t>
            </w:r>
            <w:r w:rsidR="00C4161F">
              <w:fldChar w:fldCharType="end"/>
            </w:r>
            <w:r w:rsidR="00C4161F">
              <w:t>”. This notably translates in</w:t>
            </w:r>
          </w:p>
          <w:p w14:paraId="6A25862D" w14:textId="77777777" w:rsidR="00CE27FE" w:rsidRDefault="00C4161F" w:rsidP="00C4161F">
            <w:pPr>
              <w:pStyle w:val="ListParagraph"/>
              <w:numPr>
                <w:ilvl w:val="2"/>
                <w:numId w:val="25"/>
              </w:numPr>
              <w:spacing w:before="0" w:after="0"/>
              <w:ind w:left="864"/>
              <w:cnfStyle w:val="000000000000" w:firstRow="0" w:lastRow="0" w:firstColumn="0" w:lastColumn="0" w:oddVBand="0" w:evenVBand="0" w:oddHBand="0" w:evenHBand="0" w:firstRowFirstColumn="0" w:firstRowLastColumn="0" w:lastRowFirstColumn="0" w:lastRowLastColumn="0"/>
            </w:pPr>
            <w:r>
              <w:t>moving the ‘LOINC Version ID’ to the mapping section and removing the unicity constraint</w:t>
            </w:r>
          </w:p>
          <w:p w14:paraId="4E924DB6" w14:textId="77777777" w:rsidR="00C4161F" w:rsidRDefault="00C4161F" w:rsidP="00C4161F">
            <w:pPr>
              <w:pStyle w:val="ListParagraph"/>
              <w:numPr>
                <w:ilvl w:val="2"/>
                <w:numId w:val="25"/>
              </w:numPr>
              <w:spacing w:after="0"/>
              <w:ind w:left="864"/>
              <w:cnfStyle w:val="000000000000" w:firstRow="0" w:lastRow="0" w:firstColumn="0" w:lastColumn="0" w:oddVBand="0" w:evenVBand="0" w:oddHBand="0" w:evenHBand="0" w:firstRowFirstColumn="0" w:firstRowLastColumn="0" w:lastRowFirstColumn="0" w:lastRowLastColumn="0"/>
            </w:pPr>
            <w:r>
              <w:t>addition of “</w:t>
            </w:r>
            <w:r w:rsidRPr="00C4161F">
              <w:t>Vendor Reference ID</w:t>
            </w:r>
            <w:r>
              <w:t>”; “</w:t>
            </w:r>
            <w:proofErr w:type="spellStart"/>
            <w:r w:rsidR="00BB54E9">
              <w:t>Testkit</w:t>
            </w:r>
            <w:proofErr w:type="spellEnd"/>
            <w:r w:rsidR="00BB54E9">
              <w:t xml:space="preserve"> Name </w:t>
            </w:r>
            <w:r w:rsidRPr="00C4161F">
              <w:t>ID</w:t>
            </w:r>
            <w:r>
              <w:t>” and “</w:t>
            </w:r>
            <w:proofErr w:type="spellStart"/>
            <w:r w:rsidR="00BB54E9">
              <w:t>Testkit</w:t>
            </w:r>
            <w:proofErr w:type="spellEnd"/>
            <w:r w:rsidR="00BB54E9">
              <w:t xml:space="preserve"> Name ID Type</w:t>
            </w:r>
            <w:r>
              <w:t xml:space="preserve">” fields </w:t>
            </w:r>
          </w:p>
          <w:p w14:paraId="1C932DA2" w14:textId="02E6EAC6" w:rsidR="00247D22" w:rsidRDefault="00C52F04" w:rsidP="00C52F04">
            <w:pPr>
              <w:ind w:left="0"/>
              <w:cnfStyle w:val="000000000000" w:firstRow="0" w:lastRow="0" w:firstColumn="0" w:lastColumn="0" w:oddVBand="0" w:evenVBand="0" w:oddHBand="0" w:evenHBand="0" w:firstRowFirstColumn="0" w:firstRowLastColumn="0" w:lastRowFirstColumn="0" w:lastRowLastColumn="0"/>
            </w:pPr>
            <w:r>
              <w:t>Removed reference to IICC develop JSON definition and replace with HL7 FHIR LIVD reference.</w:t>
            </w:r>
          </w:p>
        </w:tc>
      </w:tr>
    </w:tbl>
    <w:p w14:paraId="0C4F9593" w14:textId="77777777" w:rsidR="00CE27FE" w:rsidRDefault="00CE27FE">
      <w:pPr>
        <w:spacing w:before="0"/>
        <w:ind w:left="0"/>
        <w:jc w:val="left"/>
      </w:pPr>
    </w:p>
    <w:p w14:paraId="4C344C7F" w14:textId="1A24AEB8" w:rsidR="00CE27FE" w:rsidRDefault="00CE27FE">
      <w:pPr>
        <w:spacing w:before="0"/>
        <w:ind w:left="0"/>
        <w:jc w:val="left"/>
      </w:pPr>
      <w:r>
        <w:br w:type="page"/>
      </w:r>
    </w:p>
    <w:p w14:paraId="4D76D891" w14:textId="77777777" w:rsidR="00CE27FE" w:rsidRPr="004C04C6" w:rsidRDefault="00CE27FE">
      <w:pPr>
        <w:rPr>
          <w:rFonts w:asciiTheme="majorHAnsi" w:eastAsiaTheme="majorEastAsia" w:hAnsiTheme="majorHAnsi" w:cstheme="majorBidi"/>
          <w:color w:val="365F91" w:themeColor="accent1" w:themeShade="BF"/>
          <w:sz w:val="28"/>
          <w:szCs w:val="28"/>
        </w:rPr>
      </w:pPr>
    </w:p>
    <w:p w14:paraId="4101650F" w14:textId="77777777" w:rsidR="00504C51" w:rsidRPr="004C04C6" w:rsidRDefault="00504C51"/>
    <w:p w14:paraId="6D8EC3EB" w14:textId="77777777" w:rsidR="00A02765" w:rsidRPr="004C04C6" w:rsidRDefault="005812B0" w:rsidP="00CE27FE">
      <w:pPr>
        <w:pStyle w:val="Heading1"/>
      </w:pPr>
      <w:r w:rsidRPr="004C04C6">
        <w:t>Authors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682"/>
      </w:tblGrid>
      <w:tr w:rsidR="00923376" w:rsidRPr="004C04C6" w14:paraId="32B07F8B" w14:textId="77777777" w:rsidTr="00B066E0">
        <w:tc>
          <w:tcPr>
            <w:tcW w:w="4788" w:type="dxa"/>
          </w:tcPr>
          <w:p w14:paraId="34C3821C" w14:textId="77777777" w:rsidR="00BF7F9C" w:rsidRPr="00CE27FE" w:rsidRDefault="00BF7F9C" w:rsidP="00B066E0">
            <w:pPr>
              <w:pStyle w:val="Tabletext"/>
              <w:spacing w:before="0"/>
              <w:jc w:val="left"/>
              <w:rPr>
                <w:lang w:val="de-DE"/>
              </w:rPr>
            </w:pPr>
            <w:r w:rsidRPr="00CE27FE">
              <w:rPr>
                <w:lang w:val="de-DE"/>
              </w:rPr>
              <w:t>Cornelia Felder</w:t>
            </w:r>
          </w:p>
          <w:p w14:paraId="1C4FF3B7" w14:textId="77777777" w:rsidR="00923376" w:rsidRPr="00CE27FE" w:rsidRDefault="00923376" w:rsidP="00B066E0">
            <w:pPr>
              <w:pStyle w:val="Tabletext"/>
              <w:spacing w:before="0"/>
              <w:jc w:val="left"/>
              <w:rPr>
                <w:lang w:val="de-DE"/>
              </w:rPr>
            </w:pPr>
            <w:r w:rsidRPr="00CE27FE">
              <w:rPr>
                <w:lang w:val="de-DE"/>
              </w:rPr>
              <w:t>Roche Diagnostics International, Ltd.</w:t>
            </w:r>
          </w:p>
          <w:p w14:paraId="240C6446" w14:textId="76C51FE1" w:rsidR="009C301E" w:rsidRPr="00CE27FE" w:rsidRDefault="00923376" w:rsidP="00CB4881">
            <w:pPr>
              <w:pStyle w:val="Tabletext"/>
              <w:spacing w:before="0"/>
              <w:jc w:val="left"/>
              <w:rPr>
                <w:lang w:val="de-DE"/>
              </w:rPr>
            </w:pPr>
            <w:r w:rsidRPr="00CE27FE">
              <w:rPr>
                <w:lang w:val="de-DE"/>
              </w:rPr>
              <w:t>Switzerland</w:t>
            </w:r>
          </w:p>
          <w:p w14:paraId="0364F972" w14:textId="58DE7B3A" w:rsidR="00DD14E9" w:rsidRPr="00CE27FE" w:rsidRDefault="00DD14E9" w:rsidP="00CB4881">
            <w:pPr>
              <w:pStyle w:val="Tabletext"/>
              <w:spacing w:before="0"/>
              <w:jc w:val="left"/>
              <w:rPr>
                <w:lang w:val="de-DE"/>
              </w:rPr>
            </w:pPr>
          </w:p>
          <w:p w14:paraId="118E863E" w14:textId="77777777" w:rsidR="00DD14E9" w:rsidRPr="00CE27FE" w:rsidRDefault="00DD14E9" w:rsidP="00DD14E9">
            <w:pPr>
              <w:pStyle w:val="Tabletext"/>
              <w:spacing w:before="0"/>
              <w:jc w:val="left"/>
              <w:rPr>
                <w:lang w:val="it-IT"/>
              </w:rPr>
            </w:pPr>
            <w:r w:rsidRPr="00CE27FE">
              <w:rPr>
                <w:lang w:val="it-IT"/>
              </w:rPr>
              <w:t>Ed Heierman, PhD</w:t>
            </w:r>
          </w:p>
          <w:p w14:paraId="23C0AE06" w14:textId="77777777" w:rsidR="00DD14E9" w:rsidRPr="00CE27FE" w:rsidRDefault="00DD14E9" w:rsidP="00DD14E9">
            <w:pPr>
              <w:pStyle w:val="Tabletext"/>
              <w:spacing w:before="0"/>
              <w:jc w:val="left"/>
              <w:rPr>
                <w:lang w:val="it-IT"/>
              </w:rPr>
            </w:pPr>
            <w:r w:rsidRPr="00CE27FE">
              <w:rPr>
                <w:lang w:val="it-IT"/>
              </w:rPr>
              <w:t>Abbott</w:t>
            </w:r>
          </w:p>
          <w:p w14:paraId="31E0EA2E" w14:textId="77777777" w:rsidR="00DD14E9" w:rsidRPr="00CE27FE" w:rsidRDefault="00DD14E9" w:rsidP="00DD14E9">
            <w:pPr>
              <w:pStyle w:val="Tabletext"/>
              <w:spacing w:before="0"/>
              <w:jc w:val="left"/>
              <w:rPr>
                <w:lang w:val="it-IT"/>
              </w:rPr>
            </w:pPr>
            <w:r w:rsidRPr="00CE27FE">
              <w:rPr>
                <w:lang w:val="it-IT"/>
              </w:rPr>
              <w:t>USA</w:t>
            </w:r>
          </w:p>
          <w:p w14:paraId="4BD682CE" w14:textId="73B2E355" w:rsidR="009C301E" w:rsidRPr="00CE27FE" w:rsidRDefault="009C301E" w:rsidP="00CB4881">
            <w:pPr>
              <w:pStyle w:val="Tabletext"/>
              <w:spacing w:before="0"/>
              <w:jc w:val="left"/>
              <w:rPr>
                <w:lang w:val="it-IT"/>
              </w:rPr>
            </w:pPr>
          </w:p>
          <w:p w14:paraId="30C83282" w14:textId="15640D72" w:rsidR="009C301E" w:rsidRPr="00CE27FE" w:rsidRDefault="009C301E" w:rsidP="00CB4881">
            <w:pPr>
              <w:pStyle w:val="Tabletext"/>
              <w:spacing w:before="0"/>
              <w:jc w:val="left"/>
              <w:rPr>
                <w:lang w:val="it-IT"/>
              </w:rPr>
            </w:pPr>
            <w:r w:rsidRPr="00CE27FE">
              <w:rPr>
                <w:lang w:val="it-IT"/>
              </w:rPr>
              <w:t>Riki Merrick</w:t>
            </w:r>
          </w:p>
          <w:p w14:paraId="3A649230" w14:textId="25626C47" w:rsidR="009C301E" w:rsidRPr="00CB4881" w:rsidRDefault="009C301E" w:rsidP="00CB4881">
            <w:pPr>
              <w:pStyle w:val="Tabletext"/>
              <w:spacing w:before="0"/>
              <w:jc w:val="left"/>
            </w:pPr>
            <w:r w:rsidRPr="00CB4881">
              <w:t>Association of Public Health Laboratories</w:t>
            </w:r>
          </w:p>
          <w:p w14:paraId="4BE0A853" w14:textId="67C6D574" w:rsidR="009C301E" w:rsidRPr="004C04C6" w:rsidRDefault="009C301E" w:rsidP="00CB4881">
            <w:pPr>
              <w:pStyle w:val="Tabletext"/>
              <w:spacing w:before="0"/>
              <w:jc w:val="left"/>
            </w:pPr>
            <w:r w:rsidRPr="00CB4881">
              <w:t>USA</w:t>
            </w:r>
          </w:p>
          <w:p w14:paraId="7D7CE04D" w14:textId="77777777" w:rsidR="00923376" w:rsidRPr="00721B6E" w:rsidRDefault="00923376" w:rsidP="00B066E0">
            <w:pPr>
              <w:pStyle w:val="Tabletext"/>
              <w:spacing w:before="0"/>
              <w:jc w:val="left"/>
            </w:pPr>
          </w:p>
        </w:tc>
        <w:tc>
          <w:tcPr>
            <w:tcW w:w="4788" w:type="dxa"/>
          </w:tcPr>
          <w:p w14:paraId="40D9E4A3" w14:textId="77777777" w:rsidR="00BF7F9C" w:rsidRPr="00B066E0" w:rsidRDefault="00F755F9" w:rsidP="00B066E0">
            <w:pPr>
              <w:pStyle w:val="Tabletext"/>
              <w:spacing w:before="0"/>
              <w:jc w:val="left"/>
              <w:rPr>
                <w:lang w:val="fr-FR"/>
              </w:rPr>
            </w:pPr>
            <w:r w:rsidRPr="00B066E0">
              <w:rPr>
                <w:lang w:val="fr-FR"/>
              </w:rPr>
              <w:t xml:space="preserve">Xavier </w:t>
            </w:r>
            <w:proofErr w:type="spellStart"/>
            <w:r w:rsidRPr="00B066E0">
              <w:rPr>
                <w:lang w:val="fr-FR"/>
              </w:rPr>
              <w:t>Gansel</w:t>
            </w:r>
            <w:proofErr w:type="spellEnd"/>
            <w:r w:rsidR="00BF7F9C" w:rsidRPr="00B066E0">
              <w:rPr>
                <w:lang w:val="fr-FR"/>
              </w:rPr>
              <w:t>, PhD</w:t>
            </w:r>
          </w:p>
          <w:p w14:paraId="3AB5D353" w14:textId="4E0C16F7" w:rsidR="00923376" w:rsidRPr="00B066E0" w:rsidRDefault="00923376" w:rsidP="00B066E0">
            <w:pPr>
              <w:pStyle w:val="Tabletext"/>
              <w:spacing w:before="0"/>
              <w:jc w:val="left"/>
              <w:rPr>
                <w:lang w:val="fr-FR"/>
              </w:rPr>
            </w:pPr>
            <w:r w:rsidRPr="00B066E0">
              <w:rPr>
                <w:lang w:val="fr-FR"/>
              </w:rPr>
              <w:t xml:space="preserve">Laurent </w:t>
            </w:r>
            <w:proofErr w:type="spellStart"/>
            <w:r w:rsidRPr="00B066E0">
              <w:rPr>
                <w:lang w:val="fr-FR"/>
              </w:rPr>
              <w:t>Lardin</w:t>
            </w:r>
            <w:proofErr w:type="spellEnd"/>
          </w:p>
          <w:p w14:paraId="6C78D99D" w14:textId="77777777" w:rsidR="00923376" w:rsidRPr="00B066E0" w:rsidRDefault="00923376" w:rsidP="00B066E0">
            <w:pPr>
              <w:pStyle w:val="Tabletext"/>
              <w:spacing w:before="0"/>
              <w:jc w:val="left"/>
              <w:rPr>
                <w:lang w:val="fr-FR"/>
              </w:rPr>
            </w:pPr>
            <w:proofErr w:type="gramStart"/>
            <w:r w:rsidRPr="00B066E0">
              <w:rPr>
                <w:lang w:val="fr-FR"/>
              </w:rPr>
              <w:t>bioMerieux</w:t>
            </w:r>
            <w:proofErr w:type="gramEnd"/>
          </w:p>
          <w:p w14:paraId="73413A4B" w14:textId="77777777" w:rsidR="00923376" w:rsidRPr="00B066E0" w:rsidRDefault="00923376" w:rsidP="00B066E0">
            <w:pPr>
              <w:pStyle w:val="Tabletext"/>
              <w:spacing w:before="0"/>
              <w:jc w:val="left"/>
              <w:rPr>
                <w:lang w:val="fr-FR"/>
              </w:rPr>
            </w:pPr>
            <w:r w:rsidRPr="00B066E0">
              <w:rPr>
                <w:lang w:val="fr-FR"/>
              </w:rPr>
              <w:t>France</w:t>
            </w:r>
          </w:p>
          <w:p w14:paraId="28663C91" w14:textId="77777777" w:rsidR="00923376" w:rsidRPr="00B066E0" w:rsidRDefault="00923376" w:rsidP="00B066E0">
            <w:pPr>
              <w:pStyle w:val="Tabletext"/>
              <w:spacing w:before="0"/>
              <w:jc w:val="left"/>
              <w:rPr>
                <w:lang w:val="fr-FR"/>
              </w:rPr>
            </w:pPr>
          </w:p>
          <w:p w14:paraId="4CD53C43" w14:textId="77777777" w:rsidR="009C301E" w:rsidRPr="00CE27FE" w:rsidRDefault="009C301E" w:rsidP="00B066E0">
            <w:pPr>
              <w:pStyle w:val="Tabletext"/>
              <w:spacing w:before="0"/>
              <w:jc w:val="left"/>
              <w:rPr>
                <w:lang w:val="fr-FR"/>
              </w:rPr>
            </w:pPr>
          </w:p>
          <w:p w14:paraId="3D4002F9" w14:textId="77777777" w:rsidR="009C301E" w:rsidRDefault="009C301E" w:rsidP="00B066E0">
            <w:pPr>
              <w:pStyle w:val="Tabletext"/>
              <w:spacing w:before="0"/>
              <w:jc w:val="left"/>
            </w:pPr>
            <w:r>
              <w:t>Mike Waters</w:t>
            </w:r>
          </w:p>
          <w:p w14:paraId="62EDFE34" w14:textId="77777777" w:rsidR="009C301E" w:rsidRDefault="009C301E" w:rsidP="00B066E0">
            <w:pPr>
              <w:pStyle w:val="Tabletext"/>
              <w:spacing w:before="0"/>
              <w:jc w:val="left"/>
            </w:pPr>
            <w:r w:rsidRPr="009C301E">
              <w:t>U.S. Food and Drug Administration</w:t>
            </w:r>
          </w:p>
          <w:p w14:paraId="1D2F17CB" w14:textId="65B9A526" w:rsidR="009C301E" w:rsidRPr="004C04C6" w:rsidRDefault="009C301E" w:rsidP="00B066E0">
            <w:pPr>
              <w:pStyle w:val="Tabletext"/>
              <w:spacing w:before="0"/>
              <w:jc w:val="left"/>
            </w:pPr>
            <w:r>
              <w:t xml:space="preserve">USA </w:t>
            </w:r>
          </w:p>
        </w:tc>
      </w:tr>
    </w:tbl>
    <w:p w14:paraId="3819C533" w14:textId="77777777" w:rsidR="00C7584D" w:rsidRPr="004C04C6" w:rsidRDefault="00105771">
      <w:pPr>
        <w:pStyle w:val="Heading2"/>
      </w:pPr>
      <w:r w:rsidRPr="004C04C6">
        <w:t>Participating Organizations</w:t>
      </w:r>
    </w:p>
    <w:p w14:paraId="4FAEF6DD" w14:textId="77777777" w:rsidR="00FA5D4E" w:rsidRPr="004C04C6" w:rsidRDefault="00FA5D4E" w:rsidP="00B066E0">
      <w:r w:rsidRPr="004C04C6">
        <w:t xml:space="preserve">IICC and the authors of this document wish to recognize the following organizations that contributed their time and expertise to the development of this format. </w:t>
      </w:r>
    </w:p>
    <w:p w14:paraId="0641651D" w14:textId="77777777" w:rsidR="00721B6E" w:rsidRDefault="00721B6E" w:rsidP="00B066E0">
      <w:pPr>
        <w:sectPr w:rsidR="00721B6E" w:rsidSect="00B3052A">
          <w:headerReference w:type="even" r:id="rId18"/>
          <w:headerReference w:type="default" r:id="rId19"/>
          <w:footerReference w:type="default" r:id="rId20"/>
          <w:headerReference w:type="first" r:id="rId21"/>
          <w:pgSz w:w="12240" w:h="15840"/>
          <w:pgMar w:top="1440" w:right="720" w:bottom="720" w:left="720" w:header="720" w:footer="720" w:gutter="0"/>
          <w:cols w:space="720"/>
          <w:docGrid w:linePitch="360"/>
        </w:sectPr>
      </w:pPr>
    </w:p>
    <w:p w14:paraId="15D0C16F" w14:textId="77777777" w:rsidR="00A51CB6" w:rsidRPr="004C04C6" w:rsidRDefault="00A51CB6" w:rsidP="00B066E0">
      <w:r w:rsidRPr="004C04C6">
        <w:t>Abbott Laboratories</w:t>
      </w:r>
    </w:p>
    <w:p w14:paraId="04998623" w14:textId="77777777" w:rsidR="00F055C5" w:rsidRPr="004C04C6" w:rsidRDefault="00F055C5" w:rsidP="00B066E0">
      <w:pPr>
        <w:rPr>
          <w:color w:val="7030A0"/>
        </w:rPr>
      </w:pPr>
      <w:r w:rsidRPr="004C04C6">
        <w:t>Advanced Medical Technology Association (</w:t>
      </w:r>
      <w:proofErr w:type="spellStart"/>
      <w:r w:rsidRPr="004C04C6">
        <w:t>AdvaMed</w:t>
      </w:r>
      <w:proofErr w:type="spellEnd"/>
      <w:r w:rsidRPr="004C04C6">
        <w:t>)</w:t>
      </w:r>
    </w:p>
    <w:p w14:paraId="10BB92C8" w14:textId="77777777" w:rsidR="00A51CB6" w:rsidRPr="004C04C6" w:rsidRDefault="00F055C5" w:rsidP="00B066E0">
      <w:r w:rsidRPr="004C04C6">
        <w:t>Association of Public Health Laboratories (APHL)</w:t>
      </w:r>
    </w:p>
    <w:p w14:paraId="06FAC0A0" w14:textId="77777777" w:rsidR="00C7584D" w:rsidRPr="004C04C6" w:rsidRDefault="00C7584D" w:rsidP="00B066E0">
      <w:r w:rsidRPr="004C04C6">
        <w:t xml:space="preserve">BD Life Sciences </w:t>
      </w:r>
    </w:p>
    <w:p w14:paraId="5CBC75EB" w14:textId="77777777" w:rsidR="00A51CB6" w:rsidRPr="004C04C6" w:rsidRDefault="00A51CB6" w:rsidP="00B066E0">
      <w:r w:rsidRPr="004C04C6">
        <w:t>bioMerieux</w:t>
      </w:r>
    </w:p>
    <w:p w14:paraId="45049043" w14:textId="77777777" w:rsidR="00A51CB6" w:rsidRPr="004C04C6" w:rsidRDefault="00A51CB6" w:rsidP="00B066E0">
      <w:r w:rsidRPr="004C04C6">
        <w:t>Cerner</w:t>
      </w:r>
      <w:r w:rsidR="00F055C5" w:rsidRPr="004C04C6">
        <w:t xml:space="preserve"> Corporation</w:t>
      </w:r>
    </w:p>
    <w:p w14:paraId="5B1F36A6" w14:textId="77777777" w:rsidR="00A51CB6" w:rsidRPr="004C04C6" w:rsidRDefault="00A51CB6" w:rsidP="00B066E0">
      <w:r w:rsidRPr="004C04C6">
        <w:t>Epic</w:t>
      </w:r>
    </w:p>
    <w:p w14:paraId="5780761D" w14:textId="77777777" w:rsidR="00A51CB6" w:rsidRPr="004C04C6" w:rsidRDefault="00A51CB6" w:rsidP="00B066E0">
      <w:r w:rsidRPr="004C04C6">
        <w:t>Ge</w:t>
      </w:r>
      <w:r w:rsidR="00C7584D" w:rsidRPr="004C04C6">
        <w:t>is</w:t>
      </w:r>
      <w:r w:rsidRPr="004C04C6">
        <w:t>inger</w:t>
      </w:r>
      <w:r w:rsidR="00C7584D" w:rsidRPr="004C04C6">
        <w:t xml:space="preserve"> Health System</w:t>
      </w:r>
    </w:p>
    <w:p w14:paraId="76402161" w14:textId="77777777" w:rsidR="00A51CB6" w:rsidRPr="004C04C6" w:rsidRDefault="00C74663" w:rsidP="00B066E0">
      <w:r w:rsidRPr="004C04C6">
        <w:t>Health Level Seven</w:t>
      </w:r>
      <w:r w:rsidRPr="004C04C6">
        <w:rPr>
          <w:rFonts w:cstheme="minorHAnsi"/>
        </w:rPr>
        <w:t>®</w:t>
      </w:r>
      <w:r w:rsidRPr="004C04C6">
        <w:rPr>
          <w:vertAlign w:val="superscript"/>
        </w:rPr>
        <w:t xml:space="preserve"> </w:t>
      </w:r>
      <w:r w:rsidRPr="004C04C6">
        <w:t>(HL7</w:t>
      </w:r>
      <w:r w:rsidRPr="004C04C6">
        <w:rPr>
          <w:rFonts w:cstheme="minorHAnsi"/>
        </w:rPr>
        <w:t>®</w:t>
      </w:r>
      <w:r w:rsidRPr="004C04C6">
        <w:t>)</w:t>
      </w:r>
    </w:p>
    <w:p w14:paraId="154D8731" w14:textId="77777777" w:rsidR="00A51CB6" w:rsidRPr="004C04C6" w:rsidRDefault="00A51CB6" w:rsidP="00B066E0">
      <w:r w:rsidRPr="004C04C6">
        <w:t>IHE Pathology and Laboratory Medicine (</w:t>
      </w:r>
      <w:proofErr w:type="spellStart"/>
      <w:r w:rsidRPr="004C04C6">
        <w:t>PaLM</w:t>
      </w:r>
      <w:proofErr w:type="spellEnd"/>
      <w:r w:rsidRPr="004C04C6">
        <w:t>) Technical Committee</w:t>
      </w:r>
    </w:p>
    <w:p w14:paraId="5A482D81" w14:textId="77777777" w:rsidR="00F055C5" w:rsidRPr="004C04C6" w:rsidRDefault="00F055C5" w:rsidP="00B066E0">
      <w:r w:rsidRPr="004C04C6">
        <w:t>I</w:t>
      </w:r>
      <w:r w:rsidR="001F131A" w:rsidRPr="004C04C6">
        <w:t>ntelligent Medical Objects, Inc</w:t>
      </w:r>
    </w:p>
    <w:p w14:paraId="1E068B60" w14:textId="77777777" w:rsidR="00092291" w:rsidRPr="004C04C6" w:rsidRDefault="00092291" w:rsidP="00B066E0">
      <w:r w:rsidRPr="004C04C6">
        <w:t>I</w:t>
      </w:r>
      <w:r w:rsidR="00A51CB6" w:rsidRPr="004C04C6">
        <w:t>VD Industry Connectivity Consortium (IICC)</w:t>
      </w:r>
    </w:p>
    <w:p w14:paraId="7C1DAFB9" w14:textId="77777777" w:rsidR="00F055C5" w:rsidRPr="004C04C6" w:rsidRDefault="00F055C5" w:rsidP="00B066E0">
      <w:r w:rsidRPr="004C04C6">
        <w:t>Medical Device Innovation Consortium (MDIC)</w:t>
      </w:r>
    </w:p>
    <w:p w14:paraId="19EB41D9" w14:textId="77777777" w:rsidR="00A51CB6" w:rsidRPr="004C04C6" w:rsidRDefault="00A51CB6" w:rsidP="00B066E0">
      <w:r w:rsidRPr="004C04C6">
        <w:t>Orchard Software</w:t>
      </w:r>
    </w:p>
    <w:p w14:paraId="7149DC33" w14:textId="77777777" w:rsidR="00C7584D" w:rsidRPr="004C04C6" w:rsidRDefault="00C7584D" w:rsidP="00B066E0">
      <w:proofErr w:type="spellStart"/>
      <w:r w:rsidRPr="004C04C6">
        <w:t>Phast</w:t>
      </w:r>
      <w:proofErr w:type="spellEnd"/>
    </w:p>
    <w:p w14:paraId="39917D79" w14:textId="77777777" w:rsidR="00105771" w:rsidRPr="004C04C6" w:rsidRDefault="00105771" w:rsidP="00B066E0">
      <w:proofErr w:type="spellStart"/>
      <w:r w:rsidRPr="004C04C6">
        <w:t>Regenstrief</w:t>
      </w:r>
      <w:proofErr w:type="spellEnd"/>
      <w:r w:rsidR="00F055C5" w:rsidRPr="004C04C6">
        <w:t xml:space="preserve"> </w:t>
      </w:r>
      <w:r w:rsidR="00242ACC" w:rsidRPr="004C04C6">
        <w:t>Institute, Inc.</w:t>
      </w:r>
    </w:p>
    <w:p w14:paraId="1D8768FF" w14:textId="77777777" w:rsidR="00105771" w:rsidRPr="004C04C6" w:rsidRDefault="004679D4" w:rsidP="00B066E0">
      <w:r w:rsidRPr="004C04C6">
        <w:t>Roche</w:t>
      </w:r>
      <w:r w:rsidR="001F131A" w:rsidRPr="004C04C6">
        <w:t xml:space="preserve"> Diagnostics International, Ltd</w:t>
      </w:r>
    </w:p>
    <w:p w14:paraId="6ED3B089" w14:textId="77777777" w:rsidR="00A51CB6" w:rsidRPr="004C04C6" w:rsidRDefault="001F131A" w:rsidP="00B066E0">
      <w:r w:rsidRPr="004C04C6">
        <w:t>Swiss Laboratory Interoperability Interest G</w:t>
      </w:r>
      <w:r w:rsidR="00A51CB6" w:rsidRPr="004C04C6">
        <w:t>roup (Joint Venture of FAMH.ch, IHE-Suisse.ch, HL7.ch, SULM.ch)</w:t>
      </w:r>
    </w:p>
    <w:p w14:paraId="4A2876EC" w14:textId="77777777" w:rsidR="00F055C5" w:rsidRPr="004C04C6" w:rsidRDefault="00F055C5" w:rsidP="00B066E0">
      <w:r w:rsidRPr="004C04C6">
        <w:t>U.S. Centers for Disease Control and Prevention (CDC)</w:t>
      </w:r>
    </w:p>
    <w:p w14:paraId="0D671F05" w14:textId="77777777" w:rsidR="00F055C5" w:rsidRPr="004C04C6" w:rsidRDefault="00F055C5" w:rsidP="00B066E0">
      <w:r w:rsidRPr="004C04C6">
        <w:t>U.S. Food and Drug Administration (FDA)</w:t>
      </w:r>
    </w:p>
    <w:p w14:paraId="481DA9C7" w14:textId="77777777" w:rsidR="00F350B6" w:rsidRPr="004C04C6" w:rsidRDefault="00F350B6" w:rsidP="00B066E0">
      <w:r w:rsidRPr="004C04C6">
        <w:t>U.S. National Library of Medicine, National Institutes of Health (NLM/NIH)</w:t>
      </w:r>
    </w:p>
    <w:p w14:paraId="35072284" w14:textId="77777777" w:rsidR="00C7584D" w:rsidRPr="004C04C6" w:rsidRDefault="00C7584D" w:rsidP="00B066E0">
      <w:proofErr w:type="spellStart"/>
      <w:r w:rsidRPr="004C04C6">
        <w:t>Vernetzt</w:t>
      </w:r>
      <w:proofErr w:type="spellEnd"/>
      <w:r w:rsidRPr="004C04C6">
        <w:t>, LLC</w:t>
      </w:r>
    </w:p>
    <w:p w14:paraId="6DC3F904" w14:textId="77777777" w:rsidR="008918E5" w:rsidRPr="004C04C6" w:rsidRDefault="008918E5" w:rsidP="001A214A">
      <w:pPr>
        <w:ind w:left="0"/>
        <w:sectPr w:rsidR="008918E5" w:rsidRPr="004C04C6" w:rsidSect="00B3052A">
          <w:type w:val="continuous"/>
          <w:pgSz w:w="12240" w:h="15840"/>
          <w:pgMar w:top="1440" w:right="720" w:bottom="1440" w:left="720" w:header="720" w:footer="720" w:gutter="0"/>
          <w:cols w:num="2" w:space="720"/>
          <w:docGrid w:linePitch="360"/>
        </w:sectPr>
      </w:pPr>
    </w:p>
    <w:p w14:paraId="12351135" w14:textId="77777777" w:rsidR="004679D4" w:rsidRPr="004C04C6" w:rsidRDefault="004679D4" w:rsidP="001A214A">
      <w:pPr>
        <w:ind w:left="0"/>
      </w:pPr>
    </w:p>
    <w:sectPr w:rsidR="004679D4" w:rsidRPr="004C04C6" w:rsidSect="00B3052A">
      <w:type w:val="continuous"/>
      <w:pgSz w:w="12240" w:h="15840"/>
      <w:pgMar w:top="1440" w:right="720" w:bottom="144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ANSEL Xavier" w:date="2020-04-21T17:04:00Z" w:initials="GX">
    <w:p w14:paraId="654EB8C0" w14:textId="52A86865" w:rsidR="00FD4B50" w:rsidRDefault="00FD4B50">
      <w:pPr>
        <w:pStyle w:val="CommentText"/>
      </w:pPr>
      <w:r>
        <w:rPr>
          <w:rStyle w:val="CommentReference"/>
        </w:rPr>
        <w:annotationRef/>
      </w:r>
      <w:r w:rsidRPr="004F6C4E">
        <w:rPr>
          <w:b/>
          <w:bCs/>
        </w:rPr>
        <w:t>Grp review</w:t>
      </w:r>
    </w:p>
    <w:p w14:paraId="3B87CF12" w14:textId="218CF8D3" w:rsidR="00FD4B50" w:rsidRDefault="00FD4B50">
      <w:pPr>
        <w:pStyle w:val="CommentText"/>
      </w:pPr>
      <w:r>
        <w:t>Re-use AUTO17 wording</w:t>
      </w:r>
    </w:p>
  </w:comment>
  <w:comment w:id="1" w:author="Heierman, Edwin O" w:date="2020-11-13T11:55:00Z" w:initials="HEO">
    <w:p w14:paraId="3D645529" w14:textId="10C638DD" w:rsidR="00FD4B50" w:rsidRDefault="00FD4B50">
      <w:pPr>
        <w:pStyle w:val="CommentText"/>
      </w:pPr>
      <w:r>
        <w:rPr>
          <w:rStyle w:val="CommentReference"/>
        </w:rPr>
        <w:annotationRef/>
      </w:r>
      <w:r>
        <w:t>Leave as-is for now, can update next version if necessary.</w:t>
      </w:r>
    </w:p>
  </w:comment>
  <w:comment w:id="2" w:author="Heierman, Edwin O" w:date="2020-11-13T12:20:00Z" w:initials="HEO">
    <w:p w14:paraId="7DBA13F7" w14:textId="0B6AD191" w:rsidR="00960DF2" w:rsidRDefault="00960DF2">
      <w:pPr>
        <w:pStyle w:val="CommentText"/>
      </w:pPr>
      <w:r>
        <w:rPr>
          <w:rStyle w:val="CommentReference"/>
        </w:rPr>
        <w:annotationRef/>
      </w:r>
      <w:r>
        <w:t>Insert publication date here.</w:t>
      </w:r>
    </w:p>
  </w:comment>
  <w:comment w:id="3" w:author="GANSEL Xavier" w:date="2020-06-22T10:25:00Z" w:initials="GX">
    <w:p w14:paraId="3F9F7A44" w14:textId="2841B0D5" w:rsidR="00FD4B50" w:rsidRDefault="00FD4B50">
      <w:pPr>
        <w:pStyle w:val="CommentText"/>
      </w:pPr>
      <w:r>
        <w:rPr>
          <w:rStyle w:val="CommentReference"/>
        </w:rPr>
        <w:annotationRef/>
      </w:r>
      <w:r>
        <w:t>Alphabetic order on the names</w:t>
      </w:r>
    </w:p>
    <w:p w14:paraId="7B29A87A" w14:textId="6150E1D0" w:rsidR="00FD4B50" w:rsidRDefault="00FD4B50">
      <w:pPr>
        <w:pStyle w:val="CommentText"/>
      </w:pPr>
      <w:r>
        <w:t>Kept only rev2 co-authors</w:t>
      </w:r>
    </w:p>
  </w:comment>
  <w:comment w:id="4" w:author="GANSEL Xavier" w:date="2020-04-22T11:31:00Z" w:initials="GX">
    <w:p w14:paraId="164F0B8B" w14:textId="6549EB95" w:rsidR="00FD4B50" w:rsidRDefault="00FD4B50">
      <w:pPr>
        <w:pStyle w:val="CommentText"/>
      </w:pPr>
      <w:r>
        <w:rPr>
          <w:rStyle w:val="CommentReference"/>
        </w:rPr>
        <w:annotationRef/>
      </w:r>
      <w:r>
        <w:t>Need to find the link for the 2015 meeting</w:t>
      </w:r>
    </w:p>
  </w:comment>
  <w:comment w:id="5" w:author="Heierman, Edwin O" w:date="2020-11-13T12:20:00Z" w:initials="HEO">
    <w:p w14:paraId="177471D6" w14:textId="2E66E6CD" w:rsidR="00960DF2" w:rsidRDefault="00960DF2">
      <w:pPr>
        <w:pStyle w:val="CommentText"/>
      </w:pPr>
      <w:r>
        <w:rPr>
          <w:rStyle w:val="CommentReference"/>
        </w:rPr>
        <w:annotationRef/>
      </w:r>
      <w:r>
        <w:t>Does someone have a link to this meeting?</w:t>
      </w:r>
    </w:p>
  </w:comment>
  <w:comment w:id="11" w:author="Heierman, Edwin O" w:date="2020-04-23T16:54:00Z" w:initials="HEO">
    <w:p w14:paraId="61FE65C1" w14:textId="77777777" w:rsidR="00FD4B50" w:rsidRDefault="00FD4B50" w:rsidP="00473233">
      <w:pPr>
        <w:pStyle w:val="CommentText"/>
      </w:pPr>
      <w:r>
        <w:rPr>
          <w:rStyle w:val="CommentReference"/>
        </w:rPr>
        <w:annotationRef/>
      </w:r>
      <w:r>
        <w:t>I left this as-is for now. I don’t think it needs to be changed.</w:t>
      </w:r>
    </w:p>
  </w:comment>
  <w:comment w:id="12" w:author="Heierman, Edwin O" w:date="2020-11-13T12:09:00Z" w:initials="HEO">
    <w:p w14:paraId="2CF71C72" w14:textId="2A3B46FE" w:rsidR="004C3F95" w:rsidRDefault="004C3F95">
      <w:pPr>
        <w:pStyle w:val="CommentText"/>
      </w:pPr>
      <w:r>
        <w:rPr>
          <w:rStyle w:val="CommentReference"/>
        </w:rPr>
        <w:annotationRef/>
      </w:r>
      <w:r>
        <w:t>Changed to LIVD Publication to align with latest term.</w:t>
      </w:r>
    </w:p>
  </w:comment>
  <w:comment w:id="14" w:author="Heierman, Edwin O" w:date="2020-11-13T12:25:00Z" w:initials="HEO">
    <w:p w14:paraId="1CC29BE1" w14:textId="74E0D115" w:rsidR="00BB4C05" w:rsidRDefault="00BB4C05">
      <w:pPr>
        <w:pStyle w:val="CommentText"/>
      </w:pPr>
      <w:r>
        <w:rPr>
          <w:rStyle w:val="CommentReference"/>
        </w:rPr>
        <w:annotationRef/>
      </w:r>
      <w:r>
        <w:t>Updated to term used for COVID-19 reporting. Also updated to use Test Performed.</w:t>
      </w:r>
    </w:p>
  </w:comment>
  <w:comment w:id="16" w:author="GANSEL Xavier" w:date="2020-04-09T15:10:00Z" w:initials="GX">
    <w:p w14:paraId="03850669" w14:textId="77777777" w:rsidR="00FD4B50" w:rsidRPr="00620FEA" w:rsidRDefault="00FD4B50" w:rsidP="00CE27FE">
      <w:pPr>
        <w:pStyle w:val="Heading2"/>
        <w:rPr>
          <w:b w:val="0"/>
          <w:bCs w:val="0"/>
        </w:rPr>
      </w:pPr>
      <w:r>
        <w:rPr>
          <w:rStyle w:val="CommentReference"/>
        </w:rPr>
        <w:annotationRef/>
      </w:r>
      <w:r w:rsidRPr="00A032D9">
        <w:rPr>
          <w:b w:val="0"/>
          <w:bCs w:val="0"/>
        </w:rPr>
        <w:t>To be redone based on structure in “Data Definition Structure”</w:t>
      </w:r>
    </w:p>
  </w:comment>
  <w:comment w:id="17" w:author="GANSEL Xavier" w:date="2020-04-21T17:47:00Z" w:initials="GX">
    <w:p w14:paraId="2153A5B7" w14:textId="77777777" w:rsidR="00FD4B50" w:rsidRPr="004F6C4E" w:rsidRDefault="00FD4B50" w:rsidP="00CE27FE">
      <w:pPr>
        <w:pStyle w:val="CommentText"/>
        <w:rPr>
          <w:b/>
          <w:bCs/>
        </w:rPr>
      </w:pPr>
      <w:r>
        <w:rPr>
          <w:rStyle w:val="CommentReference"/>
        </w:rPr>
        <w:annotationRef/>
      </w:r>
      <w:r w:rsidRPr="004F6C4E">
        <w:rPr>
          <w:b/>
          <w:bCs/>
        </w:rPr>
        <w:t>Grp review</w:t>
      </w:r>
    </w:p>
    <w:p w14:paraId="21092078" w14:textId="77777777" w:rsidR="00FD4B50" w:rsidRDefault="00FD4B50" w:rsidP="00CE27FE">
      <w:pPr>
        <w:pStyle w:val="CommentText"/>
      </w:pPr>
      <w:r>
        <w:t>Will follow FHIR</w:t>
      </w:r>
    </w:p>
  </w:comment>
  <w:comment w:id="18" w:author="GANSEL Xavier" w:date="2020-06-18T17:55:00Z" w:initials="GX">
    <w:p w14:paraId="762F5DE7" w14:textId="77777777" w:rsidR="00FD4B50" w:rsidRDefault="00FD4B50" w:rsidP="00CE27FE">
      <w:pPr>
        <w:pStyle w:val="CommentText"/>
      </w:pPr>
      <w:r>
        <w:rPr>
          <w:rStyle w:val="CommentReference"/>
        </w:rPr>
        <w:annotationRef/>
      </w:r>
      <w:r>
        <w:t>Ed to review and determine final content</w:t>
      </w:r>
    </w:p>
  </w:comment>
  <w:comment w:id="19" w:author="Heierman, Edwin O" w:date="2020-11-13T12:08:00Z" w:initials="HEO">
    <w:p w14:paraId="2C6EF357" w14:textId="159B7E21" w:rsidR="004C3F95" w:rsidRDefault="004C3F95">
      <w:pPr>
        <w:pStyle w:val="CommentText"/>
      </w:pPr>
      <w:r>
        <w:rPr>
          <w:rStyle w:val="CommentReference"/>
        </w:rPr>
        <w:annotationRef/>
      </w:r>
      <w:r>
        <w:t>Updated based on changes to Data Definition Structure</w:t>
      </w:r>
    </w:p>
  </w:comment>
  <w:comment w:id="20" w:author="GANSEL Xavier" w:date="2020-04-09T15:32:00Z" w:initials="GX">
    <w:p w14:paraId="2A4799B8" w14:textId="6435BD8C" w:rsidR="00FD4B50" w:rsidRDefault="00FD4B50" w:rsidP="009F63B2">
      <w:pPr>
        <w:pStyle w:val="CommentText"/>
        <w:ind w:left="0"/>
      </w:pPr>
      <w:r>
        <w:rPr>
          <w:rStyle w:val="CommentReference"/>
        </w:rPr>
        <w:annotationRef/>
      </w:r>
      <w:r>
        <w:t>To be reworked to update with the respective importance of FHIR versus the others</w:t>
      </w:r>
    </w:p>
    <w:p w14:paraId="7CB57D05" w14:textId="77777777" w:rsidR="00FD4B50" w:rsidRDefault="00FD4B50" w:rsidP="009F63B2">
      <w:pPr>
        <w:pStyle w:val="CommentText"/>
        <w:ind w:left="0"/>
      </w:pPr>
    </w:p>
    <w:p w14:paraId="51D5AA62" w14:textId="798B981B" w:rsidR="00FD4B50" w:rsidRDefault="00FD4B50" w:rsidP="009F63B2">
      <w:pPr>
        <w:pStyle w:val="CommentText"/>
        <w:ind w:left="0"/>
      </w:pPr>
      <w:r>
        <w:t xml:space="preserve">! Need help for that </w:t>
      </w:r>
      <w:proofErr w:type="gramStart"/>
      <w:r>
        <w:t>part !</w:t>
      </w:r>
      <w:proofErr w:type="gramEnd"/>
    </w:p>
  </w:comment>
  <w:comment w:id="21" w:author="Merrick, Riki | APHL" w:date="2020-05-30T20:06:00Z" w:initials="MR|A">
    <w:p w14:paraId="09AD15DD" w14:textId="6BD87D37" w:rsidR="00FD4B50" w:rsidRDefault="00FD4B50">
      <w:pPr>
        <w:pStyle w:val="CommentText"/>
      </w:pPr>
      <w:r>
        <w:rPr>
          <w:rStyle w:val="CommentReference"/>
        </w:rPr>
        <w:annotationRef/>
      </w:r>
      <w:r>
        <w:t>Agreed – we need to copy from LIVD guide (or just point to it, once it is published?)</w:t>
      </w:r>
    </w:p>
    <w:p w14:paraId="6B48A7C8" w14:textId="77777777" w:rsidR="00FD4B50" w:rsidRDefault="00FD4B50" w:rsidP="009C301E">
      <w:pPr>
        <w:pStyle w:val="CommentText"/>
        <w:ind w:left="0"/>
      </w:pPr>
    </w:p>
  </w:comment>
  <w:comment w:id="22" w:author="Heierman, Edwin O" w:date="2020-11-13T12:19:00Z" w:initials="HEO">
    <w:p w14:paraId="4C89C2FC" w14:textId="56901707" w:rsidR="00960DF2" w:rsidRDefault="00960DF2">
      <w:pPr>
        <w:pStyle w:val="CommentText"/>
      </w:pPr>
      <w:r>
        <w:rPr>
          <w:rStyle w:val="CommentReference"/>
        </w:rPr>
        <w:annotationRef/>
      </w:r>
      <w:r>
        <w:t>Agree, let’s just use the HL7 work now,</w:t>
      </w:r>
    </w:p>
  </w:comment>
  <w:comment w:id="23" w:author="Heierman, Edwin O" w:date="2020-11-13T12:17:00Z" w:initials="HEO">
    <w:p w14:paraId="6540DD27" w14:textId="32FF3C62" w:rsidR="00960DF2" w:rsidRDefault="00960DF2">
      <w:pPr>
        <w:pStyle w:val="CommentText"/>
      </w:pPr>
      <w:r>
        <w:rPr>
          <w:rStyle w:val="CommentReference"/>
        </w:rPr>
        <w:annotationRef/>
      </w:r>
      <w:r>
        <w:t>No need for us to maintain a JSON definition. I think it is reasonable to just include a reference to the HL7 work.</w:t>
      </w:r>
    </w:p>
  </w:comment>
  <w:comment w:id="24" w:author="Heierman, Edwin O" w:date="2020-11-13T12:18:00Z" w:initials="HEO">
    <w:p w14:paraId="3A5773CB" w14:textId="1ECA54C9" w:rsidR="00960DF2" w:rsidRDefault="00960DF2">
      <w:pPr>
        <w:pStyle w:val="CommentText"/>
      </w:pPr>
      <w:r>
        <w:rPr>
          <w:rStyle w:val="CommentReference"/>
        </w:rPr>
        <w:annotationRef/>
      </w:r>
      <w:r>
        <w:t>Insert a reference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87CF12" w15:done="1"/>
  <w15:commentEx w15:paraId="3D645529" w15:paraIdParent="3B87CF12" w15:done="1"/>
  <w15:commentEx w15:paraId="7DBA13F7" w15:done="0"/>
  <w15:commentEx w15:paraId="7B29A87A" w15:done="1"/>
  <w15:commentEx w15:paraId="164F0B8B" w15:done="0"/>
  <w15:commentEx w15:paraId="177471D6" w15:paraIdParent="164F0B8B" w15:done="0"/>
  <w15:commentEx w15:paraId="61FE65C1" w15:done="1"/>
  <w15:commentEx w15:paraId="2CF71C72" w15:paraIdParent="61FE65C1" w15:done="1"/>
  <w15:commentEx w15:paraId="1CC29BE1" w15:done="0"/>
  <w15:commentEx w15:paraId="03850669" w15:done="1"/>
  <w15:commentEx w15:paraId="21092078" w15:paraIdParent="03850669" w15:done="1"/>
  <w15:commentEx w15:paraId="762F5DE7" w15:paraIdParent="03850669" w15:done="1"/>
  <w15:commentEx w15:paraId="2C6EF357" w15:paraIdParent="03850669" w15:done="1"/>
  <w15:commentEx w15:paraId="51D5AA62" w15:done="0"/>
  <w15:commentEx w15:paraId="6B48A7C8" w15:paraIdParent="51D5AA62" w15:done="0"/>
  <w15:commentEx w15:paraId="4C89C2FC" w15:paraIdParent="51D5AA62" w15:done="0"/>
  <w15:commentEx w15:paraId="6540DD27" w15:done="0"/>
  <w15:commentEx w15:paraId="3A5773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87CF12" w16cid:durableId="224C30AD"/>
  <w16cid:commentId w16cid:paraId="3D645529" w16cid:durableId="2358F29D"/>
  <w16cid:commentId w16cid:paraId="7DBA13F7" w16cid:durableId="2358F88F"/>
  <w16cid:commentId w16cid:paraId="7B29A87A" w16cid:durableId="2358F290"/>
  <w16cid:commentId w16cid:paraId="164F0B8B" w16cid:durableId="224C30AF"/>
  <w16cid:commentId w16cid:paraId="177471D6" w16cid:durableId="2358F8A4"/>
  <w16cid:commentId w16cid:paraId="61FE65C1" w16cid:durableId="2358F292"/>
  <w16cid:commentId w16cid:paraId="2CF71C72" w16cid:durableId="2358F5E1"/>
  <w16cid:commentId w16cid:paraId="1CC29BE1" w16cid:durableId="2358F9A5"/>
  <w16cid:commentId w16cid:paraId="03850669" w16cid:durableId="2358F293"/>
  <w16cid:commentId w16cid:paraId="21092078" w16cid:durableId="2358F294"/>
  <w16cid:commentId w16cid:paraId="762F5DE7" w16cid:durableId="2358F295"/>
  <w16cid:commentId w16cid:paraId="2C6EF357" w16cid:durableId="2358F5A2"/>
  <w16cid:commentId w16cid:paraId="51D5AA62" w16cid:durableId="22492E50"/>
  <w16cid:commentId w16cid:paraId="6B48A7C8" w16cid:durableId="2358F297"/>
  <w16cid:commentId w16cid:paraId="4C89C2FC" w16cid:durableId="2358F838"/>
  <w16cid:commentId w16cid:paraId="6540DD27" w16cid:durableId="2358F7DB"/>
  <w16cid:commentId w16cid:paraId="3A5773CB" w16cid:durableId="2358F8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E049D" w14:textId="77777777" w:rsidR="00B7465C" w:rsidRDefault="00B7465C" w:rsidP="00093D0A">
      <w:r>
        <w:separator/>
      </w:r>
    </w:p>
  </w:endnote>
  <w:endnote w:type="continuationSeparator" w:id="0">
    <w:p w14:paraId="019ACCE0" w14:textId="77777777" w:rsidR="00B7465C" w:rsidRDefault="00B7465C" w:rsidP="00093D0A">
      <w:r>
        <w:continuationSeparator/>
      </w:r>
    </w:p>
  </w:endnote>
  <w:endnote w:type="continuationNotice" w:id="1">
    <w:p w14:paraId="17AD8335" w14:textId="77777777" w:rsidR="00B7465C" w:rsidRDefault="00B7465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NeueLT Pro 95 Blk">
    <w:altName w:val="Arial Black"/>
    <w:charset w:val="00"/>
    <w:family w:val="swiss"/>
    <w:pitch w:val="variable"/>
    <w:sig w:usb0="800000AF" w:usb1="5000204A" w:usb2="00000000" w:usb3="00000000" w:csb0="0000009B" w:csb1="00000000"/>
  </w:font>
  <w:font w:name="PMingLiU">
    <w:altName w:val="新細明體"/>
    <w:panose1 w:val="02020500000000000000"/>
    <w:charset w:val="88"/>
    <w:family w:val="roman"/>
    <w:pitch w:val="variable"/>
    <w:sig w:usb0="A00002FF" w:usb1="28CFFCFA" w:usb2="00000016" w:usb3="00000000" w:csb0="00100001" w:csb1="00000000"/>
  </w:font>
  <w:font w:name="HelveticaNeueLT Pro 45 Lt">
    <w:altName w:val="Corbel"/>
    <w:charset w:val="00"/>
    <w:family w:val="swiss"/>
    <w:pitch w:val="variable"/>
    <w:sig w:usb0="800000AF"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0C698" w14:textId="7D55C95A" w:rsidR="00FD4B50" w:rsidRPr="00B3052A" w:rsidRDefault="00FD4B50" w:rsidP="00093D0A">
    <w:pPr>
      <w:pStyle w:val="Footer"/>
    </w:pPr>
    <w:r w:rsidRPr="00B3052A">
      <w:t xml:space="preserve">Page </w:t>
    </w:r>
    <w:r w:rsidRPr="00B3052A">
      <w:fldChar w:fldCharType="begin"/>
    </w:r>
    <w:r w:rsidRPr="00B3052A">
      <w:instrText xml:space="preserve"> PAGE    \* MERGEFORMAT </w:instrText>
    </w:r>
    <w:r w:rsidRPr="00B3052A">
      <w:fldChar w:fldCharType="separate"/>
    </w:r>
    <w:r>
      <w:rPr>
        <w:noProof/>
      </w:rPr>
      <w:t>14</w:t>
    </w:r>
    <w:r w:rsidRPr="00B3052A">
      <w:fldChar w:fldCharType="end"/>
    </w:r>
    <w:r w:rsidRPr="00B3052A">
      <w:tab/>
    </w:r>
    <w:r w:rsidRPr="00B3052A">
      <w:tab/>
      <w:t xml:space="preserve">Copyright © </w:t>
    </w:r>
    <w:r>
      <w:t>2022</w:t>
    </w:r>
    <w:r w:rsidRPr="00B3052A">
      <w:t xml:space="preserve"> - IVD Industry Connectivity Consortium (IICC)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C4DC8" w14:textId="39178237" w:rsidR="00FD4B50" w:rsidRPr="00B3052A" w:rsidRDefault="00FD4B50" w:rsidP="00093D0A">
    <w:pPr>
      <w:pStyle w:val="Footer"/>
    </w:pPr>
    <w:r w:rsidRPr="00B3052A">
      <w:t xml:space="preserve">Page </w:t>
    </w:r>
    <w:r w:rsidRPr="00B3052A">
      <w:fldChar w:fldCharType="begin"/>
    </w:r>
    <w:r w:rsidRPr="00B3052A">
      <w:instrText xml:space="preserve"> PAGE    \* MERGEFORMAT </w:instrText>
    </w:r>
    <w:r w:rsidRPr="00B3052A">
      <w:fldChar w:fldCharType="separate"/>
    </w:r>
    <w:r>
      <w:rPr>
        <w:noProof/>
      </w:rPr>
      <w:t>21</w:t>
    </w:r>
    <w:r w:rsidRPr="00B3052A">
      <w:fldChar w:fldCharType="end"/>
    </w:r>
    <w:r w:rsidRPr="00B3052A">
      <w:tab/>
    </w:r>
    <w:r w:rsidRPr="00B3052A">
      <w:tab/>
      <w:t xml:space="preserve">Copyright © </w:t>
    </w:r>
    <w:r>
      <w:t>2022</w:t>
    </w:r>
    <w:r w:rsidRPr="00B3052A">
      <w:t xml:space="preserve"> - IVD Industry Connectivity Consortium (IICC)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F55F3" w14:textId="77777777" w:rsidR="00B7465C" w:rsidRDefault="00B7465C" w:rsidP="00093D0A">
      <w:r>
        <w:separator/>
      </w:r>
    </w:p>
  </w:footnote>
  <w:footnote w:type="continuationSeparator" w:id="0">
    <w:p w14:paraId="048AFAA6" w14:textId="77777777" w:rsidR="00B7465C" w:rsidRDefault="00B7465C" w:rsidP="00093D0A">
      <w:r>
        <w:continuationSeparator/>
      </w:r>
    </w:p>
  </w:footnote>
  <w:footnote w:type="continuationNotice" w:id="1">
    <w:p w14:paraId="3B56B238" w14:textId="77777777" w:rsidR="00B7465C" w:rsidRDefault="00B7465C">
      <w:pPr>
        <w:spacing w:before="0" w:after="0" w:line="240" w:lineRule="auto"/>
      </w:pPr>
    </w:p>
  </w:footnote>
  <w:footnote w:id="2">
    <w:p w14:paraId="18A1B51A" w14:textId="79D455D5" w:rsidR="00FD4B50" w:rsidRPr="00B066E0" w:rsidRDefault="00FD4B50" w:rsidP="00B066E0">
      <w:pPr>
        <w:pStyle w:val="FootnoteText"/>
        <w:spacing w:before="0"/>
        <w:jc w:val="left"/>
        <w:rPr>
          <w:rStyle w:val="IntenseReference"/>
        </w:rPr>
      </w:pPr>
      <w:r w:rsidRPr="00B066E0">
        <w:rPr>
          <w:rStyle w:val="FootnoteReference"/>
          <w:sz w:val="18"/>
          <w:szCs w:val="18"/>
        </w:rPr>
        <w:footnoteRef/>
      </w:r>
      <w:r w:rsidRPr="00B066E0">
        <w:rPr>
          <w:sz w:val="18"/>
          <w:szCs w:val="18"/>
        </w:rPr>
        <w:t xml:space="preserve"> </w:t>
      </w:r>
      <w:hyperlink r:id="rId1" w:history="1">
        <w:r w:rsidRPr="00B066E0">
          <w:rPr>
            <w:rStyle w:val="IntenseReference"/>
          </w:rPr>
          <w:t>https://www.healthit.gov/topic/interoperability/interoperability-roadmap</w:t>
        </w:r>
      </w:hyperlink>
      <w:r w:rsidRPr="00B066E0">
        <w:rPr>
          <w:rStyle w:val="IntenseReference"/>
        </w:rPr>
        <w:t xml:space="preserve"> ; last accessed April 2020</w:t>
      </w:r>
    </w:p>
  </w:footnote>
  <w:footnote w:id="3">
    <w:p w14:paraId="2CAF8B43" w14:textId="0567D23D" w:rsidR="00FD4B50" w:rsidRPr="00B066E0" w:rsidRDefault="00FD4B50" w:rsidP="00B066E0">
      <w:pPr>
        <w:pStyle w:val="FootnoteText"/>
        <w:spacing w:before="0"/>
        <w:jc w:val="left"/>
        <w:rPr>
          <w:rStyle w:val="IntenseReference"/>
        </w:rPr>
      </w:pPr>
      <w:r>
        <w:rPr>
          <w:rStyle w:val="FootnoteReference"/>
        </w:rPr>
        <w:footnoteRef/>
      </w:r>
      <w:r>
        <w:t xml:space="preserve"> </w:t>
      </w:r>
      <w:hyperlink r:id="rId2" w:history="1">
        <w:r w:rsidRPr="00B066E0">
          <w:rPr>
            <w:rStyle w:val="IntenseReference"/>
          </w:rPr>
          <w:t>http://wayback.archive-it.org/7993/20171114130548/https://</w:t>
        </w:r>
      </w:hyperlink>
      <w:hyperlink r:id="rId3" w:history="1">
        <w:r w:rsidRPr="00B066E0">
          <w:rPr>
            <w:rStyle w:val="IntenseReference"/>
          </w:rPr>
          <w:t>www.fda.gov/MedicalDevices/NewsEvents/WorkshopsConferences/ucm523316.htm</w:t>
        </w:r>
      </w:hyperlink>
      <w:r w:rsidRPr="00B066E0">
        <w:rPr>
          <w:rStyle w:val="IntenseReference"/>
        </w:rPr>
        <w:t xml:space="preserve"> ; </w:t>
      </w:r>
      <w:r w:rsidRPr="002977E3">
        <w:rPr>
          <w:rStyle w:val="IntenseReference"/>
        </w:rPr>
        <w:t>last accessed April 2020</w:t>
      </w:r>
    </w:p>
  </w:footnote>
  <w:footnote w:id="4">
    <w:p w14:paraId="5AD94B71" w14:textId="271241EE" w:rsidR="00FD4B50" w:rsidRPr="00B066E0" w:rsidRDefault="00FD4B50" w:rsidP="00B066E0">
      <w:pPr>
        <w:pStyle w:val="FootnoteText"/>
        <w:spacing w:before="0"/>
        <w:jc w:val="left"/>
        <w:rPr>
          <w:rStyle w:val="IntenseReference"/>
        </w:rPr>
      </w:pPr>
      <w:r w:rsidRPr="002C0353">
        <w:rPr>
          <w:rStyle w:val="FootnoteReference"/>
        </w:rPr>
        <w:footnoteRef/>
      </w:r>
      <w:r w:rsidRPr="002C0353">
        <w:rPr>
          <w:rStyle w:val="FootnoteReference"/>
        </w:rPr>
        <w:t xml:space="preserve"> </w:t>
      </w:r>
      <w:hyperlink r:id="rId4" w:history="1">
        <w:r w:rsidRPr="00377F96">
          <w:rPr>
            <w:rStyle w:val="Hyperlink"/>
            <w:sz w:val="18"/>
            <w:szCs w:val="18"/>
          </w:rPr>
          <w:t>https://mdic.org/program/systemic-harmonization-and-interoperability-enhancement-for-lab-data-shield/</w:t>
        </w:r>
      </w:hyperlink>
      <w:r>
        <w:rPr>
          <w:rStyle w:val="IntenseReference"/>
        </w:rPr>
        <w:t>; last accessed May 2020</w:t>
      </w:r>
    </w:p>
  </w:footnote>
  <w:footnote w:id="5">
    <w:p w14:paraId="1525918A" w14:textId="1D717574" w:rsidR="00FD4B50" w:rsidRPr="00B066E0" w:rsidRDefault="00FD4B50" w:rsidP="00B066E0">
      <w:pPr>
        <w:pStyle w:val="FootnoteText"/>
        <w:spacing w:before="0"/>
        <w:jc w:val="left"/>
        <w:rPr>
          <w:rStyle w:val="IntenseReference"/>
        </w:rPr>
      </w:pPr>
      <w:r w:rsidRPr="002C0353">
        <w:rPr>
          <w:rStyle w:val="FootnoteReference"/>
        </w:rPr>
        <w:footnoteRef/>
      </w:r>
      <w:r w:rsidRPr="002C0353">
        <w:rPr>
          <w:rStyle w:val="FootnoteReference"/>
        </w:rPr>
        <w:t xml:space="preserve"> </w:t>
      </w:r>
      <w:r w:rsidRPr="00B066E0">
        <w:rPr>
          <w:rStyle w:val="IntenseReference"/>
        </w:rPr>
        <w:t>https:</w:t>
      </w:r>
      <w:r>
        <w:rPr>
          <w:rStyle w:val="IntenseReference"/>
        </w:rPr>
        <w:t>//mdic.org/;</w:t>
      </w:r>
      <w:r w:rsidRPr="00B066E0">
        <w:rPr>
          <w:rStyle w:val="IntenseReference"/>
        </w:rPr>
        <w:t xml:space="preserve"> </w:t>
      </w:r>
      <w:r>
        <w:rPr>
          <w:rStyle w:val="IntenseReference"/>
        </w:rPr>
        <w:t>l</w:t>
      </w:r>
      <w:r w:rsidRPr="00B066E0">
        <w:rPr>
          <w:rStyle w:val="IntenseReference"/>
        </w:rPr>
        <w:t>ast accessed April 2020</w:t>
      </w:r>
    </w:p>
  </w:footnote>
  <w:footnote w:id="6">
    <w:p w14:paraId="5945CCDA" w14:textId="5E064501" w:rsidR="00FD4B50" w:rsidRPr="002C0353" w:rsidRDefault="00FD4B50" w:rsidP="002C0353">
      <w:pPr>
        <w:pStyle w:val="FootnoteText"/>
        <w:spacing w:before="0"/>
        <w:rPr>
          <w:sz w:val="18"/>
          <w:szCs w:val="18"/>
        </w:rPr>
      </w:pPr>
      <w:r w:rsidRPr="002C0353">
        <w:rPr>
          <w:rStyle w:val="FootnoteReference"/>
          <w:sz w:val="18"/>
          <w:szCs w:val="18"/>
        </w:rPr>
        <w:footnoteRef/>
      </w:r>
      <w:r w:rsidRPr="002C0353">
        <w:rPr>
          <w:sz w:val="18"/>
          <w:szCs w:val="18"/>
        </w:rPr>
        <w:t xml:space="preserve"> </w:t>
      </w:r>
      <w:hyperlink r:id="rId5" w:history="1">
        <w:r w:rsidRPr="002C0353">
          <w:rPr>
            <w:rStyle w:val="Hyperlink"/>
            <w:sz w:val="18"/>
            <w:szCs w:val="18"/>
          </w:rPr>
          <w:t>https://www.ihe.net/uploadedFiles/</w:t>
        </w:r>
        <w:r w:rsidRPr="002C0353">
          <w:rPr>
            <w:rStyle w:val="IntenseReference"/>
          </w:rPr>
          <w:t>Documents</w:t>
        </w:r>
        <w:r w:rsidRPr="002C0353">
          <w:rPr>
            <w:rStyle w:val="Hyperlink"/>
            <w:sz w:val="18"/>
            <w:szCs w:val="18"/>
          </w:rPr>
          <w:t>/PaLM/IHE_PaLM_TF_Vol2c.pdf</w:t>
        </w:r>
      </w:hyperlink>
      <w:r w:rsidRPr="002C0353">
        <w:rPr>
          <w:rStyle w:val="Hyperlink"/>
          <w:sz w:val="18"/>
          <w:szCs w:val="18"/>
        </w:rPr>
        <w:t xml:space="preserve"> ; </w:t>
      </w:r>
      <w:r w:rsidRPr="002C0353">
        <w:rPr>
          <w:sz w:val="18"/>
          <w:szCs w:val="18"/>
        </w:rPr>
        <w:t>last accessed June 2020</w:t>
      </w:r>
    </w:p>
  </w:footnote>
  <w:footnote w:id="7">
    <w:p w14:paraId="529235FB" w14:textId="2455F0D6" w:rsidR="00FD4B50" w:rsidRPr="00CA05A7" w:rsidRDefault="00FD4B50" w:rsidP="002C0353">
      <w:pPr>
        <w:pStyle w:val="FootnoteText"/>
        <w:spacing w:before="0"/>
      </w:pPr>
      <w:r w:rsidRPr="002C0353">
        <w:rPr>
          <w:rStyle w:val="FootnoteReference"/>
          <w:sz w:val="18"/>
          <w:szCs w:val="18"/>
        </w:rPr>
        <w:footnoteRef/>
      </w:r>
      <w:r w:rsidRPr="002C0353">
        <w:rPr>
          <w:sz w:val="18"/>
          <w:szCs w:val="18"/>
        </w:rPr>
        <w:t xml:space="preserve"> </w:t>
      </w:r>
      <w:hyperlink r:id="rId6" w:history="1">
        <w:r w:rsidRPr="002C0353">
          <w:rPr>
            <w:rStyle w:val="Hyperlink"/>
            <w:sz w:val="18"/>
            <w:szCs w:val="18"/>
          </w:rPr>
          <w:t>https://</w:t>
        </w:r>
        <w:r w:rsidRPr="002C0353">
          <w:rPr>
            <w:rStyle w:val="IntenseReference"/>
          </w:rPr>
          <w:t>clsi</w:t>
        </w:r>
        <w:r w:rsidRPr="002C0353">
          <w:rPr>
            <w:rStyle w:val="Hyperlink"/>
            <w:sz w:val="18"/>
            <w:szCs w:val="18"/>
          </w:rPr>
          <w:t>.org/standards/products/automation-and-informatics/documents/auto16/</w:t>
        </w:r>
      </w:hyperlink>
      <w:r w:rsidRPr="002C0353">
        <w:rPr>
          <w:sz w:val="18"/>
          <w:szCs w:val="18"/>
        </w:rPr>
        <w:t>; last accessed June 2020</w:t>
      </w:r>
    </w:p>
  </w:footnote>
  <w:footnote w:id="8">
    <w:p w14:paraId="29403B02" w14:textId="5F7D37CA" w:rsidR="00FD4B50" w:rsidRPr="001A2944" w:rsidRDefault="00FD4B50">
      <w:pPr>
        <w:pStyle w:val="FootnoteText"/>
      </w:pPr>
      <w:r>
        <w:rPr>
          <w:rStyle w:val="FootnoteReference"/>
        </w:rPr>
        <w:footnoteRef/>
      </w:r>
      <w:r>
        <w:t xml:space="preserve"> </w:t>
      </w:r>
      <w:hyperlink r:id="rId7" w:history="1">
        <w:r w:rsidRPr="00FB78FB">
          <w:rPr>
            <w:rStyle w:val="Hyperlink"/>
          </w:rPr>
          <w:t>https://loinc.org/guides/</w:t>
        </w:r>
      </w:hyperlink>
      <w:r>
        <w:t xml:space="preserve"> ; last accessed April 2020</w:t>
      </w:r>
    </w:p>
  </w:footnote>
  <w:footnote w:id="9">
    <w:p w14:paraId="12325D9C" w14:textId="77777777" w:rsidR="00FD4B50" w:rsidRPr="00315EE8" w:rsidRDefault="00FD4B50" w:rsidP="00CE27FE">
      <w:pPr>
        <w:pStyle w:val="FootnoteText"/>
      </w:pPr>
      <w:r>
        <w:rPr>
          <w:rStyle w:val="FootnoteReference"/>
        </w:rPr>
        <w:footnoteRef/>
      </w:r>
      <w:r w:rsidRPr="00315EE8">
        <w:t xml:space="preserve"> </w:t>
      </w:r>
      <w:r w:rsidRPr="00B066E0">
        <w:t xml:space="preserve">See LOINC </w:t>
      </w:r>
      <w:proofErr w:type="spellStart"/>
      <w:r w:rsidRPr="00B066E0">
        <w:t>Users’s</w:t>
      </w:r>
      <w:proofErr w:type="spellEnd"/>
      <w:r w:rsidRPr="00B066E0">
        <w:t xml:space="preserve"> Guide, Appendix A « LOINC Database Structure </w:t>
      </w:r>
      <w:proofErr w:type="gramStart"/>
      <w:r w:rsidRPr="00B066E0">
        <w:t>» ;</w:t>
      </w:r>
      <w:proofErr w:type="gramEnd"/>
      <w:r w:rsidRPr="00B066E0">
        <w:t xml:space="preserve"> </w:t>
      </w:r>
      <w:hyperlink r:id="rId8" w:history="1">
        <w:r w:rsidRPr="00B066E0">
          <w:rPr>
            <w:rStyle w:val="Hyperlink"/>
          </w:rPr>
          <w:t>https://loinc.org/download/loinc-users-guide/</w:t>
        </w:r>
      </w:hyperlink>
      <w:r w:rsidRPr="00B066E0">
        <w:t xml:space="preserve"> ; last accessed April </w:t>
      </w:r>
      <w:r>
        <w:t>2</w:t>
      </w:r>
      <w:r w:rsidRPr="00B066E0">
        <w:t>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D2025" w14:textId="77777777" w:rsidR="00FD4B50" w:rsidRDefault="00FD4B50">
    <w:pPr>
      <w:pStyle w:val="Header"/>
    </w:pPr>
    <w:r>
      <w:rPr>
        <w:noProof/>
      </w:rPr>
      <w:pict w14:anchorId="313DD25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left:0;text-align:left;margin-left:0;margin-top:0;width:609.1pt;height:152.25pt;rotation:315;z-index:-251655166;mso-position-horizontal:center;mso-position-horizontal-relative:margin;mso-position-vertical:center;mso-position-vertical-relative:margin" o:allowincell="f" fillcolor="silver" stroked="f">
          <v:fill opacity=".5"/>
          <v:textpath style="font-family:&quot;Calibri&quot;;font-size:1pt" string="DRAFT - LIVD 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7F6A9" w14:textId="77777777" w:rsidR="00FD4B50" w:rsidRPr="00D30C7A" w:rsidRDefault="00FD4B50" w:rsidP="00093D0A">
    <w:pPr>
      <w:pStyle w:val="Header"/>
    </w:pPr>
    <w:r>
      <w:rPr>
        <w:noProof/>
      </w:rPr>
      <w:pict w14:anchorId="2BBBDF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4" type="#_x0000_t136" style="position:absolute;left:0;text-align:left;margin-left:0;margin-top:0;width:609.1pt;height:152.25pt;rotation:315;z-index:-251654142;mso-position-horizontal:center;mso-position-horizontal-relative:margin;mso-position-vertical:center;mso-position-vertical-relative:margin" o:allowincell="f" fillcolor="silver" stroked="f">
          <v:fill opacity=".5"/>
          <v:textpath style="font-family:&quot;Calibri&quot;;font-size:1pt" string="DRAFT - LIVD v2"/>
          <w10:wrap anchorx="margin" anchory="margin"/>
        </v:shape>
      </w:pict>
    </w:r>
    <w:r>
      <w:t>Digital Format for LOINC Publication</w:t>
    </w:r>
    <w:r>
      <w:tab/>
    </w:r>
    <w:r>
      <w:tab/>
    </w:r>
    <w:r>
      <w:tab/>
      <w:t>Rev 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0DBD9" w14:textId="77777777" w:rsidR="00FD4B50" w:rsidRDefault="00FD4B50" w:rsidP="00B066E0">
    <w:pPr>
      <w:pStyle w:val="Header"/>
    </w:pPr>
    <w:r>
      <w:rPr>
        <w:noProof/>
      </w:rPr>
      <w:pict w14:anchorId="616AAD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left:0;text-align:left;margin-left:0;margin-top:0;width:609.1pt;height:152.25pt;rotation:315;z-index:-251656190;mso-position-horizontal:center;mso-position-horizontal-relative:margin;mso-position-vertical:center;mso-position-vertical-relative:margin" o:allowincell="f" fillcolor="silver" stroked="f">
          <v:fill opacity=".5"/>
          <v:textpath style="font-family:&quot;Calibri&quot;;font-size:1pt" string="DRAFT - LIVD v2"/>
          <w10:wrap anchorx="margin" anchory="margin"/>
        </v:shape>
      </w:pict>
    </w:r>
  </w:p>
  <w:p w14:paraId="339EE069" w14:textId="77777777" w:rsidR="00FD4B50" w:rsidRDefault="00FD4B50" w:rsidP="00B066E0">
    <w:pPr>
      <w:pStyle w:val="Header"/>
    </w:pPr>
    <w:r w:rsidRPr="00AC0532">
      <w:rPr>
        <w:noProof/>
        <w:lang w:val="fr-FR" w:eastAsia="zh-CN" w:bidi="th-TH"/>
      </w:rPr>
      <w:drawing>
        <wp:inline distT="0" distB="0" distL="0" distR="0" wp14:anchorId="23B9EE46" wp14:editId="2EF6CC12">
          <wp:extent cx="819150" cy="819150"/>
          <wp:effectExtent l="0" t="0" r="0" b="0"/>
          <wp:docPr id="2" name="Picture 7" descr="G:\OLDER\2015\2015 Tensei\A_PROJECTS\CONSULT - IICC\PROJECT - Interoperability Standards Map\Logos\Social Networks\facebook square logo - ii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LDER\2015\2015 Tensei\A_PROJECTS\CONSULT - IICC\PROJECT - Interoperability Standards Map\Logos\Social Networks\facebook square logo - iic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F746F" w14:textId="61B11F06" w:rsidR="00FD4B50" w:rsidRDefault="00FD4B50">
    <w:pPr>
      <w:pStyle w:val="Header"/>
    </w:pPr>
    <w:r>
      <w:rPr>
        <w:noProof/>
      </w:rPr>
      <w:pict w14:anchorId="0DED3FB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5539391" o:spid="_x0000_s2050" type="#_x0000_t136" style="position:absolute;left:0;text-align:left;margin-left:0;margin-top:0;width:609.1pt;height:152.25pt;rotation:315;z-index:-251658239;mso-position-horizontal:center;mso-position-horizontal-relative:margin;mso-position-vertical:center;mso-position-vertical-relative:margin" o:allowincell="f" fillcolor="silver" stroked="f">
          <v:fill opacity=".5"/>
          <v:textpath style="font-family:&quot;Calibri&quot;;font-size:1pt" string="DRAFT - LIVD v2"/>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B45C0" w14:textId="131E4472" w:rsidR="00FD4B50" w:rsidRPr="00D30C7A" w:rsidRDefault="00FD4B50" w:rsidP="00093D0A">
    <w:pPr>
      <w:pStyle w:val="Header"/>
    </w:pPr>
    <w:r>
      <w:rPr>
        <w:noProof/>
      </w:rPr>
      <w:pict w14:anchorId="66602FF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5539392" o:spid="_x0000_s2051" type="#_x0000_t136" style="position:absolute;left:0;text-align:left;margin-left:0;margin-top:0;width:609.1pt;height:152.25pt;rotation:315;z-index:-251658238;mso-position-horizontal:center;mso-position-horizontal-relative:margin;mso-position-vertical:center;mso-position-vertical-relative:margin" o:allowincell="f" fillcolor="silver" stroked="f">
          <v:fill opacity=".5"/>
          <v:textpath style="font-family:&quot;Calibri&quot;;font-size:1pt" string="DRAFT - LIVD v2"/>
          <w10:wrap anchorx="margin" anchory="margin"/>
        </v:shape>
      </w:pict>
    </w:r>
    <w:r>
      <w:t>Digital Format for LOINC Publication</w:t>
    </w:r>
    <w:r>
      <w:tab/>
    </w:r>
    <w:r>
      <w:tab/>
    </w:r>
    <w:r>
      <w:tab/>
      <w:t>Rev 2.0</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A44C7" w14:textId="7C9907B0" w:rsidR="00FD4B50" w:rsidRDefault="00FD4B50" w:rsidP="00B066E0">
    <w:pPr>
      <w:pStyle w:val="Header"/>
    </w:pPr>
    <w:r>
      <w:rPr>
        <w:noProof/>
      </w:rPr>
      <w:pict w14:anchorId="7573F55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5539390" o:spid="_x0000_s2049" type="#_x0000_t136" style="position:absolute;left:0;text-align:left;margin-left:0;margin-top:0;width:609.1pt;height:152.25pt;rotation:315;z-index:-251658240;mso-position-horizontal:center;mso-position-horizontal-relative:margin;mso-position-vertical:center;mso-position-vertical-relative:margin" o:allowincell="f" fillcolor="silver" stroked="f">
          <v:fill opacity=".5"/>
          <v:textpath style="font-family:&quot;Calibri&quot;;font-size:1pt" string="DRAFT - LIVD v2"/>
          <w10:wrap anchorx="margin" anchory="margin"/>
        </v:shape>
      </w:pict>
    </w:r>
  </w:p>
  <w:p w14:paraId="454D73C3" w14:textId="77777777" w:rsidR="00FD4B50" w:rsidRDefault="00FD4B50" w:rsidP="00B066E0">
    <w:pPr>
      <w:pStyle w:val="Header"/>
    </w:pPr>
    <w:r w:rsidRPr="00AC0532">
      <w:rPr>
        <w:noProof/>
        <w:lang w:val="fr-FR" w:eastAsia="zh-CN" w:bidi="th-TH"/>
      </w:rPr>
      <w:drawing>
        <wp:inline distT="0" distB="0" distL="0" distR="0" wp14:anchorId="507828D5" wp14:editId="2CC355E9">
          <wp:extent cx="819150" cy="819150"/>
          <wp:effectExtent l="0" t="0" r="0" b="0"/>
          <wp:docPr id="7" name="Picture 7" descr="G:\OLDER\2015\2015 Tensei\A_PROJECTS\CONSULT - IICC\PROJECT - Interoperability Standards Map\Logos\Social Networks\facebook square logo - ii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LDER\2015\2015 Tensei\A_PROJECTS\CONSULT - IICC\PROJECT - Interoperability Standards Map\Logos\Social Networks\facebook square logo - iic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49FA6CD2"/>
    <w:lvl w:ilvl="0">
      <w:start w:val="1"/>
      <w:numFmt w:val="decimal"/>
      <w:pStyle w:val="ListNumber2"/>
      <w:lvlText w:val="%1."/>
      <w:lvlJc w:val="left"/>
      <w:pPr>
        <w:tabs>
          <w:tab w:val="num" w:pos="720"/>
        </w:tabs>
        <w:ind w:left="720" w:hanging="360"/>
      </w:pPr>
    </w:lvl>
  </w:abstractNum>
  <w:abstractNum w:abstractNumId="1" w15:restartNumberingAfterBreak="0">
    <w:nsid w:val="FFFFFF81"/>
    <w:multiLevelType w:val="singleLevel"/>
    <w:tmpl w:val="999697D8"/>
    <w:lvl w:ilvl="0">
      <w:start w:val="1"/>
      <w:numFmt w:val="bullet"/>
      <w:pStyle w:val="ListBullet4"/>
      <w:lvlText w:val=""/>
      <w:lvlJc w:val="left"/>
      <w:pPr>
        <w:ind w:left="2345" w:hanging="360"/>
      </w:pPr>
      <w:rPr>
        <w:rFonts w:ascii="Symbol" w:hAnsi="Symbol" w:hint="default"/>
        <w:lang w:val="en-US"/>
      </w:rPr>
    </w:lvl>
  </w:abstractNum>
  <w:abstractNum w:abstractNumId="2" w15:restartNumberingAfterBreak="0">
    <w:nsid w:val="FFFFFF82"/>
    <w:multiLevelType w:val="singleLevel"/>
    <w:tmpl w:val="04090005"/>
    <w:lvl w:ilvl="0">
      <w:start w:val="1"/>
      <w:numFmt w:val="bullet"/>
      <w:lvlText w:val=""/>
      <w:lvlJc w:val="left"/>
      <w:pPr>
        <w:ind w:left="2160" w:hanging="360"/>
      </w:pPr>
      <w:rPr>
        <w:rFonts w:ascii="Wingdings" w:hAnsi="Wingdings" w:hint="default"/>
      </w:rPr>
    </w:lvl>
  </w:abstractNum>
  <w:abstractNum w:abstractNumId="3" w15:restartNumberingAfterBreak="0">
    <w:nsid w:val="FFFFFF83"/>
    <w:multiLevelType w:val="singleLevel"/>
    <w:tmpl w:val="04090005"/>
    <w:lvl w:ilvl="0">
      <w:start w:val="1"/>
      <w:numFmt w:val="bullet"/>
      <w:lvlText w:val=""/>
      <w:lvlJc w:val="left"/>
      <w:pPr>
        <w:ind w:left="1800" w:hanging="360"/>
      </w:pPr>
      <w:rPr>
        <w:rFonts w:ascii="Wingdings" w:hAnsi="Wingdings" w:hint="default"/>
      </w:rPr>
    </w:lvl>
  </w:abstractNum>
  <w:abstractNum w:abstractNumId="4" w15:restartNumberingAfterBreak="0">
    <w:nsid w:val="FFFFFF89"/>
    <w:multiLevelType w:val="singleLevel"/>
    <w:tmpl w:val="7BB0A438"/>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05F76C1"/>
    <w:multiLevelType w:val="hybridMultilevel"/>
    <w:tmpl w:val="194E0FA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BA57224"/>
    <w:multiLevelType w:val="hybridMultilevel"/>
    <w:tmpl w:val="5AD661A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C135D49"/>
    <w:multiLevelType w:val="hybridMultilevel"/>
    <w:tmpl w:val="E896613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50231A1"/>
    <w:multiLevelType w:val="hybridMultilevel"/>
    <w:tmpl w:val="61F2ED74"/>
    <w:lvl w:ilvl="0" w:tplc="040C0001">
      <w:start w:val="1"/>
      <w:numFmt w:val="bullet"/>
      <w:lvlText w:val=""/>
      <w:lvlJc w:val="left"/>
      <w:pPr>
        <w:ind w:left="2705" w:hanging="360"/>
      </w:pPr>
      <w:rPr>
        <w:rFonts w:ascii="Symbol" w:hAnsi="Symbol" w:hint="default"/>
      </w:rPr>
    </w:lvl>
    <w:lvl w:ilvl="1" w:tplc="040C0003" w:tentative="1">
      <w:start w:val="1"/>
      <w:numFmt w:val="bullet"/>
      <w:lvlText w:val="o"/>
      <w:lvlJc w:val="left"/>
      <w:pPr>
        <w:ind w:left="3425" w:hanging="360"/>
      </w:pPr>
      <w:rPr>
        <w:rFonts w:ascii="Courier New" w:hAnsi="Courier New" w:cs="Courier New" w:hint="default"/>
      </w:rPr>
    </w:lvl>
    <w:lvl w:ilvl="2" w:tplc="040C0005" w:tentative="1">
      <w:start w:val="1"/>
      <w:numFmt w:val="bullet"/>
      <w:lvlText w:val=""/>
      <w:lvlJc w:val="left"/>
      <w:pPr>
        <w:ind w:left="4145" w:hanging="360"/>
      </w:pPr>
      <w:rPr>
        <w:rFonts w:ascii="Wingdings" w:hAnsi="Wingdings" w:hint="default"/>
      </w:rPr>
    </w:lvl>
    <w:lvl w:ilvl="3" w:tplc="040C0001" w:tentative="1">
      <w:start w:val="1"/>
      <w:numFmt w:val="bullet"/>
      <w:lvlText w:val=""/>
      <w:lvlJc w:val="left"/>
      <w:pPr>
        <w:ind w:left="4865" w:hanging="360"/>
      </w:pPr>
      <w:rPr>
        <w:rFonts w:ascii="Symbol" w:hAnsi="Symbol" w:hint="default"/>
      </w:rPr>
    </w:lvl>
    <w:lvl w:ilvl="4" w:tplc="040C0003" w:tentative="1">
      <w:start w:val="1"/>
      <w:numFmt w:val="bullet"/>
      <w:lvlText w:val="o"/>
      <w:lvlJc w:val="left"/>
      <w:pPr>
        <w:ind w:left="5585" w:hanging="360"/>
      </w:pPr>
      <w:rPr>
        <w:rFonts w:ascii="Courier New" w:hAnsi="Courier New" w:cs="Courier New" w:hint="default"/>
      </w:rPr>
    </w:lvl>
    <w:lvl w:ilvl="5" w:tplc="040C0005" w:tentative="1">
      <w:start w:val="1"/>
      <w:numFmt w:val="bullet"/>
      <w:lvlText w:val=""/>
      <w:lvlJc w:val="left"/>
      <w:pPr>
        <w:ind w:left="6305" w:hanging="360"/>
      </w:pPr>
      <w:rPr>
        <w:rFonts w:ascii="Wingdings" w:hAnsi="Wingdings" w:hint="default"/>
      </w:rPr>
    </w:lvl>
    <w:lvl w:ilvl="6" w:tplc="040C0001" w:tentative="1">
      <w:start w:val="1"/>
      <w:numFmt w:val="bullet"/>
      <w:lvlText w:val=""/>
      <w:lvlJc w:val="left"/>
      <w:pPr>
        <w:ind w:left="7025" w:hanging="360"/>
      </w:pPr>
      <w:rPr>
        <w:rFonts w:ascii="Symbol" w:hAnsi="Symbol" w:hint="default"/>
      </w:rPr>
    </w:lvl>
    <w:lvl w:ilvl="7" w:tplc="040C0003" w:tentative="1">
      <w:start w:val="1"/>
      <w:numFmt w:val="bullet"/>
      <w:lvlText w:val="o"/>
      <w:lvlJc w:val="left"/>
      <w:pPr>
        <w:ind w:left="7745" w:hanging="360"/>
      </w:pPr>
      <w:rPr>
        <w:rFonts w:ascii="Courier New" w:hAnsi="Courier New" w:cs="Courier New" w:hint="default"/>
      </w:rPr>
    </w:lvl>
    <w:lvl w:ilvl="8" w:tplc="040C0005" w:tentative="1">
      <w:start w:val="1"/>
      <w:numFmt w:val="bullet"/>
      <w:lvlText w:val=""/>
      <w:lvlJc w:val="left"/>
      <w:pPr>
        <w:ind w:left="8465" w:hanging="360"/>
      </w:pPr>
      <w:rPr>
        <w:rFonts w:ascii="Wingdings" w:hAnsi="Wingdings" w:hint="default"/>
      </w:rPr>
    </w:lvl>
  </w:abstractNum>
  <w:abstractNum w:abstractNumId="9" w15:restartNumberingAfterBreak="0">
    <w:nsid w:val="158F5623"/>
    <w:multiLevelType w:val="hybridMultilevel"/>
    <w:tmpl w:val="7B5E5260"/>
    <w:lvl w:ilvl="0" w:tplc="BC70CDC0">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186926C2"/>
    <w:multiLevelType w:val="hybridMultilevel"/>
    <w:tmpl w:val="386285C6"/>
    <w:lvl w:ilvl="0" w:tplc="04090005">
      <w:start w:val="1"/>
      <w:numFmt w:val="bullet"/>
      <w:lvlText w:val=""/>
      <w:lvlJc w:val="left"/>
      <w:pPr>
        <w:ind w:left="1800" w:hanging="360"/>
      </w:pPr>
      <w:rPr>
        <w:rFonts w:ascii="Wingdings" w:hAnsi="Wingdings" w:hint="default"/>
      </w:rPr>
    </w:lvl>
    <w:lvl w:ilvl="1" w:tplc="BC70CDC0">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8BB78D3"/>
    <w:multiLevelType w:val="hybridMultilevel"/>
    <w:tmpl w:val="1E9C86A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9F6244C"/>
    <w:multiLevelType w:val="hybridMultilevel"/>
    <w:tmpl w:val="50A42EB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DD06851"/>
    <w:multiLevelType w:val="hybridMultilevel"/>
    <w:tmpl w:val="68A4CE0E"/>
    <w:lvl w:ilvl="0" w:tplc="040C0001">
      <w:start w:val="1"/>
      <w:numFmt w:val="bullet"/>
      <w:lvlText w:val=""/>
      <w:lvlJc w:val="left"/>
      <w:pPr>
        <w:ind w:left="2345" w:hanging="360"/>
      </w:pPr>
      <w:rPr>
        <w:rFonts w:ascii="Symbol" w:hAnsi="Symbol" w:hint="default"/>
      </w:rPr>
    </w:lvl>
    <w:lvl w:ilvl="1" w:tplc="040C0003" w:tentative="1">
      <w:start w:val="1"/>
      <w:numFmt w:val="bullet"/>
      <w:lvlText w:val="o"/>
      <w:lvlJc w:val="left"/>
      <w:pPr>
        <w:ind w:left="3065" w:hanging="360"/>
      </w:pPr>
      <w:rPr>
        <w:rFonts w:ascii="Courier New" w:hAnsi="Courier New" w:cs="Courier New" w:hint="default"/>
      </w:rPr>
    </w:lvl>
    <w:lvl w:ilvl="2" w:tplc="040C0005" w:tentative="1">
      <w:start w:val="1"/>
      <w:numFmt w:val="bullet"/>
      <w:lvlText w:val=""/>
      <w:lvlJc w:val="left"/>
      <w:pPr>
        <w:ind w:left="3785" w:hanging="360"/>
      </w:pPr>
      <w:rPr>
        <w:rFonts w:ascii="Wingdings" w:hAnsi="Wingdings" w:hint="default"/>
      </w:rPr>
    </w:lvl>
    <w:lvl w:ilvl="3" w:tplc="040C0001" w:tentative="1">
      <w:start w:val="1"/>
      <w:numFmt w:val="bullet"/>
      <w:lvlText w:val=""/>
      <w:lvlJc w:val="left"/>
      <w:pPr>
        <w:ind w:left="4505" w:hanging="360"/>
      </w:pPr>
      <w:rPr>
        <w:rFonts w:ascii="Symbol" w:hAnsi="Symbol" w:hint="default"/>
      </w:rPr>
    </w:lvl>
    <w:lvl w:ilvl="4" w:tplc="040C0003" w:tentative="1">
      <w:start w:val="1"/>
      <w:numFmt w:val="bullet"/>
      <w:lvlText w:val="o"/>
      <w:lvlJc w:val="left"/>
      <w:pPr>
        <w:ind w:left="5225" w:hanging="360"/>
      </w:pPr>
      <w:rPr>
        <w:rFonts w:ascii="Courier New" w:hAnsi="Courier New" w:cs="Courier New" w:hint="default"/>
      </w:rPr>
    </w:lvl>
    <w:lvl w:ilvl="5" w:tplc="040C0005" w:tentative="1">
      <w:start w:val="1"/>
      <w:numFmt w:val="bullet"/>
      <w:lvlText w:val=""/>
      <w:lvlJc w:val="left"/>
      <w:pPr>
        <w:ind w:left="5945" w:hanging="360"/>
      </w:pPr>
      <w:rPr>
        <w:rFonts w:ascii="Wingdings" w:hAnsi="Wingdings" w:hint="default"/>
      </w:rPr>
    </w:lvl>
    <w:lvl w:ilvl="6" w:tplc="040C0001" w:tentative="1">
      <w:start w:val="1"/>
      <w:numFmt w:val="bullet"/>
      <w:lvlText w:val=""/>
      <w:lvlJc w:val="left"/>
      <w:pPr>
        <w:ind w:left="6665" w:hanging="360"/>
      </w:pPr>
      <w:rPr>
        <w:rFonts w:ascii="Symbol" w:hAnsi="Symbol" w:hint="default"/>
      </w:rPr>
    </w:lvl>
    <w:lvl w:ilvl="7" w:tplc="040C0003" w:tentative="1">
      <w:start w:val="1"/>
      <w:numFmt w:val="bullet"/>
      <w:lvlText w:val="o"/>
      <w:lvlJc w:val="left"/>
      <w:pPr>
        <w:ind w:left="7385" w:hanging="360"/>
      </w:pPr>
      <w:rPr>
        <w:rFonts w:ascii="Courier New" w:hAnsi="Courier New" w:cs="Courier New" w:hint="default"/>
      </w:rPr>
    </w:lvl>
    <w:lvl w:ilvl="8" w:tplc="040C0005" w:tentative="1">
      <w:start w:val="1"/>
      <w:numFmt w:val="bullet"/>
      <w:lvlText w:val=""/>
      <w:lvlJc w:val="left"/>
      <w:pPr>
        <w:ind w:left="8105" w:hanging="360"/>
      </w:pPr>
      <w:rPr>
        <w:rFonts w:ascii="Wingdings" w:hAnsi="Wingdings" w:hint="default"/>
      </w:rPr>
    </w:lvl>
  </w:abstractNum>
  <w:abstractNum w:abstractNumId="14" w15:restartNumberingAfterBreak="0">
    <w:nsid w:val="2657062B"/>
    <w:multiLevelType w:val="hybridMultilevel"/>
    <w:tmpl w:val="C4AC98A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B2E332E"/>
    <w:multiLevelType w:val="hybridMultilevel"/>
    <w:tmpl w:val="5FEC7EEA"/>
    <w:lvl w:ilvl="0" w:tplc="04090005">
      <w:start w:val="1"/>
      <w:numFmt w:val="bullet"/>
      <w:lvlText w:val=""/>
      <w:lvlJc w:val="left"/>
      <w:pPr>
        <w:ind w:left="2160" w:hanging="360"/>
      </w:pPr>
      <w:rPr>
        <w:rFonts w:ascii="Wingdings" w:hAnsi="Wingdings" w:hint="default"/>
      </w:rPr>
    </w:lvl>
    <w:lvl w:ilvl="1" w:tplc="BC70CDC0">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CA43AA7"/>
    <w:multiLevelType w:val="hybridMultilevel"/>
    <w:tmpl w:val="8DDA8128"/>
    <w:lvl w:ilvl="0" w:tplc="040C0003">
      <w:start w:val="1"/>
      <w:numFmt w:val="bullet"/>
      <w:lvlText w:val="o"/>
      <w:lvlJc w:val="left"/>
      <w:pPr>
        <w:ind w:left="2880" w:hanging="360"/>
      </w:pPr>
      <w:rPr>
        <w:rFonts w:ascii="Courier New" w:hAnsi="Courier New" w:cs="Courier New" w:hint="default"/>
      </w:rPr>
    </w:lvl>
    <w:lvl w:ilvl="1" w:tplc="04090005">
      <w:start w:val="1"/>
      <w:numFmt w:val="bullet"/>
      <w:lvlText w:val=""/>
      <w:lvlJc w:val="left"/>
      <w:pPr>
        <w:ind w:left="3600" w:hanging="360"/>
      </w:pPr>
      <w:rPr>
        <w:rFonts w:ascii="Wingdings" w:hAnsi="Wingdings"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17" w15:restartNumberingAfterBreak="0">
    <w:nsid w:val="31461027"/>
    <w:multiLevelType w:val="hybridMultilevel"/>
    <w:tmpl w:val="BFCC688E"/>
    <w:lvl w:ilvl="0" w:tplc="04090005">
      <w:start w:val="1"/>
      <w:numFmt w:val="bullet"/>
      <w:lvlText w:val=""/>
      <w:lvlJc w:val="left"/>
      <w:pPr>
        <w:ind w:left="1800" w:hanging="360"/>
      </w:pPr>
      <w:rPr>
        <w:rFonts w:ascii="Wingdings" w:hAnsi="Wingdings" w:hint="default"/>
      </w:rPr>
    </w:lvl>
    <w:lvl w:ilvl="1" w:tplc="BC70CDC0">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2C56A73"/>
    <w:multiLevelType w:val="hybridMultilevel"/>
    <w:tmpl w:val="0B66B47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67B4BA5"/>
    <w:multiLevelType w:val="hybridMultilevel"/>
    <w:tmpl w:val="9F1A3D2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A396611"/>
    <w:multiLevelType w:val="hybridMultilevel"/>
    <w:tmpl w:val="EBF00862"/>
    <w:lvl w:ilvl="0" w:tplc="040C0003">
      <w:start w:val="1"/>
      <w:numFmt w:val="bullet"/>
      <w:lvlText w:val="o"/>
      <w:lvlJc w:val="left"/>
      <w:pPr>
        <w:ind w:left="2880" w:hanging="360"/>
      </w:pPr>
      <w:rPr>
        <w:rFonts w:ascii="Courier New" w:hAnsi="Courier New" w:cs="Courier New" w:hint="default"/>
      </w:rPr>
    </w:lvl>
    <w:lvl w:ilvl="1" w:tplc="040C0003">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21" w15:restartNumberingAfterBreak="0">
    <w:nsid w:val="3B457BBD"/>
    <w:multiLevelType w:val="hybridMultilevel"/>
    <w:tmpl w:val="C6B80F4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C8A2FF6"/>
    <w:multiLevelType w:val="hybridMultilevel"/>
    <w:tmpl w:val="644AE7C0"/>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FE74D3F"/>
    <w:multiLevelType w:val="hybridMultilevel"/>
    <w:tmpl w:val="2208E602"/>
    <w:lvl w:ilvl="0" w:tplc="04090005">
      <w:start w:val="1"/>
      <w:numFmt w:val="bullet"/>
      <w:lvlText w:val=""/>
      <w:lvlJc w:val="left"/>
      <w:pPr>
        <w:ind w:left="2160" w:hanging="360"/>
      </w:pPr>
      <w:rPr>
        <w:rFonts w:ascii="Wingdings" w:hAnsi="Wingdings" w:hint="default"/>
      </w:rPr>
    </w:lvl>
    <w:lvl w:ilvl="1" w:tplc="BC70CDC0">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5482CAC"/>
    <w:multiLevelType w:val="hybridMultilevel"/>
    <w:tmpl w:val="DBF6FE28"/>
    <w:lvl w:ilvl="0" w:tplc="040C0001">
      <w:start w:val="1"/>
      <w:numFmt w:val="bullet"/>
      <w:lvlText w:val=""/>
      <w:lvlJc w:val="left"/>
      <w:pPr>
        <w:ind w:left="2705" w:hanging="360"/>
      </w:pPr>
      <w:rPr>
        <w:rFonts w:ascii="Symbol" w:hAnsi="Symbol" w:hint="default"/>
      </w:rPr>
    </w:lvl>
    <w:lvl w:ilvl="1" w:tplc="040C0003" w:tentative="1">
      <w:start w:val="1"/>
      <w:numFmt w:val="bullet"/>
      <w:lvlText w:val="o"/>
      <w:lvlJc w:val="left"/>
      <w:pPr>
        <w:ind w:left="3425" w:hanging="360"/>
      </w:pPr>
      <w:rPr>
        <w:rFonts w:ascii="Courier New" w:hAnsi="Courier New" w:cs="Courier New" w:hint="default"/>
      </w:rPr>
    </w:lvl>
    <w:lvl w:ilvl="2" w:tplc="040C0005" w:tentative="1">
      <w:start w:val="1"/>
      <w:numFmt w:val="bullet"/>
      <w:lvlText w:val=""/>
      <w:lvlJc w:val="left"/>
      <w:pPr>
        <w:ind w:left="4145" w:hanging="360"/>
      </w:pPr>
      <w:rPr>
        <w:rFonts w:ascii="Wingdings" w:hAnsi="Wingdings" w:hint="default"/>
      </w:rPr>
    </w:lvl>
    <w:lvl w:ilvl="3" w:tplc="040C0001" w:tentative="1">
      <w:start w:val="1"/>
      <w:numFmt w:val="bullet"/>
      <w:lvlText w:val=""/>
      <w:lvlJc w:val="left"/>
      <w:pPr>
        <w:ind w:left="4865" w:hanging="360"/>
      </w:pPr>
      <w:rPr>
        <w:rFonts w:ascii="Symbol" w:hAnsi="Symbol" w:hint="default"/>
      </w:rPr>
    </w:lvl>
    <w:lvl w:ilvl="4" w:tplc="040C0003" w:tentative="1">
      <w:start w:val="1"/>
      <w:numFmt w:val="bullet"/>
      <w:lvlText w:val="o"/>
      <w:lvlJc w:val="left"/>
      <w:pPr>
        <w:ind w:left="5585" w:hanging="360"/>
      </w:pPr>
      <w:rPr>
        <w:rFonts w:ascii="Courier New" w:hAnsi="Courier New" w:cs="Courier New" w:hint="default"/>
      </w:rPr>
    </w:lvl>
    <w:lvl w:ilvl="5" w:tplc="040C0005" w:tentative="1">
      <w:start w:val="1"/>
      <w:numFmt w:val="bullet"/>
      <w:lvlText w:val=""/>
      <w:lvlJc w:val="left"/>
      <w:pPr>
        <w:ind w:left="6305" w:hanging="360"/>
      </w:pPr>
      <w:rPr>
        <w:rFonts w:ascii="Wingdings" w:hAnsi="Wingdings" w:hint="default"/>
      </w:rPr>
    </w:lvl>
    <w:lvl w:ilvl="6" w:tplc="040C0001" w:tentative="1">
      <w:start w:val="1"/>
      <w:numFmt w:val="bullet"/>
      <w:lvlText w:val=""/>
      <w:lvlJc w:val="left"/>
      <w:pPr>
        <w:ind w:left="7025" w:hanging="360"/>
      </w:pPr>
      <w:rPr>
        <w:rFonts w:ascii="Symbol" w:hAnsi="Symbol" w:hint="default"/>
      </w:rPr>
    </w:lvl>
    <w:lvl w:ilvl="7" w:tplc="040C0003" w:tentative="1">
      <w:start w:val="1"/>
      <w:numFmt w:val="bullet"/>
      <w:lvlText w:val="o"/>
      <w:lvlJc w:val="left"/>
      <w:pPr>
        <w:ind w:left="7745" w:hanging="360"/>
      </w:pPr>
      <w:rPr>
        <w:rFonts w:ascii="Courier New" w:hAnsi="Courier New" w:cs="Courier New" w:hint="default"/>
      </w:rPr>
    </w:lvl>
    <w:lvl w:ilvl="8" w:tplc="040C0005" w:tentative="1">
      <w:start w:val="1"/>
      <w:numFmt w:val="bullet"/>
      <w:lvlText w:val=""/>
      <w:lvlJc w:val="left"/>
      <w:pPr>
        <w:ind w:left="8465" w:hanging="360"/>
      </w:pPr>
      <w:rPr>
        <w:rFonts w:ascii="Wingdings" w:hAnsi="Wingdings" w:hint="default"/>
      </w:rPr>
    </w:lvl>
  </w:abstractNum>
  <w:abstractNum w:abstractNumId="25" w15:restartNumberingAfterBreak="0">
    <w:nsid w:val="509E0B74"/>
    <w:multiLevelType w:val="hybridMultilevel"/>
    <w:tmpl w:val="B734DCB4"/>
    <w:lvl w:ilvl="0" w:tplc="04090005">
      <w:start w:val="1"/>
      <w:numFmt w:val="bullet"/>
      <w:lvlText w:val=""/>
      <w:lvlJc w:val="left"/>
      <w:pPr>
        <w:ind w:left="2160" w:hanging="360"/>
      </w:pPr>
      <w:rPr>
        <w:rFonts w:ascii="Wingdings" w:hAnsi="Wingdings" w:hint="default"/>
      </w:rPr>
    </w:lvl>
    <w:lvl w:ilvl="1" w:tplc="BC70CDC0">
      <w:start w:val="1"/>
      <w:numFmt w:val="bullet"/>
      <w:lvlText w:val=""/>
      <w:lvlJc w:val="left"/>
      <w:pPr>
        <w:ind w:left="2880" w:hanging="360"/>
      </w:pPr>
      <w:rPr>
        <w:rFonts w:ascii="Wingdings" w:hAnsi="Wingdings"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2DE5AEB"/>
    <w:multiLevelType w:val="hybridMultilevel"/>
    <w:tmpl w:val="3A3EC04C"/>
    <w:lvl w:ilvl="0" w:tplc="893A0C88">
      <w:numFmt w:val="bullet"/>
      <w:lvlText w:val=""/>
      <w:lvlJc w:val="left"/>
      <w:pPr>
        <w:ind w:left="1800" w:hanging="360"/>
      </w:pPr>
      <w:rPr>
        <w:rFonts w:ascii="Wingdings" w:eastAsiaTheme="minorHAnsi" w:hAnsi="Wingdings" w:cstheme="minorBid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7" w15:restartNumberingAfterBreak="0">
    <w:nsid w:val="572314B9"/>
    <w:multiLevelType w:val="hybridMultilevel"/>
    <w:tmpl w:val="20B880E2"/>
    <w:lvl w:ilvl="0" w:tplc="CD42101A">
      <w:start w:val="1"/>
      <w:numFmt w:val="decimal"/>
      <w:pStyle w:val="ListBullet2"/>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5E093885"/>
    <w:multiLevelType w:val="hybridMultilevel"/>
    <w:tmpl w:val="F30A519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5EDA12A8"/>
    <w:multiLevelType w:val="hybridMultilevel"/>
    <w:tmpl w:val="B924210A"/>
    <w:lvl w:ilvl="0" w:tplc="BC70CDC0">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0" w15:restartNumberingAfterBreak="0">
    <w:nsid w:val="5F9B01D8"/>
    <w:multiLevelType w:val="hybridMultilevel"/>
    <w:tmpl w:val="EDF432C4"/>
    <w:lvl w:ilvl="0" w:tplc="0409000F">
      <w:start w:val="1"/>
      <w:numFmt w:val="decimal"/>
      <w:lvlText w:val="%1."/>
      <w:lvlJc w:val="left"/>
      <w:pPr>
        <w:ind w:left="2520" w:hanging="360"/>
      </w:pPr>
      <w:rPr>
        <w:rFont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614D050E"/>
    <w:multiLevelType w:val="hybridMultilevel"/>
    <w:tmpl w:val="3AC4C138"/>
    <w:lvl w:ilvl="0" w:tplc="F942D9FC">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2" w15:restartNumberingAfterBreak="0">
    <w:nsid w:val="629131A0"/>
    <w:multiLevelType w:val="hybridMultilevel"/>
    <w:tmpl w:val="24E26D44"/>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CAB21D0"/>
    <w:multiLevelType w:val="hybridMultilevel"/>
    <w:tmpl w:val="11F64DFE"/>
    <w:lvl w:ilvl="0" w:tplc="BC70CDC0">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15:restartNumberingAfterBreak="0">
    <w:nsid w:val="6E6B5067"/>
    <w:multiLevelType w:val="hybridMultilevel"/>
    <w:tmpl w:val="DA8A5BEE"/>
    <w:lvl w:ilvl="0" w:tplc="04090005">
      <w:start w:val="1"/>
      <w:numFmt w:val="bullet"/>
      <w:lvlText w:val=""/>
      <w:lvlJc w:val="left"/>
      <w:pPr>
        <w:ind w:left="2160" w:hanging="360"/>
      </w:pPr>
      <w:rPr>
        <w:rFonts w:ascii="Wingdings" w:hAnsi="Wingdings" w:hint="default"/>
      </w:rPr>
    </w:lvl>
    <w:lvl w:ilvl="1" w:tplc="BC70CDC0">
      <w:start w:val="1"/>
      <w:numFmt w:val="bullet"/>
      <w:lvlText w:val=""/>
      <w:lvlJc w:val="left"/>
      <w:pPr>
        <w:ind w:left="2880" w:hanging="360"/>
      </w:pPr>
      <w:rPr>
        <w:rFonts w:ascii="Wingdings" w:hAnsi="Wingdings" w:hint="default"/>
      </w:rPr>
    </w:lvl>
    <w:lvl w:ilvl="2" w:tplc="2B7EFCBC">
      <w:start w:val="2"/>
      <w:numFmt w:val="bullet"/>
      <w:lvlText w:val="-"/>
      <w:lvlJc w:val="left"/>
      <w:pPr>
        <w:ind w:left="3600" w:hanging="360"/>
      </w:pPr>
      <w:rPr>
        <w:rFonts w:ascii="Calibri" w:eastAsiaTheme="minorHAnsi" w:hAnsi="Calibri" w:cs="Calibri"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71AC2257"/>
    <w:multiLevelType w:val="hybridMultilevel"/>
    <w:tmpl w:val="2250C72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3F00F3D"/>
    <w:multiLevelType w:val="hybridMultilevel"/>
    <w:tmpl w:val="AFB2F33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15:restartNumberingAfterBreak="0">
    <w:nsid w:val="78D84B5D"/>
    <w:multiLevelType w:val="hybridMultilevel"/>
    <w:tmpl w:val="CBB0A6B0"/>
    <w:lvl w:ilvl="0" w:tplc="BC70CDC0">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15:restartNumberingAfterBreak="0">
    <w:nsid w:val="7CC56557"/>
    <w:multiLevelType w:val="hybridMultilevel"/>
    <w:tmpl w:val="25F21EE8"/>
    <w:lvl w:ilvl="0" w:tplc="BC70CDC0">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7DC415B0"/>
    <w:multiLevelType w:val="hybridMultilevel"/>
    <w:tmpl w:val="6D5245F8"/>
    <w:lvl w:ilvl="0" w:tplc="04090005">
      <w:start w:val="1"/>
      <w:numFmt w:val="bullet"/>
      <w:lvlText w:val=""/>
      <w:lvlJc w:val="left"/>
      <w:pPr>
        <w:ind w:left="2160" w:hanging="360"/>
      </w:pPr>
      <w:rPr>
        <w:rFonts w:ascii="Wingdings" w:hAnsi="Wingdings" w:hint="default"/>
      </w:rPr>
    </w:lvl>
    <w:lvl w:ilvl="1" w:tplc="BC70CDC0">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E43262C"/>
    <w:multiLevelType w:val="hybridMultilevel"/>
    <w:tmpl w:val="12E8A990"/>
    <w:lvl w:ilvl="0" w:tplc="04090005">
      <w:start w:val="1"/>
      <w:numFmt w:val="bullet"/>
      <w:lvlText w:val=""/>
      <w:lvlJc w:val="left"/>
      <w:pPr>
        <w:ind w:left="2160" w:hanging="360"/>
      </w:pPr>
      <w:rPr>
        <w:rFonts w:ascii="Wingdings" w:hAnsi="Wingdings" w:hint="default"/>
      </w:rPr>
    </w:lvl>
    <w:lvl w:ilvl="1" w:tplc="BC70CDC0">
      <w:start w:val="1"/>
      <w:numFmt w:val="bullet"/>
      <w:lvlText w:val=""/>
      <w:lvlJc w:val="left"/>
      <w:pPr>
        <w:ind w:left="2880" w:hanging="360"/>
      </w:pPr>
      <w:rPr>
        <w:rFonts w:ascii="Wingdings" w:hAnsi="Wingdings"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7EB6533D"/>
    <w:multiLevelType w:val="hybridMultilevel"/>
    <w:tmpl w:val="D90C4BC4"/>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27"/>
  </w:num>
  <w:num w:numId="7">
    <w:abstractNumId w:val="12"/>
  </w:num>
  <w:num w:numId="8">
    <w:abstractNumId w:val="14"/>
  </w:num>
  <w:num w:numId="9">
    <w:abstractNumId w:val="6"/>
  </w:num>
  <w:num w:numId="10">
    <w:abstractNumId w:val="25"/>
  </w:num>
  <w:num w:numId="11">
    <w:abstractNumId w:val="19"/>
  </w:num>
  <w:num w:numId="12">
    <w:abstractNumId w:val="37"/>
  </w:num>
  <w:num w:numId="13">
    <w:abstractNumId w:val="38"/>
  </w:num>
  <w:num w:numId="14">
    <w:abstractNumId w:val="7"/>
  </w:num>
  <w:num w:numId="15">
    <w:abstractNumId w:val="35"/>
  </w:num>
  <w:num w:numId="16">
    <w:abstractNumId w:val="21"/>
  </w:num>
  <w:num w:numId="17">
    <w:abstractNumId w:val="22"/>
  </w:num>
  <w:num w:numId="18">
    <w:abstractNumId w:val="5"/>
  </w:num>
  <w:num w:numId="19">
    <w:abstractNumId w:val="18"/>
  </w:num>
  <w:num w:numId="20">
    <w:abstractNumId w:val="32"/>
  </w:num>
  <w:num w:numId="21">
    <w:abstractNumId w:val="11"/>
  </w:num>
  <w:num w:numId="22">
    <w:abstractNumId w:val="23"/>
  </w:num>
  <w:num w:numId="23">
    <w:abstractNumId w:val="39"/>
  </w:num>
  <w:num w:numId="24">
    <w:abstractNumId w:val="15"/>
  </w:num>
  <w:num w:numId="25">
    <w:abstractNumId w:val="34"/>
  </w:num>
  <w:num w:numId="26">
    <w:abstractNumId w:val="28"/>
  </w:num>
  <w:num w:numId="27">
    <w:abstractNumId w:val="40"/>
  </w:num>
  <w:num w:numId="28">
    <w:abstractNumId w:val="30"/>
  </w:num>
  <w:num w:numId="29">
    <w:abstractNumId w:val="36"/>
  </w:num>
  <w:num w:numId="30">
    <w:abstractNumId w:val="33"/>
  </w:num>
  <w:num w:numId="31">
    <w:abstractNumId w:val="9"/>
  </w:num>
  <w:num w:numId="32">
    <w:abstractNumId w:val="41"/>
  </w:num>
  <w:num w:numId="33">
    <w:abstractNumId w:val="29"/>
  </w:num>
  <w:num w:numId="34">
    <w:abstractNumId w:val="10"/>
  </w:num>
  <w:num w:numId="35">
    <w:abstractNumId w:val="17"/>
  </w:num>
  <w:num w:numId="36">
    <w:abstractNumId w:val="31"/>
  </w:num>
  <w:num w:numId="37">
    <w:abstractNumId w:val="20"/>
  </w:num>
  <w:num w:numId="38">
    <w:abstractNumId w:val="1"/>
  </w:num>
  <w:num w:numId="39">
    <w:abstractNumId w:val="1"/>
  </w:num>
  <w:num w:numId="40">
    <w:abstractNumId w:val="1"/>
  </w:num>
  <w:num w:numId="41">
    <w:abstractNumId w:val="16"/>
  </w:num>
  <w:num w:numId="42">
    <w:abstractNumId w:val="1"/>
  </w:num>
  <w:num w:numId="43">
    <w:abstractNumId w:val="1"/>
  </w:num>
  <w:num w:numId="44">
    <w:abstractNumId w:val="1"/>
  </w:num>
  <w:num w:numId="45">
    <w:abstractNumId w:val="1"/>
  </w:num>
  <w:num w:numId="46">
    <w:abstractNumId w:val="13"/>
  </w:num>
  <w:num w:numId="47">
    <w:abstractNumId w:val="1"/>
  </w:num>
  <w:num w:numId="48">
    <w:abstractNumId w:val="24"/>
  </w:num>
  <w:num w:numId="49">
    <w:abstractNumId w:val="8"/>
  </w:num>
  <w:num w:numId="50">
    <w:abstractNumId w:val="26"/>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NSEL Xavier">
    <w15:presenceInfo w15:providerId="AD" w15:userId="S-1-5-21-1976111706-2804804847-1057143714-11697"/>
  </w15:person>
  <w15:person w15:author="Heierman, Edwin O">
    <w15:presenceInfo w15:providerId="AD" w15:userId="S::ed.heierman@abbott.com::55d67354-fd75-4fe5-a962-fa742cc63f16"/>
  </w15:person>
  <w15:person w15:author="Merrick, Riki | APHL">
    <w15:presenceInfo w15:providerId="AD" w15:userId="S-1-5-21-376835676-564275060-233764494-11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5"/>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E46"/>
    <w:rsid w:val="0000081B"/>
    <w:rsid w:val="00003CA9"/>
    <w:rsid w:val="00005D9A"/>
    <w:rsid w:val="00010662"/>
    <w:rsid w:val="00012605"/>
    <w:rsid w:val="00014FCD"/>
    <w:rsid w:val="00021A51"/>
    <w:rsid w:val="00022947"/>
    <w:rsid w:val="00030EFF"/>
    <w:rsid w:val="00035E0F"/>
    <w:rsid w:val="000425D6"/>
    <w:rsid w:val="000428E8"/>
    <w:rsid w:val="000447B8"/>
    <w:rsid w:val="00044BD2"/>
    <w:rsid w:val="000522AD"/>
    <w:rsid w:val="00052B99"/>
    <w:rsid w:val="00057275"/>
    <w:rsid w:val="000578BD"/>
    <w:rsid w:val="00060C94"/>
    <w:rsid w:val="00071568"/>
    <w:rsid w:val="00087C6C"/>
    <w:rsid w:val="00092291"/>
    <w:rsid w:val="00093D0A"/>
    <w:rsid w:val="00094331"/>
    <w:rsid w:val="00095361"/>
    <w:rsid w:val="000B0114"/>
    <w:rsid w:val="000B0E29"/>
    <w:rsid w:val="000B6188"/>
    <w:rsid w:val="000B7D8D"/>
    <w:rsid w:val="000C0B8D"/>
    <w:rsid w:val="000C58C4"/>
    <w:rsid w:val="000D164F"/>
    <w:rsid w:val="000D3657"/>
    <w:rsid w:val="000D71B9"/>
    <w:rsid w:val="000E1285"/>
    <w:rsid w:val="000E5F40"/>
    <w:rsid w:val="000E76F8"/>
    <w:rsid w:val="000F2F0C"/>
    <w:rsid w:val="00102AB5"/>
    <w:rsid w:val="0010415D"/>
    <w:rsid w:val="00104B95"/>
    <w:rsid w:val="00105771"/>
    <w:rsid w:val="00110BFC"/>
    <w:rsid w:val="0011636D"/>
    <w:rsid w:val="00121EEA"/>
    <w:rsid w:val="00127B0D"/>
    <w:rsid w:val="00133CE3"/>
    <w:rsid w:val="001365B4"/>
    <w:rsid w:val="00136965"/>
    <w:rsid w:val="001374FE"/>
    <w:rsid w:val="0014092F"/>
    <w:rsid w:val="00142055"/>
    <w:rsid w:val="00143682"/>
    <w:rsid w:val="00147B25"/>
    <w:rsid w:val="0015684C"/>
    <w:rsid w:val="00157D6F"/>
    <w:rsid w:val="001617B4"/>
    <w:rsid w:val="00164FC5"/>
    <w:rsid w:val="00164FD7"/>
    <w:rsid w:val="00166BE2"/>
    <w:rsid w:val="001674C4"/>
    <w:rsid w:val="00173CAF"/>
    <w:rsid w:val="0017641C"/>
    <w:rsid w:val="001844C0"/>
    <w:rsid w:val="00191E23"/>
    <w:rsid w:val="00192EDB"/>
    <w:rsid w:val="00195496"/>
    <w:rsid w:val="00196502"/>
    <w:rsid w:val="001A0F5D"/>
    <w:rsid w:val="001A214A"/>
    <w:rsid w:val="001A2944"/>
    <w:rsid w:val="001A52C2"/>
    <w:rsid w:val="001A5474"/>
    <w:rsid w:val="001B10F5"/>
    <w:rsid w:val="001C2CF0"/>
    <w:rsid w:val="001C4642"/>
    <w:rsid w:val="001D18AB"/>
    <w:rsid w:val="001E04D7"/>
    <w:rsid w:val="001E1CDF"/>
    <w:rsid w:val="001F131A"/>
    <w:rsid w:val="001F205D"/>
    <w:rsid w:val="001F3F09"/>
    <w:rsid w:val="001F5025"/>
    <w:rsid w:val="001F5285"/>
    <w:rsid w:val="002025B7"/>
    <w:rsid w:val="00202C30"/>
    <w:rsid w:val="00204F93"/>
    <w:rsid w:val="002057DC"/>
    <w:rsid w:val="002108EC"/>
    <w:rsid w:val="00215C50"/>
    <w:rsid w:val="00220123"/>
    <w:rsid w:val="002249C8"/>
    <w:rsid w:val="00227E7F"/>
    <w:rsid w:val="002300C5"/>
    <w:rsid w:val="00230DD0"/>
    <w:rsid w:val="00235CA9"/>
    <w:rsid w:val="002367E3"/>
    <w:rsid w:val="00241C98"/>
    <w:rsid w:val="00242699"/>
    <w:rsid w:val="002427EF"/>
    <w:rsid w:val="00242ACC"/>
    <w:rsid w:val="002448B4"/>
    <w:rsid w:val="00246F8E"/>
    <w:rsid w:val="00247D22"/>
    <w:rsid w:val="00251000"/>
    <w:rsid w:val="00251401"/>
    <w:rsid w:val="00253064"/>
    <w:rsid w:val="00257517"/>
    <w:rsid w:val="00261D2A"/>
    <w:rsid w:val="00264C0F"/>
    <w:rsid w:val="00271536"/>
    <w:rsid w:val="0027291A"/>
    <w:rsid w:val="00273216"/>
    <w:rsid w:val="00274FA5"/>
    <w:rsid w:val="00282B35"/>
    <w:rsid w:val="002879A9"/>
    <w:rsid w:val="002946F1"/>
    <w:rsid w:val="002A04FD"/>
    <w:rsid w:val="002A10BF"/>
    <w:rsid w:val="002A1CEA"/>
    <w:rsid w:val="002A75D3"/>
    <w:rsid w:val="002A7B66"/>
    <w:rsid w:val="002A7D16"/>
    <w:rsid w:val="002B1373"/>
    <w:rsid w:val="002B1F88"/>
    <w:rsid w:val="002B1FD1"/>
    <w:rsid w:val="002B3177"/>
    <w:rsid w:val="002B55E2"/>
    <w:rsid w:val="002C0353"/>
    <w:rsid w:val="002C4395"/>
    <w:rsid w:val="002C4983"/>
    <w:rsid w:val="002C5517"/>
    <w:rsid w:val="002C5818"/>
    <w:rsid w:val="002D0244"/>
    <w:rsid w:val="002D08D8"/>
    <w:rsid w:val="002D121E"/>
    <w:rsid w:val="002D14F5"/>
    <w:rsid w:val="002D5F15"/>
    <w:rsid w:val="002E010C"/>
    <w:rsid w:val="002E0816"/>
    <w:rsid w:val="002E204E"/>
    <w:rsid w:val="002E531E"/>
    <w:rsid w:val="002E5DA2"/>
    <w:rsid w:val="002F3F35"/>
    <w:rsid w:val="002F52C1"/>
    <w:rsid w:val="0030188E"/>
    <w:rsid w:val="003026A5"/>
    <w:rsid w:val="003032BF"/>
    <w:rsid w:val="00303526"/>
    <w:rsid w:val="00305415"/>
    <w:rsid w:val="00305D4C"/>
    <w:rsid w:val="0030654C"/>
    <w:rsid w:val="00312AC4"/>
    <w:rsid w:val="00312FC2"/>
    <w:rsid w:val="00313052"/>
    <w:rsid w:val="00314F67"/>
    <w:rsid w:val="00315EE8"/>
    <w:rsid w:val="003179D6"/>
    <w:rsid w:val="00320F34"/>
    <w:rsid w:val="00323229"/>
    <w:rsid w:val="00324DD2"/>
    <w:rsid w:val="00325F71"/>
    <w:rsid w:val="00330A6B"/>
    <w:rsid w:val="00332F35"/>
    <w:rsid w:val="00335FED"/>
    <w:rsid w:val="00346934"/>
    <w:rsid w:val="003553A1"/>
    <w:rsid w:val="00356514"/>
    <w:rsid w:val="00363830"/>
    <w:rsid w:val="00367BDF"/>
    <w:rsid w:val="003712D2"/>
    <w:rsid w:val="0037205A"/>
    <w:rsid w:val="00373C15"/>
    <w:rsid w:val="00376E26"/>
    <w:rsid w:val="0037701B"/>
    <w:rsid w:val="00377244"/>
    <w:rsid w:val="00381DCC"/>
    <w:rsid w:val="00384E1F"/>
    <w:rsid w:val="0038769D"/>
    <w:rsid w:val="003A1DB8"/>
    <w:rsid w:val="003A2AC3"/>
    <w:rsid w:val="003A5C70"/>
    <w:rsid w:val="003A63B5"/>
    <w:rsid w:val="003A6F14"/>
    <w:rsid w:val="003B0630"/>
    <w:rsid w:val="003B183B"/>
    <w:rsid w:val="003B193B"/>
    <w:rsid w:val="003B265C"/>
    <w:rsid w:val="003B2D3F"/>
    <w:rsid w:val="003B45F4"/>
    <w:rsid w:val="003B746D"/>
    <w:rsid w:val="003C112E"/>
    <w:rsid w:val="003D1928"/>
    <w:rsid w:val="003D19C9"/>
    <w:rsid w:val="003D3065"/>
    <w:rsid w:val="003D332D"/>
    <w:rsid w:val="003D3519"/>
    <w:rsid w:val="003D6095"/>
    <w:rsid w:val="003E2B9C"/>
    <w:rsid w:val="003E3FA7"/>
    <w:rsid w:val="00404B2F"/>
    <w:rsid w:val="0041299E"/>
    <w:rsid w:val="00412B00"/>
    <w:rsid w:val="0042269A"/>
    <w:rsid w:val="0042306B"/>
    <w:rsid w:val="00424E46"/>
    <w:rsid w:val="00425FC9"/>
    <w:rsid w:val="00426966"/>
    <w:rsid w:val="004269B4"/>
    <w:rsid w:val="00427B8D"/>
    <w:rsid w:val="0043233C"/>
    <w:rsid w:val="00432BFC"/>
    <w:rsid w:val="00435959"/>
    <w:rsid w:val="004437C3"/>
    <w:rsid w:val="00444C44"/>
    <w:rsid w:val="00445FEC"/>
    <w:rsid w:val="0045321E"/>
    <w:rsid w:val="004533DA"/>
    <w:rsid w:val="00453A23"/>
    <w:rsid w:val="004547CF"/>
    <w:rsid w:val="00454C7B"/>
    <w:rsid w:val="00460238"/>
    <w:rsid w:val="004679D4"/>
    <w:rsid w:val="00473233"/>
    <w:rsid w:val="00474F56"/>
    <w:rsid w:val="00477D74"/>
    <w:rsid w:val="00492DC2"/>
    <w:rsid w:val="0049340A"/>
    <w:rsid w:val="004942DB"/>
    <w:rsid w:val="004A0C3E"/>
    <w:rsid w:val="004A4A63"/>
    <w:rsid w:val="004B1790"/>
    <w:rsid w:val="004B1DB8"/>
    <w:rsid w:val="004B2394"/>
    <w:rsid w:val="004C04C6"/>
    <w:rsid w:val="004C0AA0"/>
    <w:rsid w:val="004C109C"/>
    <w:rsid w:val="004C1146"/>
    <w:rsid w:val="004C23D6"/>
    <w:rsid w:val="004C30AF"/>
    <w:rsid w:val="004C36BF"/>
    <w:rsid w:val="004C3F95"/>
    <w:rsid w:val="004D16C2"/>
    <w:rsid w:val="004D57CC"/>
    <w:rsid w:val="004D6A26"/>
    <w:rsid w:val="004E21B6"/>
    <w:rsid w:val="004E322A"/>
    <w:rsid w:val="004E3F7B"/>
    <w:rsid w:val="004F05AB"/>
    <w:rsid w:val="004F6C4E"/>
    <w:rsid w:val="00500189"/>
    <w:rsid w:val="0050285E"/>
    <w:rsid w:val="00504C51"/>
    <w:rsid w:val="005058ED"/>
    <w:rsid w:val="00505EEE"/>
    <w:rsid w:val="00510883"/>
    <w:rsid w:val="005108AA"/>
    <w:rsid w:val="00512786"/>
    <w:rsid w:val="00515E65"/>
    <w:rsid w:val="00517970"/>
    <w:rsid w:val="00530A61"/>
    <w:rsid w:val="00530BB0"/>
    <w:rsid w:val="00530CD2"/>
    <w:rsid w:val="00533053"/>
    <w:rsid w:val="00533810"/>
    <w:rsid w:val="00534D8D"/>
    <w:rsid w:val="005351DB"/>
    <w:rsid w:val="00537EB3"/>
    <w:rsid w:val="005427A7"/>
    <w:rsid w:val="00542855"/>
    <w:rsid w:val="005453A2"/>
    <w:rsid w:val="00550360"/>
    <w:rsid w:val="00550FBA"/>
    <w:rsid w:val="00552D8D"/>
    <w:rsid w:val="00555622"/>
    <w:rsid w:val="00570963"/>
    <w:rsid w:val="005812B0"/>
    <w:rsid w:val="00583617"/>
    <w:rsid w:val="00587B81"/>
    <w:rsid w:val="00592771"/>
    <w:rsid w:val="00595ABC"/>
    <w:rsid w:val="005A029A"/>
    <w:rsid w:val="005A5DE2"/>
    <w:rsid w:val="005A62CE"/>
    <w:rsid w:val="005A671B"/>
    <w:rsid w:val="005B3903"/>
    <w:rsid w:val="005B60E4"/>
    <w:rsid w:val="005C222F"/>
    <w:rsid w:val="005C354C"/>
    <w:rsid w:val="005C46A2"/>
    <w:rsid w:val="005D3BCC"/>
    <w:rsid w:val="005D602B"/>
    <w:rsid w:val="005D6BC1"/>
    <w:rsid w:val="005E62B2"/>
    <w:rsid w:val="005E7564"/>
    <w:rsid w:val="005F31E9"/>
    <w:rsid w:val="00600187"/>
    <w:rsid w:val="00603CE4"/>
    <w:rsid w:val="00605FF6"/>
    <w:rsid w:val="00607DB6"/>
    <w:rsid w:val="006125CA"/>
    <w:rsid w:val="00613AFA"/>
    <w:rsid w:val="00613D91"/>
    <w:rsid w:val="00614DAE"/>
    <w:rsid w:val="00616AED"/>
    <w:rsid w:val="00620FEA"/>
    <w:rsid w:val="00622681"/>
    <w:rsid w:val="00633924"/>
    <w:rsid w:val="00647E0B"/>
    <w:rsid w:val="00650E00"/>
    <w:rsid w:val="00652DF8"/>
    <w:rsid w:val="00654312"/>
    <w:rsid w:val="00655CDE"/>
    <w:rsid w:val="00657BF1"/>
    <w:rsid w:val="006602F5"/>
    <w:rsid w:val="0066084C"/>
    <w:rsid w:val="00662330"/>
    <w:rsid w:val="00662E9F"/>
    <w:rsid w:val="00663221"/>
    <w:rsid w:val="006657AC"/>
    <w:rsid w:val="006717B6"/>
    <w:rsid w:val="00675288"/>
    <w:rsid w:val="00681175"/>
    <w:rsid w:val="00681261"/>
    <w:rsid w:val="006818F0"/>
    <w:rsid w:val="006869AC"/>
    <w:rsid w:val="00686E99"/>
    <w:rsid w:val="006901DD"/>
    <w:rsid w:val="00690B32"/>
    <w:rsid w:val="00692CEF"/>
    <w:rsid w:val="00695ACE"/>
    <w:rsid w:val="00697B6A"/>
    <w:rsid w:val="006A1786"/>
    <w:rsid w:val="006A4507"/>
    <w:rsid w:val="006A6B5A"/>
    <w:rsid w:val="006B4F6D"/>
    <w:rsid w:val="006B54CB"/>
    <w:rsid w:val="006B5578"/>
    <w:rsid w:val="006C1F35"/>
    <w:rsid w:val="006C20CE"/>
    <w:rsid w:val="006C4187"/>
    <w:rsid w:val="006C541C"/>
    <w:rsid w:val="006C79E2"/>
    <w:rsid w:val="006D3E18"/>
    <w:rsid w:val="006D569A"/>
    <w:rsid w:val="006E157D"/>
    <w:rsid w:val="006E16B2"/>
    <w:rsid w:val="006E2642"/>
    <w:rsid w:val="006E7AB0"/>
    <w:rsid w:val="006F396F"/>
    <w:rsid w:val="006F4E49"/>
    <w:rsid w:val="006F78B5"/>
    <w:rsid w:val="007016FB"/>
    <w:rsid w:val="007057ED"/>
    <w:rsid w:val="00706969"/>
    <w:rsid w:val="00711F9F"/>
    <w:rsid w:val="007137FE"/>
    <w:rsid w:val="007154CE"/>
    <w:rsid w:val="00720181"/>
    <w:rsid w:val="00721B6E"/>
    <w:rsid w:val="007226DA"/>
    <w:rsid w:val="007227C4"/>
    <w:rsid w:val="007227EF"/>
    <w:rsid w:val="0072589D"/>
    <w:rsid w:val="007322F0"/>
    <w:rsid w:val="00733758"/>
    <w:rsid w:val="007447D4"/>
    <w:rsid w:val="007458A9"/>
    <w:rsid w:val="00747388"/>
    <w:rsid w:val="00755623"/>
    <w:rsid w:val="007666E4"/>
    <w:rsid w:val="00767419"/>
    <w:rsid w:val="00772853"/>
    <w:rsid w:val="00773DFB"/>
    <w:rsid w:val="00776B6F"/>
    <w:rsid w:val="00776E93"/>
    <w:rsid w:val="00781C13"/>
    <w:rsid w:val="0078445F"/>
    <w:rsid w:val="00792081"/>
    <w:rsid w:val="00793199"/>
    <w:rsid w:val="00793352"/>
    <w:rsid w:val="00794847"/>
    <w:rsid w:val="00794C28"/>
    <w:rsid w:val="007A1393"/>
    <w:rsid w:val="007B638D"/>
    <w:rsid w:val="007C0B4D"/>
    <w:rsid w:val="007C1C82"/>
    <w:rsid w:val="007C251F"/>
    <w:rsid w:val="007C30F7"/>
    <w:rsid w:val="007C4E1F"/>
    <w:rsid w:val="007C57E4"/>
    <w:rsid w:val="007D4B5C"/>
    <w:rsid w:val="007E1D94"/>
    <w:rsid w:val="007E5910"/>
    <w:rsid w:val="007E5A87"/>
    <w:rsid w:val="007F0CF4"/>
    <w:rsid w:val="007F1E25"/>
    <w:rsid w:val="007F1FB9"/>
    <w:rsid w:val="007F2A0E"/>
    <w:rsid w:val="007F7F0E"/>
    <w:rsid w:val="0080086E"/>
    <w:rsid w:val="008019BE"/>
    <w:rsid w:val="00803541"/>
    <w:rsid w:val="00803DE6"/>
    <w:rsid w:val="008136DF"/>
    <w:rsid w:val="00814B6B"/>
    <w:rsid w:val="00814BA8"/>
    <w:rsid w:val="00817A64"/>
    <w:rsid w:val="008216FB"/>
    <w:rsid w:val="00830B60"/>
    <w:rsid w:val="00836BF5"/>
    <w:rsid w:val="00841F16"/>
    <w:rsid w:val="00842596"/>
    <w:rsid w:val="00842A52"/>
    <w:rsid w:val="00846F05"/>
    <w:rsid w:val="008510AA"/>
    <w:rsid w:val="008511AC"/>
    <w:rsid w:val="00853044"/>
    <w:rsid w:val="008615B8"/>
    <w:rsid w:val="00863A3C"/>
    <w:rsid w:val="00866DA2"/>
    <w:rsid w:val="0087088F"/>
    <w:rsid w:val="00871851"/>
    <w:rsid w:val="00884958"/>
    <w:rsid w:val="008918E5"/>
    <w:rsid w:val="00893406"/>
    <w:rsid w:val="008A0F4A"/>
    <w:rsid w:val="008B10EF"/>
    <w:rsid w:val="008B1359"/>
    <w:rsid w:val="008B4728"/>
    <w:rsid w:val="008C7A0B"/>
    <w:rsid w:val="008D22C9"/>
    <w:rsid w:val="008D39D2"/>
    <w:rsid w:val="008D4888"/>
    <w:rsid w:val="008D5224"/>
    <w:rsid w:val="008D586D"/>
    <w:rsid w:val="008D7751"/>
    <w:rsid w:val="008E00DF"/>
    <w:rsid w:val="008E170A"/>
    <w:rsid w:val="008F4DB9"/>
    <w:rsid w:val="008F6B29"/>
    <w:rsid w:val="00902189"/>
    <w:rsid w:val="009032CC"/>
    <w:rsid w:val="009157D9"/>
    <w:rsid w:val="00920134"/>
    <w:rsid w:val="00922534"/>
    <w:rsid w:val="00923376"/>
    <w:rsid w:val="00923EFF"/>
    <w:rsid w:val="009243E1"/>
    <w:rsid w:val="00931699"/>
    <w:rsid w:val="00932127"/>
    <w:rsid w:val="0093234C"/>
    <w:rsid w:val="0093404D"/>
    <w:rsid w:val="00936798"/>
    <w:rsid w:val="00944000"/>
    <w:rsid w:val="00950DB8"/>
    <w:rsid w:val="00950ED5"/>
    <w:rsid w:val="00951353"/>
    <w:rsid w:val="00954889"/>
    <w:rsid w:val="00955BF0"/>
    <w:rsid w:val="00957584"/>
    <w:rsid w:val="00960DF2"/>
    <w:rsid w:val="00966A77"/>
    <w:rsid w:val="0097318A"/>
    <w:rsid w:val="009740F6"/>
    <w:rsid w:val="00974242"/>
    <w:rsid w:val="009763F7"/>
    <w:rsid w:val="009772C7"/>
    <w:rsid w:val="00985210"/>
    <w:rsid w:val="00993139"/>
    <w:rsid w:val="009A0D77"/>
    <w:rsid w:val="009A6FD3"/>
    <w:rsid w:val="009A7854"/>
    <w:rsid w:val="009A7E55"/>
    <w:rsid w:val="009B68B1"/>
    <w:rsid w:val="009C301E"/>
    <w:rsid w:val="009C37FA"/>
    <w:rsid w:val="009C4D40"/>
    <w:rsid w:val="009C50E8"/>
    <w:rsid w:val="009C717C"/>
    <w:rsid w:val="009D1796"/>
    <w:rsid w:val="009D79D9"/>
    <w:rsid w:val="009E2416"/>
    <w:rsid w:val="009E7868"/>
    <w:rsid w:val="009E7872"/>
    <w:rsid w:val="009F1EF6"/>
    <w:rsid w:val="009F63B2"/>
    <w:rsid w:val="009F6BD6"/>
    <w:rsid w:val="00A02765"/>
    <w:rsid w:val="00A032D9"/>
    <w:rsid w:val="00A06E6A"/>
    <w:rsid w:val="00A10B14"/>
    <w:rsid w:val="00A13DD4"/>
    <w:rsid w:val="00A16282"/>
    <w:rsid w:val="00A176FB"/>
    <w:rsid w:val="00A334FC"/>
    <w:rsid w:val="00A348E3"/>
    <w:rsid w:val="00A360E6"/>
    <w:rsid w:val="00A4083C"/>
    <w:rsid w:val="00A516BF"/>
    <w:rsid w:val="00A51CB6"/>
    <w:rsid w:val="00A527D4"/>
    <w:rsid w:val="00A54129"/>
    <w:rsid w:val="00A55A39"/>
    <w:rsid w:val="00A613D7"/>
    <w:rsid w:val="00A637D4"/>
    <w:rsid w:val="00A64765"/>
    <w:rsid w:val="00A70227"/>
    <w:rsid w:val="00A71C8F"/>
    <w:rsid w:val="00A72287"/>
    <w:rsid w:val="00A749C9"/>
    <w:rsid w:val="00A77763"/>
    <w:rsid w:val="00A85586"/>
    <w:rsid w:val="00A93AC4"/>
    <w:rsid w:val="00A96A93"/>
    <w:rsid w:val="00AA57BF"/>
    <w:rsid w:val="00AA7795"/>
    <w:rsid w:val="00AA7DB0"/>
    <w:rsid w:val="00AB5927"/>
    <w:rsid w:val="00AB75C2"/>
    <w:rsid w:val="00AC0532"/>
    <w:rsid w:val="00AC1AB5"/>
    <w:rsid w:val="00AC3D3D"/>
    <w:rsid w:val="00AC54DB"/>
    <w:rsid w:val="00AC763A"/>
    <w:rsid w:val="00AD02C9"/>
    <w:rsid w:val="00AD16AD"/>
    <w:rsid w:val="00AD7F4D"/>
    <w:rsid w:val="00AE4E2F"/>
    <w:rsid w:val="00AF02ED"/>
    <w:rsid w:val="00AF1394"/>
    <w:rsid w:val="00AF4A95"/>
    <w:rsid w:val="00AF6DF1"/>
    <w:rsid w:val="00B066E0"/>
    <w:rsid w:val="00B12948"/>
    <w:rsid w:val="00B133E5"/>
    <w:rsid w:val="00B14E68"/>
    <w:rsid w:val="00B17916"/>
    <w:rsid w:val="00B216B4"/>
    <w:rsid w:val="00B23BCE"/>
    <w:rsid w:val="00B26453"/>
    <w:rsid w:val="00B3052A"/>
    <w:rsid w:val="00B36328"/>
    <w:rsid w:val="00B42527"/>
    <w:rsid w:val="00B431E6"/>
    <w:rsid w:val="00B436E9"/>
    <w:rsid w:val="00B50985"/>
    <w:rsid w:val="00B5196D"/>
    <w:rsid w:val="00B543A2"/>
    <w:rsid w:val="00B60903"/>
    <w:rsid w:val="00B71B44"/>
    <w:rsid w:val="00B7465C"/>
    <w:rsid w:val="00B77BB2"/>
    <w:rsid w:val="00B853FD"/>
    <w:rsid w:val="00B9576F"/>
    <w:rsid w:val="00BA3BC9"/>
    <w:rsid w:val="00BA53E1"/>
    <w:rsid w:val="00BA6F2A"/>
    <w:rsid w:val="00BA783E"/>
    <w:rsid w:val="00BB48FD"/>
    <w:rsid w:val="00BB4C05"/>
    <w:rsid w:val="00BB54E9"/>
    <w:rsid w:val="00BC023F"/>
    <w:rsid w:val="00BC0804"/>
    <w:rsid w:val="00BC1C67"/>
    <w:rsid w:val="00BC3D39"/>
    <w:rsid w:val="00BC48E2"/>
    <w:rsid w:val="00BC6EE4"/>
    <w:rsid w:val="00BC7DE3"/>
    <w:rsid w:val="00BD0969"/>
    <w:rsid w:val="00BD0AF9"/>
    <w:rsid w:val="00BD2C1F"/>
    <w:rsid w:val="00BE0D45"/>
    <w:rsid w:val="00BE1698"/>
    <w:rsid w:val="00BE5DCB"/>
    <w:rsid w:val="00BF01F2"/>
    <w:rsid w:val="00BF08C2"/>
    <w:rsid w:val="00BF1E53"/>
    <w:rsid w:val="00BF6208"/>
    <w:rsid w:val="00BF7F9C"/>
    <w:rsid w:val="00C06C51"/>
    <w:rsid w:val="00C11BEF"/>
    <w:rsid w:val="00C16090"/>
    <w:rsid w:val="00C16E23"/>
    <w:rsid w:val="00C17617"/>
    <w:rsid w:val="00C21C54"/>
    <w:rsid w:val="00C237EA"/>
    <w:rsid w:val="00C2654B"/>
    <w:rsid w:val="00C32F55"/>
    <w:rsid w:val="00C33A5A"/>
    <w:rsid w:val="00C3571E"/>
    <w:rsid w:val="00C36C4D"/>
    <w:rsid w:val="00C37637"/>
    <w:rsid w:val="00C4161F"/>
    <w:rsid w:val="00C43E6E"/>
    <w:rsid w:val="00C440BA"/>
    <w:rsid w:val="00C447EB"/>
    <w:rsid w:val="00C4557F"/>
    <w:rsid w:val="00C50F1F"/>
    <w:rsid w:val="00C52F04"/>
    <w:rsid w:val="00C546F8"/>
    <w:rsid w:val="00C632DD"/>
    <w:rsid w:val="00C639A7"/>
    <w:rsid w:val="00C67812"/>
    <w:rsid w:val="00C67A5A"/>
    <w:rsid w:val="00C70065"/>
    <w:rsid w:val="00C70236"/>
    <w:rsid w:val="00C70240"/>
    <w:rsid w:val="00C7342C"/>
    <w:rsid w:val="00C74663"/>
    <w:rsid w:val="00C7584D"/>
    <w:rsid w:val="00C75F34"/>
    <w:rsid w:val="00C80427"/>
    <w:rsid w:val="00C819D9"/>
    <w:rsid w:val="00C8217F"/>
    <w:rsid w:val="00C82927"/>
    <w:rsid w:val="00C87959"/>
    <w:rsid w:val="00C92DE2"/>
    <w:rsid w:val="00C93058"/>
    <w:rsid w:val="00CA05A7"/>
    <w:rsid w:val="00CA1E79"/>
    <w:rsid w:val="00CA244C"/>
    <w:rsid w:val="00CA262C"/>
    <w:rsid w:val="00CA74BF"/>
    <w:rsid w:val="00CA7DAC"/>
    <w:rsid w:val="00CA7E18"/>
    <w:rsid w:val="00CB2215"/>
    <w:rsid w:val="00CB4881"/>
    <w:rsid w:val="00CB5B3C"/>
    <w:rsid w:val="00CB64F4"/>
    <w:rsid w:val="00CB777F"/>
    <w:rsid w:val="00CC7472"/>
    <w:rsid w:val="00CD2A2B"/>
    <w:rsid w:val="00CD577B"/>
    <w:rsid w:val="00CD5D57"/>
    <w:rsid w:val="00CD6716"/>
    <w:rsid w:val="00CD67AD"/>
    <w:rsid w:val="00CE27FE"/>
    <w:rsid w:val="00CE31A9"/>
    <w:rsid w:val="00CE41EC"/>
    <w:rsid w:val="00CE5D64"/>
    <w:rsid w:val="00CE729F"/>
    <w:rsid w:val="00CF345E"/>
    <w:rsid w:val="00CF548E"/>
    <w:rsid w:val="00CF6B47"/>
    <w:rsid w:val="00CF7CC6"/>
    <w:rsid w:val="00D10120"/>
    <w:rsid w:val="00D14B68"/>
    <w:rsid w:val="00D14EAA"/>
    <w:rsid w:val="00D22634"/>
    <w:rsid w:val="00D22C93"/>
    <w:rsid w:val="00D27562"/>
    <w:rsid w:val="00D30C7A"/>
    <w:rsid w:val="00D326BC"/>
    <w:rsid w:val="00D327DF"/>
    <w:rsid w:val="00D33566"/>
    <w:rsid w:val="00D3761E"/>
    <w:rsid w:val="00D41185"/>
    <w:rsid w:val="00D41C59"/>
    <w:rsid w:val="00D4219C"/>
    <w:rsid w:val="00D43156"/>
    <w:rsid w:val="00D46AA4"/>
    <w:rsid w:val="00D57BC1"/>
    <w:rsid w:val="00D60F26"/>
    <w:rsid w:val="00D658FC"/>
    <w:rsid w:val="00D71C45"/>
    <w:rsid w:val="00D741A1"/>
    <w:rsid w:val="00D7482E"/>
    <w:rsid w:val="00D770C1"/>
    <w:rsid w:val="00D82B79"/>
    <w:rsid w:val="00D86E81"/>
    <w:rsid w:val="00D9045C"/>
    <w:rsid w:val="00D93222"/>
    <w:rsid w:val="00D9408F"/>
    <w:rsid w:val="00D96980"/>
    <w:rsid w:val="00DA1CBD"/>
    <w:rsid w:val="00DA3FBC"/>
    <w:rsid w:val="00DA6630"/>
    <w:rsid w:val="00DA73DB"/>
    <w:rsid w:val="00DA7D39"/>
    <w:rsid w:val="00DB158D"/>
    <w:rsid w:val="00DB3280"/>
    <w:rsid w:val="00DB6B5D"/>
    <w:rsid w:val="00DC2865"/>
    <w:rsid w:val="00DC673E"/>
    <w:rsid w:val="00DC696A"/>
    <w:rsid w:val="00DD14E9"/>
    <w:rsid w:val="00DD2011"/>
    <w:rsid w:val="00DD32A1"/>
    <w:rsid w:val="00DD780D"/>
    <w:rsid w:val="00DE34AD"/>
    <w:rsid w:val="00DE5441"/>
    <w:rsid w:val="00DE7EFC"/>
    <w:rsid w:val="00DF18B0"/>
    <w:rsid w:val="00DF1E8F"/>
    <w:rsid w:val="00DF7C08"/>
    <w:rsid w:val="00DF7EFA"/>
    <w:rsid w:val="00E03CC7"/>
    <w:rsid w:val="00E04ACF"/>
    <w:rsid w:val="00E06FA6"/>
    <w:rsid w:val="00E12C35"/>
    <w:rsid w:val="00E140E4"/>
    <w:rsid w:val="00E168C2"/>
    <w:rsid w:val="00E16B95"/>
    <w:rsid w:val="00E16BE5"/>
    <w:rsid w:val="00E26D77"/>
    <w:rsid w:val="00E27441"/>
    <w:rsid w:val="00E31AE0"/>
    <w:rsid w:val="00E341A4"/>
    <w:rsid w:val="00E348C9"/>
    <w:rsid w:val="00E36555"/>
    <w:rsid w:val="00E37068"/>
    <w:rsid w:val="00E44F18"/>
    <w:rsid w:val="00E522AE"/>
    <w:rsid w:val="00E542C6"/>
    <w:rsid w:val="00E54634"/>
    <w:rsid w:val="00E55E5B"/>
    <w:rsid w:val="00E603CF"/>
    <w:rsid w:val="00E60545"/>
    <w:rsid w:val="00E618E3"/>
    <w:rsid w:val="00E63E2C"/>
    <w:rsid w:val="00E66C9D"/>
    <w:rsid w:val="00E71F95"/>
    <w:rsid w:val="00E77353"/>
    <w:rsid w:val="00E8516F"/>
    <w:rsid w:val="00E87391"/>
    <w:rsid w:val="00E87DA7"/>
    <w:rsid w:val="00E93969"/>
    <w:rsid w:val="00EA326E"/>
    <w:rsid w:val="00EB3C5A"/>
    <w:rsid w:val="00EB4931"/>
    <w:rsid w:val="00EB544D"/>
    <w:rsid w:val="00EB6975"/>
    <w:rsid w:val="00EC0C78"/>
    <w:rsid w:val="00EC34DE"/>
    <w:rsid w:val="00EC6EA6"/>
    <w:rsid w:val="00EC7992"/>
    <w:rsid w:val="00EC7A5C"/>
    <w:rsid w:val="00ED10A2"/>
    <w:rsid w:val="00EE5A41"/>
    <w:rsid w:val="00EE5F5F"/>
    <w:rsid w:val="00EE6BAE"/>
    <w:rsid w:val="00EE7490"/>
    <w:rsid w:val="00EF1D9A"/>
    <w:rsid w:val="00EF233C"/>
    <w:rsid w:val="00EF2FD2"/>
    <w:rsid w:val="00EF47FE"/>
    <w:rsid w:val="00F025D7"/>
    <w:rsid w:val="00F055C5"/>
    <w:rsid w:val="00F07E5E"/>
    <w:rsid w:val="00F156E2"/>
    <w:rsid w:val="00F160CC"/>
    <w:rsid w:val="00F16B92"/>
    <w:rsid w:val="00F23C7A"/>
    <w:rsid w:val="00F247BA"/>
    <w:rsid w:val="00F275CB"/>
    <w:rsid w:val="00F33D99"/>
    <w:rsid w:val="00F350B6"/>
    <w:rsid w:val="00F35AE5"/>
    <w:rsid w:val="00F36A16"/>
    <w:rsid w:val="00F412A9"/>
    <w:rsid w:val="00F41DD6"/>
    <w:rsid w:val="00F42694"/>
    <w:rsid w:val="00F435BE"/>
    <w:rsid w:val="00F445C6"/>
    <w:rsid w:val="00F45AF8"/>
    <w:rsid w:val="00F47511"/>
    <w:rsid w:val="00F50CF0"/>
    <w:rsid w:val="00F55227"/>
    <w:rsid w:val="00F60DB4"/>
    <w:rsid w:val="00F61A64"/>
    <w:rsid w:val="00F66107"/>
    <w:rsid w:val="00F66F58"/>
    <w:rsid w:val="00F7071B"/>
    <w:rsid w:val="00F7158A"/>
    <w:rsid w:val="00F71DB5"/>
    <w:rsid w:val="00F7216A"/>
    <w:rsid w:val="00F7224A"/>
    <w:rsid w:val="00F72630"/>
    <w:rsid w:val="00F74780"/>
    <w:rsid w:val="00F74B92"/>
    <w:rsid w:val="00F755F9"/>
    <w:rsid w:val="00F76436"/>
    <w:rsid w:val="00F7727B"/>
    <w:rsid w:val="00F82CA3"/>
    <w:rsid w:val="00F846D9"/>
    <w:rsid w:val="00F84E6C"/>
    <w:rsid w:val="00F934CA"/>
    <w:rsid w:val="00F95800"/>
    <w:rsid w:val="00F977BE"/>
    <w:rsid w:val="00FA005A"/>
    <w:rsid w:val="00FA5D4E"/>
    <w:rsid w:val="00FA6C6F"/>
    <w:rsid w:val="00FA7AB1"/>
    <w:rsid w:val="00FB4357"/>
    <w:rsid w:val="00FC0C2D"/>
    <w:rsid w:val="00FC20FE"/>
    <w:rsid w:val="00FC2FFD"/>
    <w:rsid w:val="00FC30A1"/>
    <w:rsid w:val="00FD1502"/>
    <w:rsid w:val="00FD1DAA"/>
    <w:rsid w:val="00FD4B50"/>
    <w:rsid w:val="00FD4FEF"/>
    <w:rsid w:val="00FD67BD"/>
    <w:rsid w:val="00FE05C9"/>
    <w:rsid w:val="00FF062A"/>
    <w:rsid w:val="00FF78FA"/>
    <w:rsid w:val="00FF7F7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6F27D52"/>
  <w15:docId w15:val="{4616234A-29E1-40AD-9F25-6E23F81EF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3D0A"/>
    <w:pPr>
      <w:spacing w:before="200"/>
      <w:ind w:left="1440"/>
      <w:jc w:val="both"/>
    </w:pPr>
  </w:style>
  <w:style w:type="paragraph" w:styleId="Heading1">
    <w:name w:val="heading 1"/>
    <w:basedOn w:val="Normal"/>
    <w:next w:val="Normal"/>
    <w:link w:val="Heading1Char"/>
    <w:uiPriority w:val="9"/>
    <w:qFormat/>
    <w:rsid w:val="008136DF"/>
    <w:pPr>
      <w:keepNext/>
      <w:keepLines/>
      <w:pageBreakBefore/>
      <w:spacing w:before="480" w:after="240"/>
      <w:outlineLvl w:val="0"/>
    </w:pPr>
    <w:rPr>
      <w:rFonts w:ascii="HelveticaNeueLT Pro 95 Blk" w:eastAsiaTheme="majorEastAsia" w:hAnsi="HelveticaNeueLT Pro 95 Blk" w:cstheme="majorBidi"/>
      <w:b/>
      <w:bCs/>
      <w:color w:val="000000" w:themeColor="text1"/>
      <w:sz w:val="28"/>
      <w:szCs w:val="28"/>
    </w:rPr>
  </w:style>
  <w:style w:type="paragraph" w:styleId="Heading2">
    <w:name w:val="heading 2"/>
    <w:basedOn w:val="Normal"/>
    <w:next w:val="Normal"/>
    <w:link w:val="Heading2Char"/>
    <w:uiPriority w:val="9"/>
    <w:unhideWhenUsed/>
    <w:qFormat/>
    <w:rsid w:val="00E87DA7"/>
    <w:pPr>
      <w:keepNext/>
      <w:keepLines/>
      <w:spacing w:before="240" w:after="240"/>
      <w:outlineLvl w:val="1"/>
    </w:pPr>
    <w:rPr>
      <w:rFonts w:ascii="HelveticaNeueLT Pro 45 Lt" w:eastAsiaTheme="majorEastAsia" w:hAnsi="HelveticaNeueLT Pro 45 Lt" w:cstheme="majorBidi"/>
      <w:b/>
      <w:bCs/>
      <w:color w:val="000000" w:themeColor="text1"/>
      <w:sz w:val="26"/>
      <w:szCs w:val="26"/>
    </w:rPr>
  </w:style>
  <w:style w:type="paragraph" w:styleId="Heading3">
    <w:name w:val="heading 3"/>
    <w:basedOn w:val="Normal"/>
    <w:next w:val="Normal"/>
    <w:link w:val="Heading3Char"/>
    <w:uiPriority w:val="9"/>
    <w:unhideWhenUsed/>
    <w:qFormat/>
    <w:rsid w:val="00332F35"/>
    <w:pPr>
      <w:keepNext/>
      <w:keepLines/>
      <w:spacing w:before="240" w:after="0"/>
      <w:outlineLvl w:val="2"/>
    </w:pPr>
    <w:rPr>
      <w:rFonts w:ascii="HelveticaNeueLT Pro 45 Lt" w:eastAsiaTheme="majorEastAsia" w:hAnsi="HelveticaNeueLT Pro 45 Lt" w:cstheme="majorBidi"/>
      <w:bCs/>
      <w:color w:val="000000" w:themeColor="text1"/>
      <w:sz w:val="24"/>
    </w:rPr>
  </w:style>
  <w:style w:type="paragraph" w:styleId="Heading4">
    <w:name w:val="heading 4"/>
    <w:basedOn w:val="Normal"/>
    <w:next w:val="Normal"/>
    <w:link w:val="Heading4Char"/>
    <w:uiPriority w:val="9"/>
    <w:unhideWhenUsed/>
    <w:qFormat/>
    <w:rsid w:val="00B3052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5EEE"/>
    <w:pPr>
      <w:pBdr>
        <w:bottom w:val="single" w:sz="8" w:space="4" w:color="4F81BD" w:themeColor="accent1"/>
      </w:pBdr>
      <w:spacing w:after="300" w:line="240" w:lineRule="auto"/>
      <w:contextualSpacing/>
    </w:pPr>
    <w:rPr>
      <w:rFonts w:ascii="Helvetica" w:eastAsiaTheme="majorEastAsia" w:hAnsi="Helvetica" w:cstheme="majorBidi"/>
      <w:b/>
      <w:color w:val="595959" w:themeColor="text1" w:themeTint="A6"/>
      <w:spacing w:val="5"/>
      <w:kern w:val="28"/>
      <w:sz w:val="44"/>
      <w:szCs w:val="52"/>
    </w:rPr>
  </w:style>
  <w:style w:type="character" w:customStyle="1" w:styleId="TitleChar">
    <w:name w:val="Title Char"/>
    <w:basedOn w:val="DefaultParagraphFont"/>
    <w:link w:val="Title"/>
    <w:uiPriority w:val="10"/>
    <w:qFormat/>
    <w:rsid w:val="00505EEE"/>
    <w:rPr>
      <w:rFonts w:ascii="Helvetica" w:eastAsiaTheme="majorEastAsia" w:hAnsi="Helvetica" w:cstheme="majorBidi"/>
      <w:b/>
      <w:color w:val="595959" w:themeColor="text1" w:themeTint="A6"/>
      <w:spacing w:val="5"/>
      <w:kern w:val="28"/>
      <w:sz w:val="44"/>
      <w:szCs w:val="52"/>
    </w:rPr>
  </w:style>
  <w:style w:type="character" w:customStyle="1" w:styleId="Heading1Char">
    <w:name w:val="Heading 1 Char"/>
    <w:basedOn w:val="DefaultParagraphFont"/>
    <w:link w:val="Heading1"/>
    <w:uiPriority w:val="9"/>
    <w:qFormat/>
    <w:rsid w:val="008136DF"/>
    <w:rPr>
      <w:rFonts w:ascii="HelveticaNeueLT Pro 95 Blk" w:eastAsiaTheme="majorEastAsia" w:hAnsi="HelveticaNeueLT Pro 95 Blk" w:cstheme="majorBidi"/>
      <w:b/>
      <w:bCs/>
      <w:color w:val="000000" w:themeColor="text1"/>
      <w:sz w:val="28"/>
      <w:szCs w:val="28"/>
    </w:rPr>
  </w:style>
  <w:style w:type="character" w:customStyle="1" w:styleId="Heading2Char">
    <w:name w:val="Heading 2 Char"/>
    <w:basedOn w:val="DefaultParagraphFont"/>
    <w:link w:val="Heading2"/>
    <w:uiPriority w:val="9"/>
    <w:qFormat/>
    <w:rsid w:val="00E87DA7"/>
    <w:rPr>
      <w:rFonts w:ascii="HelveticaNeueLT Pro 45 Lt" w:eastAsiaTheme="majorEastAsia" w:hAnsi="HelveticaNeueLT Pro 45 Lt" w:cstheme="majorBidi"/>
      <w:b/>
      <w:bCs/>
      <w:color w:val="000000" w:themeColor="text1"/>
      <w:sz w:val="26"/>
      <w:szCs w:val="26"/>
    </w:rPr>
  </w:style>
  <w:style w:type="character" w:customStyle="1" w:styleId="Heading3Char">
    <w:name w:val="Heading 3 Char"/>
    <w:basedOn w:val="DefaultParagraphFont"/>
    <w:link w:val="Heading3"/>
    <w:uiPriority w:val="9"/>
    <w:rsid w:val="00332F35"/>
    <w:rPr>
      <w:rFonts w:ascii="HelveticaNeueLT Pro 45 Lt" w:eastAsiaTheme="majorEastAsia" w:hAnsi="HelveticaNeueLT Pro 45 Lt" w:cstheme="majorBidi"/>
      <w:bCs/>
      <w:color w:val="000000" w:themeColor="text1"/>
      <w:sz w:val="24"/>
    </w:rPr>
  </w:style>
  <w:style w:type="table" w:styleId="TableGrid">
    <w:name w:val="Table Grid"/>
    <w:basedOn w:val="TableNormal"/>
    <w:uiPriority w:val="39"/>
    <w:rsid w:val="00552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36DF"/>
    <w:pPr>
      <w:spacing w:before="240" w:after="240"/>
      <w:ind w:left="720"/>
      <w:contextualSpacing/>
    </w:pPr>
  </w:style>
  <w:style w:type="character" w:styleId="CommentReference">
    <w:name w:val="annotation reference"/>
    <w:basedOn w:val="DefaultParagraphFont"/>
    <w:uiPriority w:val="99"/>
    <w:semiHidden/>
    <w:unhideWhenUsed/>
    <w:rsid w:val="00B50985"/>
    <w:rPr>
      <w:sz w:val="16"/>
      <w:szCs w:val="16"/>
    </w:rPr>
  </w:style>
  <w:style w:type="paragraph" w:styleId="CommentText">
    <w:name w:val="annotation text"/>
    <w:basedOn w:val="Normal"/>
    <w:link w:val="CommentTextChar"/>
    <w:uiPriority w:val="99"/>
    <w:unhideWhenUsed/>
    <w:rsid w:val="00B50985"/>
    <w:pPr>
      <w:spacing w:line="240" w:lineRule="auto"/>
    </w:pPr>
    <w:rPr>
      <w:sz w:val="20"/>
      <w:szCs w:val="20"/>
    </w:rPr>
  </w:style>
  <w:style w:type="character" w:customStyle="1" w:styleId="CommentTextChar">
    <w:name w:val="Comment Text Char"/>
    <w:basedOn w:val="DefaultParagraphFont"/>
    <w:link w:val="CommentText"/>
    <w:uiPriority w:val="99"/>
    <w:rsid w:val="00B50985"/>
    <w:rPr>
      <w:sz w:val="20"/>
      <w:szCs w:val="20"/>
    </w:rPr>
  </w:style>
  <w:style w:type="paragraph" w:styleId="CommentSubject">
    <w:name w:val="annotation subject"/>
    <w:basedOn w:val="CommentText"/>
    <w:next w:val="CommentText"/>
    <w:link w:val="CommentSubjectChar"/>
    <w:uiPriority w:val="99"/>
    <w:semiHidden/>
    <w:unhideWhenUsed/>
    <w:rsid w:val="00B50985"/>
    <w:rPr>
      <w:b/>
      <w:bCs/>
    </w:rPr>
  </w:style>
  <w:style w:type="character" w:customStyle="1" w:styleId="CommentSubjectChar">
    <w:name w:val="Comment Subject Char"/>
    <w:basedOn w:val="CommentTextChar"/>
    <w:link w:val="CommentSubject"/>
    <w:uiPriority w:val="99"/>
    <w:semiHidden/>
    <w:rsid w:val="00B50985"/>
    <w:rPr>
      <w:b/>
      <w:bCs/>
      <w:sz w:val="20"/>
      <w:szCs w:val="20"/>
    </w:rPr>
  </w:style>
  <w:style w:type="paragraph" w:styleId="BalloonText">
    <w:name w:val="Balloon Text"/>
    <w:basedOn w:val="Normal"/>
    <w:link w:val="BalloonTextChar"/>
    <w:uiPriority w:val="99"/>
    <w:semiHidden/>
    <w:unhideWhenUsed/>
    <w:rsid w:val="00B509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985"/>
    <w:rPr>
      <w:rFonts w:ascii="Tahoma" w:hAnsi="Tahoma" w:cs="Tahoma"/>
      <w:sz w:val="16"/>
      <w:szCs w:val="16"/>
    </w:rPr>
  </w:style>
  <w:style w:type="paragraph" w:styleId="Header">
    <w:name w:val="header"/>
    <w:basedOn w:val="Normal"/>
    <w:link w:val="HeaderChar"/>
    <w:uiPriority w:val="99"/>
    <w:unhideWhenUsed/>
    <w:rsid w:val="00B3052A"/>
    <w:pPr>
      <w:tabs>
        <w:tab w:val="center" w:pos="4680"/>
        <w:tab w:val="right" w:pos="9360"/>
      </w:tabs>
      <w:spacing w:after="0" w:line="240" w:lineRule="auto"/>
    </w:pPr>
    <w:rPr>
      <w:sz w:val="20"/>
    </w:rPr>
  </w:style>
  <w:style w:type="character" w:customStyle="1" w:styleId="HeaderChar">
    <w:name w:val="Header Char"/>
    <w:basedOn w:val="DefaultParagraphFont"/>
    <w:link w:val="Header"/>
    <w:uiPriority w:val="99"/>
    <w:qFormat/>
    <w:rsid w:val="00B3052A"/>
    <w:rPr>
      <w:sz w:val="20"/>
    </w:rPr>
  </w:style>
  <w:style w:type="paragraph" w:styleId="Footer">
    <w:name w:val="footer"/>
    <w:basedOn w:val="Normal"/>
    <w:link w:val="FooterChar"/>
    <w:uiPriority w:val="99"/>
    <w:unhideWhenUsed/>
    <w:rsid w:val="00B3052A"/>
    <w:pPr>
      <w:tabs>
        <w:tab w:val="center" w:pos="4680"/>
        <w:tab w:val="center" w:pos="10080"/>
      </w:tabs>
      <w:spacing w:after="0" w:line="240" w:lineRule="auto"/>
      <w:ind w:left="0"/>
    </w:pPr>
    <w:rPr>
      <w:sz w:val="20"/>
    </w:rPr>
  </w:style>
  <w:style w:type="character" w:customStyle="1" w:styleId="FooterChar">
    <w:name w:val="Footer Char"/>
    <w:basedOn w:val="DefaultParagraphFont"/>
    <w:link w:val="Footer"/>
    <w:uiPriority w:val="99"/>
    <w:qFormat/>
    <w:rsid w:val="00B3052A"/>
    <w:rPr>
      <w:sz w:val="20"/>
    </w:rPr>
  </w:style>
  <w:style w:type="paragraph" w:styleId="ListBullet">
    <w:name w:val="List Bullet"/>
    <w:basedOn w:val="Normal"/>
    <w:uiPriority w:val="99"/>
    <w:unhideWhenUsed/>
    <w:rsid w:val="002300C5"/>
    <w:pPr>
      <w:numPr>
        <w:numId w:val="1"/>
      </w:numPr>
      <w:contextualSpacing/>
    </w:pPr>
  </w:style>
  <w:style w:type="paragraph" w:styleId="ListBullet2">
    <w:name w:val="List Bullet 2"/>
    <w:basedOn w:val="ListParagraph"/>
    <w:uiPriority w:val="99"/>
    <w:unhideWhenUsed/>
    <w:qFormat/>
    <w:rsid w:val="00093D0A"/>
    <w:pPr>
      <w:numPr>
        <w:numId w:val="6"/>
      </w:numPr>
      <w:spacing w:before="0" w:after="0"/>
      <w:ind w:left="2154" w:hanging="357"/>
    </w:pPr>
  </w:style>
  <w:style w:type="paragraph" w:styleId="ListBullet3">
    <w:name w:val="List Bullet 3"/>
    <w:basedOn w:val="Normal"/>
    <w:uiPriority w:val="99"/>
    <w:unhideWhenUsed/>
    <w:qFormat/>
    <w:rsid w:val="002300C5"/>
    <w:pPr>
      <w:ind w:left="0"/>
      <w:contextualSpacing/>
    </w:pPr>
  </w:style>
  <w:style w:type="character" w:styleId="Hyperlink">
    <w:name w:val="Hyperlink"/>
    <w:basedOn w:val="DefaultParagraphFont"/>
    <w:uiPriority w:val="99"/>
    <w:unhideWhenUsed/>
    <w:rsid w:val="00F7727B"/>
    <w:rPr>
      <w:color w:val="0000FF" w:themeColor="hyperlink"/>
      <w:u w:val="single"/>
    </w:rPr>
  </w:style>
  <w:style w:type="paragraph" w:styleId="Revision">
    <w:name w:val="Revision"/>
    <w:hidden/>
    <w:uiPriority w:val="99"/>
    <w:semiHidden/>
    <w:rsid w:val="00DB3280"/>
    <w:pPr>
      <w:spacing w:after="0" w:line="240" w:lineRule="auto"/>
    </w:pPr>
  </w:style>
  <w:style w:type="paragraph" w:styleId="ListBullet4">
    <w:name w:val="List Bullet 4"/>
    <w:basedOn w:val="Normal"/>
    <w:uiPriority w:val="99"/>
    <w:unhideWhenUsed/>
    <w:qFormat/>
    <w:rsid w:val="003D3065"/>
    <w:pPr>
      <w:numPr>
        <w:numId w:val="4"/>
      </w:numPr>
      <w:spacing w:before="0" w:after="0"/>
      <w:contextualSpacing/>
    </w:pPr>
    <w:rPr>
      <w:lang w:val="fr-FR"/>
    </w:rPr>
  </w:style>
  <w:style w:type="paragraph" w:styleId="NoSpacing">
    <w:name w:val="No Spacing"/>
    <w:uiPriority w:val="1"/>
    <w:qFormat/>
    <w:rsid w:val="00DC696A"/>
    <w:pPr>
      <w:spacing w:after="0" w:line="240" w:lineRule="auto"/>
    </w:pPr>
  </w:style>
  <w:style w:type="character" w:customStyle="1" w:styleId="InternetLink">
    <w:name w:val="Internet Link"/>
    <w:basedOn w:val="DefaultParagraphFont"/>
    <w:uiPriority w:val="99"/>
    <w:unhideWhenUsed/>
    <w:rsid w:val="002B55E2"/>
    <w:rPr>
      <w:color w:val="0000FF" w:themeColor="hyperlink"/>
      <w:u w:val="single"/>
    </w:rPr>
  </w:style>
  <w:style w:type="paragraph" w:customStyle="1" w:styleId="FrameContents">
    <w:name w:val="Frame Contents"/>
    <w:basedOn w:val="Normal"/>
    <w:qFormat/>
    <w:rsid w:val="002B55E2"/>
    <w:rPr>
      <w:color w:val="00000A"/>
    </w:rPr>
  </w:style>
  <w:style w:type="paragraph" w:styleId="ListNumber2">
    <w:name w:val="List Number 2"/>
    <w:basedOn w:val="Normal"/>
    <w:uiPriority w:val="99"/>
    <w:unhideWhenUsed/>
    <w:rsid w:val="006602F5"/>
    <w:pPr>
      <w:numPr>
        <w:numId w:val="5"/>
      </w:numPr>
      <w:contextualSpacing/>
    </w:pPr>
  </w:style>
  <w:style w:type="paragraph" w:styleId="BodyText">
    <w:name w:val="Body Text"/>
    <w:basedOn w:val="Normal"/>
    <w:link w:val="BodyTextChar"/>
    <w:uiPriority w:val="99"/>
    <w:unhideWhenUsed/>
    <w:rsid w:val="00DA73DB"/>
    <w:pPr>
      <w:spacing w:after="120"/>
    </w:pPr>
    <w:rPr>
      <w:rFonts w:ascii="Times New Roman" w:hAnsi="Times New Roman"/>
      <w:sz w:val="18"/>
    </w:rPr>
  </w:style>
  <w:style w:type="character" w:customStyle="1" w:styleId="BodyTextChar">
    <w:name w:val="Body Text Char"/>
    <w:basedOn w:val="DefaultParagraphFont"/>
    <w:link w:val="BodyText"/>
    <w:uiPriority w:val="99"/>
    <w:rsid w:val="00DA73DB"/>
    <w:rPr>
      <w:rFonts w:ascii="Times New Roman" w:hAnsi="Times New Roman"/>
      <w:sz w:val="18"/>
    </w:rPr>
  </w:style>
  <w:style w:type="paragraph" w:styleId="FootnoteText">
    <w:name w:val="footnote text"/>
    <w:basedOn w:val="Normal"/>
    <w:link w:val="FootnoteTextChar"/>
    <w:uiPriority w:val="99"/>
    <w:unhideWhenUsed/>
    <w:rsid w:val="00192EDB"/>
    <w:pPr>
      <w:spacing w:after="0" w:line="240" w:lineRule="auto"/>
    </w:pPr>
    <w:rPr>
      <w:sz w:val="20"/>
      <w:szCs w:val="20"/>
    </w:rPr>
  </w:style>
  <w:style w:type="character" w:customStyle="1" w:styleId="FootnoteTextChar">
    <w:name w:val="Footnote Text Char"/>
    <w:basedOn w:val="DefaultParagraphFont"/>
    <w:link w:val="FootnoteText"/>
    <w:uiPriority w:val="99"/>
    <w:rsid w:val="00192EDB"/>
    <w:rPr>
      <w:sz w:val="20"/>
      <w:szCs w:val="20"/>
    </w:rPr>
  </w:style>
  <w:style w:type="paragraph" w:customStyle="1" w:styleId="TableEntry">
    <w:name w:val="Table Entry"/>
    <w:basedOn w:val="Normal"/>
    <w:qFormat/>
    <w:rsid w:val="004E3F7B"/>
    <w:pPr>
      <w:spacing w:after="0" w:line="240" w:lineRule="auto"/>
    </w:pPr>
    <w:rPr>
      <w:sz w:val="20"/>
      <w:szCs w:val="20"/>
    </w:rPr>
  </w:style>
  <w:style w:type="paragraph" w:styleId="Quote">
    <w:name w:val="Quote"/>
    <w:basedOn w:val="Normal"/>
    <w:next w:val="Normal"/>
    <w:link w:val="QuoteChar"/>
    <w:uiPriority w:val="29"/>
    <w:qFormat/>
    <w:rsid w:val="003B183B"/>
    <w:rPr>
      <w:rFonts w:eastAsiaTheme="minorEastAsia"/>
      <w:i/>
      <w:iCs/>
      <w:color w:val="000000" w:themeColor="text1"/>
      <w:lang w:eastAsia="ja-JP"/>
    </w:rPr>
  </w:style>
  <w:style w:type="character" w:customStyle="1" w:styleId="QuoteChar">
    <w:name w:val="Quote Char"/>
    <w:basedOn w:val="DefaultParagraphFont"/>
    <w:link w:val="Quote"/>
    <w:uiPriority w:val="29"/>
    <w:rsid w:val="003B183B"/>
    <w:rPr>
      <w:rFonts w:eastAsiaTheme="minorEastAsia"/>
      <w:i/>
      <w:iCs/>
      <w:color w:val="000000" w:themeColor="text1"/>
      <w:lang w:eastAsia="ja-JP"/>
    </w:rPr>
  </w:style>
  <w:style w:type="paragraph" w:customStyle="1" w:styleId="Style1">
    <w:name w:val="Style1"/>
    <w:basedOn w:val="Title"/>
    <w:qFormat/>
    <w:rsid w:val="00AC0532"/>
    <w:rPr>
      <w:color w:val="4D90FE"/>
    </w:rPr>
  </w:style>
  <w:style w:type="paragraph" w:customStyle="1" w:styleId="Tabletext">
    <w:name w:val="Table text"/>
    <w:basedOn w:val="Normal"/>
    <w:qFormat/>
    <w:rsid w:val="003D3519"/>
    <w:pPr>
      <w:keepNext/>
      <w:keepLines/>
      <w:spacing w:after="0" w:line="240" w:lineRule="auto"/>
      <w:ind w:left="0"/>
    </w:pPr>
    <w:rPr>
      <w:b/>
    </w:rPr>
  </w:style>
  <w:style w:type="character" w:customStyle="1" w:styleId="Heading4Char">
    <w:name w:val="Heading 4 Char"/>
    <w:basedOn w:val="DefaultParagraphFont"/>
    <w:link w:val="Heading4"/>
    <w:uiPriority w:val="9"/>
    <w:rsid w:val="00B3052A"/>
    <w:rPr>
      <w:rFonts w:asciiTheme="majorHAnsi" w:eastAsiaTheme="majorEastAsia" w:hAnsiTheme="majorHAnsi" w:cstheme="majorBidi"/>
      <w:i/>
      <w:iCs/>
      <w:color w:val="365F91" w:themeColor="accent1" w:themeShade="BF"/>
    </w:rPr>
  </w:style>
  <w:style w:type="character" w:styleId="FootnoteReference">
    <w:name w:val="footnote reference"/>
    <w:basedOn w:val="DefaultParagraphFont"/>
    <w:uiPriority w:val="99"/>
    <w:semiHidden/>
    <w:unhideWhenUsed/>
    <w:rsid w:val="00A64765"/>
    <w:rPr>
      <w:vertAlign w:val="superscript"/>
    </w:rPr>
  </w:style>
  <w:style w:type="character" w:styleId="IntenseReference">
    <w:name w:val="Intense Reference"/>
    <w:basedOn w:val="Hyperlink"/>
    <w:uiPriority w:val="32"/>
    <w:qFormat/>
    <w:rsid w:val="00AF6DF1"/>
    <w:rPr>
      <w:color w:val="0000FF" w:themeColor="hyperlink"/>
      <w:sz w:val="18"/>
      <w:szCs w:val="18"/>
      <w:u w:val="single"/>
    </w:rPr>
  </w:style>
  <w:style w:type="character" w:customStyle="1" w:styleId="gmail-m5385853619221777994treelabel">
    <w:name w:val="gmail-m_5385853619221777994treelabel"/>
    <w:basedOn w:val="DefaultParagraphFont"/>
    <w:rsid w:val="00AC763A"/>
  </w:style>
  <w:style w:type="character" w:customStyle="1" w:styleId="notranslate">
    <w:name w:val="notranslate"/>
    <w:basedOn w:val="DefaultParagraphFont"/>
    <w:rsid w:val="00AC3D3D"/>
  </w:style>
  <w:style w:type="character" w:styleId="Strong">
    <w:name w:val="Strong"/>
    <w:basedOn w:val="DefaultParagraphFont"/>
    <w:uiPriority w:val="22"/>
    <w:qFormat/>
    <w:rsid w:val="00AC3D3D"/>
    <w:rPr>
      <w:b/>
      <w:bCs/>
    </w:rPr>
  </w:style>
  <w:style w:type="table" w:styleId="GridTable4">
    <w:name w:val="Grid Table 4"/>
    <w:basedOn w:val="TableNormal"/>
    <w:uiPriority w:val="49"/>
    <w:rsid w:val="00CE27F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59671">
      <w:bodyDiv w:val="1"/>
      <w:marLeft w:val="0"/>
      <w:marRight w:val="0"/>
      <w:marTop w:val="0"/>
      <w:marBottom w:val="0"/>
      <w:divBdr>
        <w:top w:val="none" w:sz="0" w:space="0" w:color="auto"/>
        <w:left w:val="none" w:sz="0" w:space="0" w:color="auto"/>
        <w:bottom w:val="none" w:sz="0" w:space="0" w:color="auto"/>
        <w:right w:val="none" w:sz="0" w:space="0" w:color="auto"/>
      </w:divBdr>
    </w:div>
    <w:div w:id="590552017">
      <w:bodyDiv w:val="1"/>
      <w:marLeft w:val="0"/>
      <w:marRight w:val="0"/>
      <w:marTop w:val="0"/>
      <w:marBottom w:val="0"/>
      <w:divBdr>
        <w:top w:val="none" w:sz="0" w:space="0" w:color="auto"/>
        <w:left w:val="none" w:sz="0" w:space="0" w:color="auto"/>
        <w:bottom w:val="none" w:sz="0" w:space="0" w:color="auto"/>
        <w:right w:val="none" w:sz="0" w:space="0" w:color="auto"/>
      </w:divBdr>
    </w:div>
    <w:div w:id="1239243782">
      <w:bodyDiv w:val="1"/>
      <w:marLeft w:val="0"/>
      <w:marRight w:val="0"/>
      <w:marTop w:val="0"/>
      <w:marBottom w:val="0"/>
      <w:divBdr>
        <w:top w:val="none" w:sz="0" w:space="0" w:color="auto"/>
        <w:left w:val="none" w:sz="0" w:space="0" w:color="auto"/>
        <w:bottom w:val="none" w:sz="0" w:space="0" w:color="auto"/>
        <w:right w:val="none" w:sz="0" w:space="0" w:color="auto"/>
      </w:divBdr>
    </w:div>
    <w:div w:id="1668940707">
      <w:bodyDiv w:val="1"/>
      <w:marLeft w:val="0"/>
      <w:marRight w:val="0"/>
      <w:marTop w:val="0"/>
      <w:marBottom w:val="0"/>
      <w:divBdr>
        <w:top w:val="none" w:sz="0" w:space="0" w:color="auto"/>
        <w:left w:val="none" w:sz="0" w:space="0" w:color="auto"/>
        <w:bottom w:val="none" w:sz="0" w:space="0" w:color="auto"/>
        <w:right w:val="none" w:sz="0" w:space="0" w:color="auto"/>
      </w:divBdr>
    </w:div>
    <w:div w:id="1676178950">
      <w:bodyDiv w:val="1"/>
      <w:marLeft w:val="0"/>
      <w:marRight w:val="0"/>
      <w:marTop w:val="0"/>
      <w:marBottom w:val="0"/>
      <w:divBdr>
        <w:top w:val="none" w:sz="0" w:space="0" w:color="auto"/>
        <w:left w:val="none" w:sz="0" w:space="0" w:color="auto"/>
        <w:bottom w:val="none" w:sz="0" w:space="0" w:color="auto"/>
        <w:right w:val="none" w:sz="0" w:space="0" w:color="auto"/>
      </w:divBdr>
    </w:div>
    <w:div w:id="211959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fda.gov/MedicalDevices/DeviceRegulationandGuidance/UniqueDeviceIdentification/"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yperlink" Target="https://www.fda.gov/MedicalDevices/DeviceRegulationandGuidance/UniqueDeviceIdentification/"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inc.org/terms-of-us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eader" Target="header5.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loinc.org/download/loinc-users-guide/" TargetMode="External"/><Relationship Id="rId3" Type="http://schemas.openxmlformats.org/officeDocument/2006/relationships/hyperlink" Target="http://wayback.archive-it.org/7993/20171114130548/https:/www.fda.gov/MedicalDevices/NewsEvents/WorkshopsConferences/ucm523316.htm" TargetMode="External"/><Relationship Id="rId7" Type="http://schemas.openxmlformats.org/officeDocument/2006/relationships/hyperlink" Target="https://loinc.org/guides/" TargetMode="External"/><Relationship Id="rId2" Type="http://schemas.openxmlformats.org/officeDocument/2006/relationships/hyperlink" Target="http://wayback.archive-it.org/7993/20171114130548/https:/www.fda.gov/MedicalDevices/NewsEvents/WorkshopsConferences/ucm523316.htm" TargetMode="External"/><Relationship Id="rId1" Type="http://schemas.openxmlformats.org/officeDocument/2006/relationships/hyperlink" Target="https://www.healthit.gov/topic/interoperability/interoperability-roadmap" TargetMode="External"/><Relationship Id="rId6" Type="http://schemas.openxmlformats.org/officeDocument/2006/relationships/hyperlink" Target="https://clsi.org/standards/products/automation-and-informatics/documents/auto16/" TargetMode="External"/><Relationship Id="rId5" Type="http://schemas.openxmlformats.org/officeDocument/2006/relationships/hyperlink" Target="https://www.ihe.net/uploadedFiles/Documents/PaLM/IHE_PaLM_TF_Vol2c.pdf" TargetMode="External"/><Relationship Id="rId4" Type="http://schemas.openxmlformats.org/officeDocument/2006/relationships/hyperlink" Target="https://mdic.org/program/systemic-harmonization-and-interoperability-enhancement-for-lab-data-shield/"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518064-1E4C-4BC6-8D94-AB1687C53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22</Pages>
  <Words>4501</Words>
  <Characters>25657</Characters>
  <Application>Microsoft Office Word</Application>
  <DocSecurity>0</DocSecurity>
  <Lines>213</Lines>
  <Paragraphs>60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Abbott Laboratories</Company>
  <LinksUpToDate>false</LinksUpToDate>
  <CharactersWithSpaces>30098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Heierman, Edwin O</dc:creator>
  <cp:lastModifiedBy>Heierman, Edwin O</cp:lastModifiedBy>
  <cp:revision>7</cp:revision>
  <cp:lastPrinted>2017-04-18T16:40:00Z</cp:lastPrinted>
  <dcterms:created xsi:type="dcterms:W3CDTF">2020-11-13T17:59:00Z</dcterms:created>
  <dcterms:modified xsi:type="dcterms:W3CDTF">2020-11-13T18:36:00Z</dcterms:modified>
</cp:coreProperties>
</file>