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6BFE" w14:textId="0F23B1A1" w:rsidR="001167D6" w:rsidRPr="007941F9" w:rsidRDefault="004F4F4D" w:rsidP="007941F9">
      <w:pPr>
        <w:pStyle w:val="ANSIdesignation"/>
        <w:spacing w:before="0"/>
        <w:rPr>
          <w:bCs/>
        </w:rPr>
      </w:pPr>
      <w:bookmarkStart w:id="0" w:name="_Toc25579082"/>
      <w:bookmarkStart w:id="1" w:name="_Toc25585447"/>
      <w:bookmarkStart w:id="2" w:name="_Toc1891053"/>
      <w:r w:rsidRPr="007941F9">
        <w:rPr>
          <w:bCs/>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941F9" w:rsidRPr="007941F9">
        <w:rPr>
          <w:rFonts w:ascii="Arial Narrow" w:hAnsi="Arial Narrow"/>
          <w:bCs/>
          <w:noProof/>
        </w:rPr>
        <w:t>V291_R1_N1_202</w:t>
      </w:r>
      <w:r w:rsidR="002D2249">
        <w:rPr>
          <w:rFonts w:ascii="Arial Narrow" w:hAnsi="Arial Narrow"/>
          <w:bCs/>
          <w:noProof/>
        </w:rPr>
        <w:t>3</w:t>
      </w:r>
      <w:r w:rsidR="007941F9" w:rsidRPr="007941F9">
        <w:rPr>
          <w:rFonts w:ascii="Arial Narrow" w:hAnsi="Arial Narrow"/>
          <w:bCs/>
          <w:noProof/>
        </w:rPr>
        <w:t>SEP</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383C5F1C"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sidR="00357748">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12C5A813" w:rsidR="00C55AFD" w:rsidRPr="003D6457" w:rsidRDefault="00C55AFD">
            <w:pPr>
              <w:rPr>
                <w:noProof/>
              </w:rPr>
            </w:pPr>
            <w:r w:rsidRPr="003D6457">
              <w:rPr>
                <w:noProof/>
              </w:rPr>
              <w:t xml:space="preserve">Chapter </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43CDA084" w:rsidR="00B15A59" w:rsidRPr="003D6457" w:rsidRDefault="00B15A59" w:rsidP="000B3F80">
            <w:pPr>
              <w:spacing w:before="0" w:after="0"/>
              <w:rPr>
                <w:noProof/>
              </w:rPr>
            </w:pPr>
            <w:r>
              <w:rPr>
                <w:noProof/>
              </w:rPr>
              <w:t xml:space="preserve">Chapter </w:t>
            </w:r>
            <w:r w:rsidRPr="009928E9">
              <w:rPr>
                <w:noProof/>
              </w:rPr>
              <w:t>Chair</w:t>
            </w:r>
          </w:p>
        </w:tc>
        <w:tc>
          <w:tcPr>
            <w:tcW w:w="6066" w:type="dxa"/>
          </w:tcPr>
          <w:p w14:paraId="12FBBBBD" w14:textId="77777777" w:rsidR="00B15A59" w:rsidRDefault="00B15A59" w:rsidP="000B3F80">
            <w:pPr>
              <w:spacing w:before="0" w:after="0"/>
              <w:rPr>
                <w:noProof/>
              </w:rPr>
            </w:pPr>
            <w:r>
              <w:rPr>
                <w:noProof/>
              </w:rPr>
              <w:t>Nick Radov</w:t>
            </w:r>
          </w:p>
          <w:p w14:paraId="5E5DFC41" w14:textId="77777777" w:rsidR="00B15A59" w:rsidRDefault="00B15A59" w:rsidP="000B3F80">
            <w:pPr>
              <w:spacing w:before="0" w:after="0"/>
              <w:rPr>
                <w:noProof/>
              </w:rPr>
            </w:pPr>
            <w:r>
              <w:rPr>
                <w:noProof/>
              </w:rPr>
              <w:t>United Healthcare</w:t>
            </w:r>
          </w:p>
        </w:tc>
      </w:tr>
      <w:tr w:rsidR="00C55AFD" w:rsidRPr="003D6457" w14:paraId="6C3A7153" w14:textId="77777777" w:rsidTr="00E564C2">
        <w:tc>
          <w:tcPr>
            <w:tcW w:w="3402" w:type="dxa"/>
          </w:tcPr>
          <w:p w14:paraId="4BD327F8" w14:textId="3AB7AC52" w:rsidR="00C55AFD" w:rsidRPr="003D6457" w:rsidRDefault="00C55AFD" w:rsidP="000B3F80">
            <w:pPr>
              <w:spacing w:before="0" w:after="0"/>
              <w:rPr>
                <w:noProof/>
              </w:rPr>
            </w:pPr>
            <w:r w:rsidRPr="003D6457">
              <w:rPr>
                <w:noProof/>
              </w:rPr>
              <w:t xml:space="preserve">Chapter </w:t>
            </w:r>
            <w:r w:rsidR="00B15A59" w:rsidRPr="009928E9">
              <w:rPr>
                <w:noProof/>
              </w:rPr>
              <w:t>Chair</w:t>
            </w:r>
            <w:r w:rsidRPr="003D6457">
              <w:rPr>
                <w:noProof/>
              </w:rPr>
              <w:t xml:space="preserve"> </w:t>
            </w:r>
          </w:p>
        </w:tc>
        <w:tc>
          <w:tcPr>
            <w:tcW w:w="6066" w:type="dxa"/>
          </w:tcPr>
          <w:p w14:paraId="5F8C31A8" w14:textId="3845C2AB" w:rsidR="008F0021" w:rsidRDefault="008F0021" w:rsidP="000B3F80">
            <w:pPr>
              <w:spacing w:before="0" w:after="0"/>
              <w:rPr>
                <w:noProof/>
              </w:rPr>
            </w:pPr>
            <w:r>
              <w:rPr>
                <w:noProof/>
              </w:rPr>
              <w:t>Isaac Vetter</w:t>
            </w:r>
          </w:p>
          <w:p w14:paraId="7EB1208B" w14:textId="6749E5A6" w:rsidR="00C55AFD" w:rsidRPr="003D6457" w:rsidRDefault="008F0021" w:rsidP="000B3F80">
            <w:pPr>
              <w:spacing w:before="0" w:after="0"/>
              <w:rPr>
                <w:noProof/>
              </w:rPr>
            </w:pPr>
            <w:r>
              <w:rPr>
                <w:noProof/>
              </w:rPr>
              <w:t>Epic</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000000">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3" w:name="_Toc536442051"/>
      <w:bookmarkStart w:id="4" w:name="_Toc1891054"/>
    </w:p>
    <w:p w14:paraId="606E4356" w14:textId="77777777" w:rsidR="007941F9" w:rsidRPr="007941F9" w:rsidRDefault="007941F9" w:rsidP="007941F9">
      <w:pPr>
        <w:pStyle w:val="Heading3"/>
        <w:numPr>
          <w:ilvl w:val="0"/>
          <w:numId w:val="0"/>
        </w:numPr>
      </w:pPr>
      <w:bookmarkStart w:id="5" w:name="_Hlk113628941"/>
      <w:r w:rsidRPr="007941F9">
        <w:t xml:space="preserve">NOTE TO BALLOTERS: This content is unchanged from </w:t>
      </w:r>
      <w:hyperlink r:id="rId10" w:history="1">
        <w:r w:rsidRPr="007941F9">
          <w:t>HL7 Messaging Standard Version 2.9</w:t>
        </w:r>
      </w:hyperlink>
    </w:p>
    <w:bookmarkEnd w:id="5"/>
    <w:p w14:paraId="6772CDCA" w14:textId="77777777" w:rsidR="00175C05" w:rsidRDefault="00175C05" w:rsidP="009E7AE4"/>
    <w:p w14:paraId="1977EEC2" w14:textId="4AD908A0" w:rsidR="00C55AFD" w:rsidRPr="003D6457" w:rsidRDefault="0059125F">
      <w:pPr>
        <w:pStyle w:val="Heading2"/>
        <w:rPr>
          <w:noProof/>
        </w:rPr>
      </w:pPr>
      <w:bookmarkStart w:id="6" w:name="_Toc29039282"/>
      <w:r>
        <w:rPr>
          <w:noProof/>
        </w:rPr>
        <w:t>C</w:t>
      </w:r>
      <w:r w:rsidR="00C55AFD" w:rsidRPr="003D6457">
        <w:rPr>
          <w:noProof/>
        </w:rPr>
        <w:t xml:space="preserve">hapter 14 </w:t>
      </w:r>
      <w:r>
        <w:rPr>
          <w:noProof/>
        </w:rPr>
        <w:t>C</w:t>
      </w:r>
      <w:r w:rsidR="00C55AFD" w:rsidRPr="003D6457">
        <w:rPr>
          <w:noProof/>
        </w:rPr>
        <w:t>ontents</w:t>
      </w:r>
      <w:bookmarkEnd w:id="3"/>
      <w:bookmarkEnd w:id="4"/>
      <w:bookmarkEnd w:id="6"/>
    </w:p>
    <w:p w14:paraId="290F4B50" w14:textId="77777777" w:rsidR="00C55AFD" w:rsidRPr="003D6457" w:rsidRDefault="00C55AFD">
      <w:pPr>
        <w:rPr>
          <w:noProof/>
        </w:rPr>
      </w:pPr>
    </w:p>
    <w:p w14:paraId="1769470C" w14:textId="113A2728" w:rsidR="00577185"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282" w:history="1">
        <w:r w:rsidRPr="00C43E60">
          <w:rPr>
            <w:rStyle w:val="Hyperlink"/>
          </w:rPr>
          <w:t>14.1</w:t>
        </w:r>
        <w:r>
          <w:rPr>
            <w:rFonts w:asciiTheme="minorHAnsi" w:eastAsiaTheme="minorEastAsia" w:hAnsiTheme="minorHAnsi" w:cstheme="minorBidi"/>
            <w:b w:val="0"/>
            <w:kern w:val="0"/>
            <w:sz w:val="22"/>
            <w:szCs w:val="22"/>
          </w:rPr>
          <w:tab/>
        </w:r>
        <w:r w:rsidRPr="00C43E60">
          <w:rPr>
            <w:rStyle w:val="Hyperlink"/>
          </w:rPr>
          <w:t>Chapter 14 Contents</w:t>
        </w:r>
        <w:r>
          <w:rPr>
            <w:webHidden/>
          </w:rPr>
          <w:tab/>
        </w:r>
        <w:r>
          <w:rPr>
            <w:webHidden/>
          </w:rPr>
          <w:fldChar w:fldCharType="begin"/>
        </w:r>
        <w:r>
          <w:rPr>
            <w:webHidden/>
          </w:rPr>
          <w:instrText xml:space="preserve"> PAGEREF _Toc29039282 \h </w:instrText>
        </w:r>
        <w:r>
          <w:rPr>
            <w:webHidden/>
          </w:rPr>
        </w:r>
        <w:r>
          <w:rPr>
            <w:webHidden/>
          </w:rPr>
          <w:fldChar w:fldCharType="separate"/>
        </w:r>
        <w:r w:rsidR="00357748">
          <w:rPr>
            <w:webHidden/>
          </w:rPr>
          <w:t>1</w:t>
        </w:r>
        <w:r>
          <w:rPr>
            <w:webHidden/>
          </w:rPr>
          <w:fldChar w:fldCharType="end"/>
        </w:r>
      </w:hyperlink>
    </w:p>
    <w:p w14:paraId="3CD757B9" w14:textId="4469F666" w:rsidR="00577185" w:rsidRDefault="00000000">
      <w:pPr>
        <w:pStyle w:val="TOC2"/>
        <w:rPr>
          <w:rFonts w:asciiTheme="minorHAnsi" w:eastAsiaTheme="minorEastAsia" w:hAnsiTheme="minorHAnsi" w:cstheme="minorBidi"/>
          <w:b w:val="0"/>
          <w:kern w:val="0"/>
          <w:sz w:val="22"/>
          <w:szCs w:val="22"/>
        </w:rPr>
      </w:pPr>
      <w:hyperlink w:anchor="_Toc29039283" w:history="1">
        <w:r w:rsidR="00577185" w:rsidRPr="00C43E60">
          <w:rPr>
            <w:rStyle w:val="Hyperlink"/>
          </w:rPr>
          <w:t>14.2</w:t>
        </w:r>
        <w:r w:rsidR="00577185">
          <w:rPr>
            <w:rFonts w:asciiTheme="minorHAnsi" w:eastAsiaTheme="minorEastAsia" w:hAnsiTheme="minorHAnsi" w:cstheme="minorBidi"/>
            <w:b w:val="0"/>
            <w:kern w:val="0"/>
            <w:sz w:val="22"/>
            <w:szCs w:val="22"/>
          </w:rPr>
          <w:tab/>
        </w:r>
        <w:r w:rsidR="00577185" w:rsidRPr="00C43E60">
          <w:rPr>
            <w:rStyle w:val="Hyperlink"/>
          </w:rPr>
          <w:t>Introduction</w:t>
        </w:r>
        <w:r w:rsidR="00577185">
          <w:rPr>
            <w:webHidden/>
          </w:rPr>
          <w:tab/>
        </w:r>
        <w:r w:rsidR="00577185">
          <w:rPr>
            <w:webHidden/>
          </w:rPr>
          <w:fldChar w:fldCharType="begin"/>
        </w:r>
        <w:r w:rsidR="00577185">
          <w:rPr>
            <w:webHidden/>
          </w:rPr>
          <w:instrText xml:space="preserve"> PAGEREF _Toc29039283 \h </w:instrText>
        </w:r>
        <w:r w:rsidR="00577185">
          <w:rPr>
            <w:webHidden/>
          </w:rPr>
        </w:r>
        <w:r w:rsidR="00577185">
          <w:rPr>
            <w:webHidden/>
          </w:rPr>
          <w:fldChar w:fldCharType="separate"/>
        </w:r>
        <w:r w:rsidR="00357748">
          <w:rPr>
            <w:webHidden/>
          </w:rPr>
          <w:t>2</w:t>
        </w:r>
        <w:r w:rsidR="00577185">
          <w:rPr>
            <w:webHidden/>
          </w:rPr>
          <w:fldChar w:fldCharType="end"/>
        </w:r>
      </w:hyperlink>
    </w:p>
    <w:p w14:paraId="2C4D2F2C" w14:textId="1FDE84DD" w:rsidR="00577185" w:rsidRDefault="00000000">
      <w:pPr>
        <w:pStyle w:val="TOC2"/>
        <w:rPr>
          <w:rFonts w:asciiTheme="minorHAnsi" w:eastAsiaTheme="minorEastAsia" w:hAnsiTheme="minorHAnsi" w:cstheme="minorBidi"/>
          <w:b w:val="0"/>
          <w:kern w:val="0"/>
          <w:sz w:val="22"/>
          <w:szCs w:val="22"/>
        </w:rPr>
      </w:pPr>
      <w:hyperlink w:anchor="_Toc29039284" w:history="1">
        <w:r w:rsidR="00577185" w:rsidRPr="00C43E60">
          <w:rPr>
            <w:rStyle w:val="Hyperlink"/>
          </w:rPr>
          <w:t>14.3</w:t>
        </w:r>
        <w:r w:rsidR="00577185">
          <w:rPr>
            <w:rFonts w:asciiTheme="minorHAnsi" w:eastAsiaTheme="minorEastAsia" w:hAnsiTheme="minorHAnsi" w:cstheme="minorBidi"/>
            <w:b w:val="0"/>
            <w:kern w:val="0"/>
            <w:sz w:val="22"/>
            <w:szCs w:val="22"/>
          </w:rPr>
          <w:tab/>
        </w:r>
        <w:r w:rsidR="00577185" w:rsidRPr="00C43E60">
          <w:rPr>
            <w:rStyle w:val="Hyperlink"/>
          </w:rPr>
          <w:t>Trigger Events and Message Definitions</w:t>
        </w:r>
        <w:r w:rsidR="00577185">
          <w:rPr>
            <w:webHidden/>
          </w:rPr>
          <w:tab/>
        </w:r>
        <w:r w:rsidR="00577185">
          <w:rPr>
            <w:webHidden/>
          </w:rPr>
          <w:fldChar w:fldCharType="begin"/>
        </w:r>
        <w:r w:rsidR="00577185">
          <w:rPr>
            <w:webHidden/>
          </w:rPr>
          <w:instrText xml:space="preserve"> PAGEREF _Toc29039284 \h </w:instrText>
        </w:r>
        <w:r w:rsidR="00577185">
          <w:rPr>
            <w:webHidden/>
          </w:rPr>
        </w:r>
        <w:r w:rsidR="00577185">
          <w:rPr>
            <w:webHidden/>
          </w:rPr>
          <w:fldChar w:fldCharType="separate"/>
        </w:r>
        <w:r w:rsidR="00357748">
          <w:rPr>
            <w:webHidden/>
          </w:rPr>
          <w:t>2</w:t>
        </w:r>
        <w:r w:rsidR="00577185">
          <w:rPr>
            <w:webHidden/>
          </w:rPr>
          <w:fldChar w:fldCharType="end"/>
        </w:r>
      </w:hyperlink>
    </w:p>
    <w:p w14:paraId="28177218" w14:textId="1160571E" w:rsidR="00577185" w:rsidRDefault="00000000">
      <w:pPr>
        <w:pStyle w:val="TOC3"/>
        <w:rPr>
          <w:rFonts w:asciiTheme="minorHAnsi" w:eastAsiaTheme="minorEastAsia" w:hAnsiTheme="minorHAnsi" w:cstheme="minorBidi"/>
          <w:sz w:val="22"/>
        </w:rPr>
      </w:pPr>
      <w:hyperlink w:anchor="_Toc29039285" w:history="1">
        <w:r w:rsidR="00577185" w:rsidRPr="00C43E60">
          <w:rPr>
            <w:rStyle w:val="Hyperlink"/>
          </w:rPr>
          <w:t>14.3.1</w:t>
        </w:r>
        <w:r w:rsidR="00577185">
          <w:rPr>
            <w:rFonts w:asciiTheme="minorHAnsi" w:eastAsiaTheme="minorEastAsia" w:hAnsiTheme="minorHAnsi" w:cstheme="minorBidi"/>
            <w:sz w:val="22"/>
          </w:rPr>
          <w:tab/>
        </w:r>
        <w:r w:rsidR="00577185" w:rsidRPr="00C43E60">
          <w:rPr>
            <w:rStyle w:val="Hyperlink"/>
          </w:rPr>
          <w:t>NMQ - Application Management Query Message (Event N01)</w:t>
        </w:r>
        <w:r w:rsidR="00577185">
          <w:rPr>
            <w:webHidden/>
          </w:rPr>
          <w:tab/>
        </w:r>
        <w:r w:rsidR="00577185">
          <w:rPr>
            <w:webHidden/>
          </w:rPr>
          <w:fldChar w:fldCharType="begin"/>
        </w:r>
        <w:r w:rsidR="00577185">
          <w:rPr>
            <w:webHidden/>
          </w:rPr>
          <w:instrText xml:space="preserve"> PAGEREF _Toc29039285 \h </w:instrText>
        </w:r>
        <w:r w:rsidR="00577185">
          <w:rPr>
            <w:webHidden/>
          </w:rPr>
        </w:r>
        <w:r w:rsidR="00577185">
          <w:rPr>
            <w:webHidden/>
          </w:rPr>
          <w:fldChar w:fldCharType="separate"/>
        </w:r>
        <w:r w:rsidR="00357748">
          <w:rPr>
            <w:webHidden/>
          </w:rPr>
          <w:t>2</w:t>
        </w:r>
        <w:r w:rsidR="00577185">
          <w:rPr>
            <w:webHidden/>
          </w:rPr>
          <w:fldChar w:fldCharType="end"/>
        </w:r>
      </w:hyperlink>
    </w:p>
    <w:p w14:paraId="2680C4A8" w14:textId="2D94174E" w:rsidR="00577185" w:rsidRDefault="00000000">
      <w:pPr>
        <w:pStyle w:val="TOC3"/>
        <w:rPr>
          <w:rFonts w:asciiTheme="minorHAnsi" w:eastAsiaTheme="minorEastAsia" w:hAnsiTheme="minorHAnsi" w:cstheme="minorBidi"/>
          <w:sz w:val="22"/>
        </w:rPr>
      </w:pPr>
      <w:hyperlink w:anchor="_Toc29039286" w:history="1">
        <w:r w:rsidR="00577185" w:rsidRPr="00C43E60">
          <w:rPr>
            <w:rStyle w:val="Hyperlink"/>
          </w:rPr>
          <w:t>14.3.2</w:t>
        </w:r>
        <w:r w:rsidR="00577185">
          <w:rPr>
            <w:rFonts w:asciiTheme="minorHAnsi" w:eastAsiaTheme="minorEastAsia" w:hAnsiTheme="minorHAnsi" w:cstheme="minorBidi"/>
            <w:sz w:val="22"/>
          </w:rPr>
          <w:tab/>
        </w:r>
        <w:r w:rsidR="00577185" w:rsidRPr="00C43E60">
          <w:rPr>
            <w:rStyle w:val="Hyperlink"/>
          </w:rPr>
          <w:t>NMD - Application Management Data Message (Event N02)</w:t>
        </w:r>
        <w:r w:rsidR="00577185">
          <w:rPr>
            <w:webHidden/>
          </w:rPr>
          <w:tab/>
        </w:r>
        <w:r w:rsidR="00577185">
          <w:rPr>
            <w:webHidden/>
          </w:rPr>
          <w:fldChar w:fldCharType="begin"/>
        </w:r>
        <w:r w:rsidR="00577185">
          <w:rPr>
            <w:webHidden/>
          </w:rPr>
          <w:instrText xml:space="preserve"> PAGEREF _Toc29039286 \h </w:instrText>
        </w:r>
        <w:r w:rsidR="00577185">
          <w:rPr>
            <w:webHidden/>
          </w:rPr>
        </w:r>
        <w:r w:rsidR="00577185">
          <w:rPr>
            <w:webHidden/>
          </w:rPr>
          <w:fldChar w:fldCharType="separate"/>
        </w:r>
        <w:r w:rsidR="00357748">
          <w:rPr>
            <w:webHidden/>
          </w:rPr>
          <w:t>2</w:t>
        </w:r>
        <w:r w:rsidR="00577185">
          <w:rPr>
            <w:webHidden/>
          </w:rPr>
          <w:fldChar w:fldCharType="end"/>
        </w:r>
      </w:hyperlink>
    </w:p>
    <w:p w14:paraId="350534E1" w14:textId="5BEC2159" w:rsidR="00577185" w:rsidRDefault="00000000">
      <w:pPr>
        <w:pStyle w:val="TOC2"/>
        <w:rPr>
          <w:rFonts w:asciiTheme="minorHAnsi" w:eastAsiaTheme="minorEastAsia" w:hAnsiTheme="minorHAnsi" w:cstheme="minorBidi"/>
          <w:b w:val="0"/>
          <w:kern w:val="0"/>
          <w:sz w:val="22"/>
          <w:szCs w:val="22"/>
        </w:rPr>
      </w:pPr>
      <w:hyperlink w:anchor="_Toc29039287" w:history="1">
        <w:r w:rsidR="00577185" w:rsidRPr="00C43E60">
          <w:rPr>
            <w:rStyle w:val="Hyperlink"/>
          </w:rPr>
          <w:t>14.4</w:t>
        </w:r>
        <w:r w:rsidR="00577185">
          <w:rPr>
            <w:rFonts w:asciiTheme="minorHAnsi" w:eastAsiaTheme="minorEastAsia" w:hAnsiTheme="minorHAnsi" w:cstheme="minorBidi"/>
            <w:b w:val="0"/>
            <w:kern w:val="0"/>
            <w:sz w:val="22"/>
            <w:szCs w:val="22"/>
          </w:rPr>
          <w:tab/>
        </w:r>
        <w:r w:rsidR="00577185" w:rsidRPr="00C43E60">
          <w:rPr>
            <w:rStyle w:val="Hyperlink"/>
          </w:rPr>
          <w:t>Message Segments</w:t>
        </w:r>
        <w:r w:rsidR="00577185">
          <w:rPr>
            <w:webHidden/>
          </w:rPr>
          <w:tab/>
        </w:r>
        <w:r w:rsidR="00577185">
          <w:rPr>
            <w:webHidden/>
          </w:rPr>
          <w:fldChar w:fldCharType="begin"/>
        </w:r>
        <w:r w:rsidR="00577185">
          <w:rPr>
            <w:webHidden/>
          </w:rPr>
          <w:instrText xml:space="preserve"> PAGEREF _Toc29039287 \h </w:instrText>
        </w:r>
        <w:r w:rsidR="00577185">
          <w:rPr>
            <w:webHidden/>
          </w:rPr>
        </w:r>
        <w:r w:rsidR="00577185">
          <w:rPr>
            <w:webHidden/>
          </w:rPr>
          <w:fldChar w:fldCharType="separate"/>
        </w:r>
        <w:r w:rsidR="00357748">
          <w:rPr>
            <w:webHidden/>
          </w:rPr>
          <w:t>4</w:t>
        </w:r>
        <w:r w:rsidR="00577185">
          <w:rPr>
            <w:webHidden/>
          </w:rPr>
          <w:fldChar w:fldCharType="end"/>
        </w:r>
      </w:hyperlink>
    </w:p>
    <w:p w14:paraId="23CA5908" w14:textId="7B538AC9" w:rsidR="00577185" w:rsidRDefault="00000000">
      <w:pPr>
        <w:pStyle w:val="TOC3"/>
        <w:rPr>
          <w:rFonts w:asciiTheme="minorHAnsi" w:eastAsiaTheme="minorEastAsia" w:hAnsiTheme="minorHAnsi" w:cstheme="minorBidi"/>
          <w:sz w:val="22"/>
        </w:rPr>
      </w:pPr>
      <w:hyperlink w:anchor="_Toc29039288" w:history="1">
        <w:r w:rsidR="00577185" w:rsidRPr="00C43E60">
          <w:rPr>
            <w:rStyle w:val="Hyperlink"/>
          </w:rPr>
          <w:t>14.4.1</w:t>
        </w:r>
        <w:r w:rsidR="00577185">
          <w:rPr>
            <w:rFonts w:asciiTheme="minorHAnsi" w:eastAsiaTheme="minorEastAsia" w:hAnsiTheme="minorHAnsi" w:cstheme="minorBidi"/>
            <w:sz w:val="22"/>
          </w:rPr>
          <w:tab/>
        </w:r>
        <w:r w:rsidR="00577185" w:rsidRPr="00C43E60">
          <w:rPr>
            <w:rStyle w:val="Hyperlink"/>
          </w:rPr>
          <w:t xml:space="preserve">NCK </w:t>
        </w:r>
        <w:r w:rsidR="00577185" w:rsidRPr="00C43E60">
          <w:rPr>
            <w:rStyle w:val="Hyperlink"/>
          </w:rPr>
          <w:noBreakHyphen/>
          <w:t xml:space="preserve"> System Clock Segment</w:t>
        </w:r>
        <w:r w:rsidR="00577185">
          <w:rPr>
            <w:webHidden/>
          </w:rPr>
          <w:tab/>
        </w:r>
        <w:r w:rsidR="00577185">
          <w:rPr>
            <w:webHidden/>
          </w:rPr>
          <w:fldChar w:fldCharType="begin"/>
        </w:r>
        <w:r w:rsidR="00577185">
          <w:rPr>
            <w:webHidden/>
          </w:rPr>
          <w:instrText xml:space="preserve"> PAGEREF _Toc29039288 \h </w:instrText>
        </w:r>
        <w:r w:rsidR="00577185">
          <w:rPr>
            <w:webHidden/>
          </w:rPr>
        </w:r>
        <w:r w:rsidR="00577185">
          <w:rPr>
            <w:webHidden/>
          </w:rPr>
          <w:fldChar w:fldCharType="separate"/>
        </w:r>
        <w:r w:rsidR="00357748">
          <w:rPr>
            <w:webHidden/>
          </w:rPr>
          <w:t>4</w:t>
        </w:r>
        <w:r w:rsidR="00577185">
          <w:rPr>
            <w:webHidden/>
          </w:rPr>
          <w:fldChar w:fldCharType="end"/>
        </w:r>
      </w:hyperlink>
    </w:p>
    <w:p w14:paraId="24C651B6" w14:textId="556BD521" w:rsidR="00577185" w:rsidRDefault="00000000">
      <w:pPr>
        <w:pStyle w:val="TOC3"/>
        <w:rPr>
          <w:rFonts w:asciiTheme="minorHAnsi" w:eastAsiaTheme="minorEastAsia" w:hAnsiTheme="minorHAnsi" w:cstheme="minorBidi"/>
          <w:sz w:val="22"/>
        </w:rPr>
      </w:pPr>
      <w:hyperlink w:anchor="_Toc29039289" w:history="1">
        <w:r w:rsidR="00577185" w:rsidRPr="00C43E60">
          <w:rPr>
            <w:rStyle w:val="Hyperlink"/>
          </w:rPr>
          <w:t>14.4.2</w:t>
        </w:r>
        <w:r w:rsidR="00577185">
          <w:rPr>
            <w:rFonts w:asciiTheme="minorHAnsi" w:eastAsiaTheme="minorEastAsia" w:hAnsiTheme="minorHAnsi" w:cstheme="minorBidi"/>
            <w:sz w:val="22"/>
          </w:rPr>
          <w:tab/>
        </w:r>
        <w:r w:rsidR="00577185" w:rsidRPr="00C43E60">
          <w:rPr>
            <w:rStyle w:val="Hyperlink"/>
          </w:rPr>
          <w:t>NSC – Application Status Change Segment</w:t>
        </w:r>
        <w:r w:rsidR="00577185">
          <w:rPr>
            <w:webHidden/>
          </w:rPr>
          <w:tab/>
        </w:r>
        <w:r w:rsidR="00577185">
          <w:rPr>
            <w:webHidden/>
          </w:rPr>
          <w:fldChar w:fldCharType="begin"/>
        </w:r>
        <w:r w:rsidR="00577185">
          <w:rPr>
            <w:webHidden/>
          </w:rPr>
          <w:instrText xml:space="preserve"> PAGEREF _Toc29039289 \h </w:instrText>
        </w:r>
        <w:r w:rsidR="00577185">
          <w:rPr>
            <w:webHidden/>
          </w:rPr>
        </w:r>
        <w:r w:rsidR="00577185">
          <w:rPr>
            <w:webHidden/>
          </w:rPr>
          <w:fldChar w:fldCharType="separate"/>
        </w:r>
        <w:r w:rsidR="00357748">
          <w:rPr>
            <w:webHidden/>
          </w:rPr>
          <w:t>4</w:t>
        </w:r>
        <w:r w:rsidR="00577185">
          <w:rPr>
            <w:webHidden/>
          </w:rPr>
          <w:fldChar w:fldCharType="end"/>
        </w:r>
      </w:hyperlink>
    </w:p>
    <w:p w14:paraId="673989BB" w14:textId="2E996837" w:rsidR="00577185" w:rsidRDefault="00000000">
      <w:pPr>
        <w:pStyle w:val="TOC3"/>
        <w:rPr>
          <w:rFonts w:asciiTheme="minorHAnsi" w:eastAsiaTheme="minorEastAsia" w:hAnsiTheme="minorHAnsi" w:cstheme="minorBidi"/>
          <w:sz w:val="22"/>
        </w:rPr>
      </w:pPr>
      <w:hyperlink w:anchor="_Toc29039290" w:history="1">
        <w:r w:rsidR="00577185" w:rsidRPr="00C43E60">
          <w:rPr>
            <w:rStyle w:val="Hyperlink"/>
          </w:rPr>
          <w:t>14.4.3</w:t>
        </w:r>
        <w:r w:rsidR="00577185">
          <w:rPr>
            <w:rFonts w:asciiTheme="minorHAnsi" w:eastAsiaTheme="minorEastAsia" w:hAnsiTheme="minorHAnsi" w:cstheme="minorBidi"/>
            <w:sz w:val="22"/>
          </w:rPr>
          <w:tab/>
        </w:r>
        <w:r w:rsidR="00577185" w:rsidRPr="00C43E60">
          <w:rPr>
            <w:rStyle w:val="Hyperlink"/>
          </w:rPr>
          <w:t>NST – Application Control-Level Statistics Segment</w:t>
        </w:r>
        <w:r w:rsidR="00577185">
          <w:rPr>
            <w:webHidden/>
          </w:rPr>
          <w:tab/>
        </w:r>
        <w:r w:rsidR="00577185">
          <w:rPr>
            <w:webHidden/>
          </w:rPr>
          <w:fldChar w:fldCharType="begin"/>
        </w:r>
        <w:r w:rsidR="00577185">
          <w:rPr>
            <w:webHidden/>
          </w:rPr>
          <w:instrText xml:space="preserve"> PAGEREF _Toc29039290 \h </w:instrText>
        </w:r>
        <w:r w:rsidR="00577185">
          <w:rPr>
            <w:webHidden/>
          </w:rPr>
        </w:r>
        <w:r w:rsidR="00577185">
          <w:rPr>
            <w:webHidden/>
          </w:rPr>
          <w:fldChar w:fldCharType="separate"/>
        </w:r>
        <w:r w:rsidR="00357748">
          <w:rPr>
            <w:webHidden/>
          </w:rPr>
          <w:t>6</w:t>
        </w:r>
        <w:r w:rsidR="00577185">
          <w:rPr>
            <w:webHidden/>
          </w:rPr>
          <w:fldChar w:fldCharType="end"/>
        </w:r>
      </w:hyperlink>
    </w:p>
    <w:p w14:paraId="2565CA3D" w14:textId="7F611C29" w:rsidR="00577185" w:rsidRDefault="00000000">
      <w:pPr>
        <w:pStyle w:val="TOC2"/>
        <w:rPr>
          <w:rFonts w:asciiTheme="minorHAnsi" w:eastAsiaTheme="minorEastAsia" w:hAnsiTheme="minorHAnsi" w:cstheme="minorBidi"/>
          <w:b w:val="0"/>
          <w:kern w:val="0"/>
          <w:sz w:val="22"/>
          <w:szCs w:val="22"/>
        </w:rPr>
      </w:pPr>
      <w:hyperlink w:anchor="_Toc29039291" w:history="1">
        <w:r w:rsidR="00577185" w:rsidRPr="00C43E60">
          <w:rPr>
            <w:rStyle w:val="Hyperlink"/>
          </w:rPr>
          <w:t>14.5</w:t>
        </w:r>
        <w:r w:rsidR="00577185">
          <w:rPr>
            <w:rFonts w:asciiTheme="minorHAnsi" w:eastAsiaTheme="minorEastAsia" w:hAnsiTheme="minorHAnsi" w:cstheme="minorBidi"/>
            <w:b w:val="0"/>
            <w:kern w:val="0"/>
            <w:sz w:val="22"/>
            <w:szCs w:val="22"/>
          </w:rPr>
          <w:tab/>
        </w:r>
        <w:r w:rsidR="00577185" w:rsidRPr="00C43E60">
          <w:rPr>
            <w:rStyle w:val="Hyperlink"/>
          </w:rPr>
          <w:t>Outstanding Issues</w:t>
        </w:r>
        <w:r w:rsidR="00577185">
          <w:rPr>
            <w:webHidden/>
          </w:rPr>
          <w:tab/>
        </w:r>
        <w:r w:rsidR="00577185">
          <w:rPr>
            <w:webHidden/>
          </w:rPr>
          <w:fldChar w:fldCharType="begin"/>
        </w:r>
        <w:r w:rsidR="00577185">
          <w:rPr>
            <w:webHidden/>
          </w:rPr>
          <w:instrText xml:space="preserve"> PAGEREF _Toc29039291 \h </w:instrText>
        </w:r>
        <w:r w:rsidR="00577185">
          <w:rPr>
            <w:webHidden/>
          </w:rPr>
        </w:r>
        <w:r w:rsidR="00577185">
          <w:rPr>
            <w:webHidden/>
          </w:rPr>
          <w:fldChar w:fldCharType="separate"/>
        </w:r>
        <w:r w:rsidR="00357748">
          <w:rPr>
            <w:webHidden/>
          </w:rPr>
          <w:t>8</w:t>
        </w:r>
        <w:r w:rsidR="00577185">
          <w:rPr>
            <w:webHidden/>
          </w:rPr>
          <w:fldChar w:fldCharType="end"/>
        </w:r>
      </w:hyperlink>
    </w:p>
    <w:p w14:paraId="29DDFA90" w14:textId="4D0C50F0"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7" w:name="_Toc536442052"/>
      <w:bookmarkStart w:id="8" w:name="_Toc1891055"/>
      <w:bookmarkStart w:id="9" w:name="_Toc29039283"/>
      <w:r w:rsidRPr="003D6457">
        <w:rPr>
          <w:noProof/>
        </w:rPr>
        <w:lastRenderedPageBreak/>
        <w:t>Introduction</w:t>
      </w:r>
      <w:bookmarkEnd w:id="7"/>
      <w:bookmarkEnd w:id="8"/>
      <w:bookmarkEnd w:id="9"/>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10" w:name="_Toc536442053"/>
      <w:bookmarkStart w:id="11" w:name="_Toc1891056"/>
      <w:bookmarkStart w:id="12" w:name="_Toc29039284"/>
      <w:r w:rsidRPr="003D6457">
        <w:rPr>
          <w:noProof/>
        </w:rPr>
        <w:t>Trigger Events and Message Definitions</w:t>
      </w:r>
      <w:bookmarkEnd w:id="10"/>
      <w:bookmarkEnd w:id="11"/>
      <w:bookmarkEnd w:id="12"/>
    </w:p>
    <w:p w14:paraId="7C0A9FAB" w14:textId="77777777" w:rsidR="00C55AFD" w:rsidRPr="003D6457" w:rsidRDefault="00C55AFD">
      <w:pPr>
        <w:pStyle w:val="Heading3"/>
        <w:rPr>
          <w:noProof/>
        </w:rPr>
      </w:pPr>
      <w:bookmarkStart w:id="13" w:name="_Toc348247861"/>
      <w:bookmarkStart w:id="14" w:name="_Toc348260983"/>
      <w:bookmarkStart w:id="15" w:name="_Toc348346849"/>
      <w:bookmarkStart w:id="16" w:name="_Toc536442054"/>
      <w:bookmarkStart w:id="17" w:name="_Toc1891057"/>
      <w:bookmarkStart w:id="18" w:name="_Toc29039285"/>
      <w:r w:rsidRPr="003D6457">
        <w:rPr>
          <w:noProof/>
        </w:rPr>
        <w:t>NMQ - Application Management Query Message</w:t>
      </w:r>
      <w:bookmarkEnd w:id="13"/>
      <w:bookmarkEnd w:id="14"/>
      <w:bookmarkEnd w:id="15"/>
      <w:r w:rsidRPr="003D6457">
        <w:rPr>
          <w:noProof/>
        </w:rPr>
        <w:t xml:space="preserve"> (Event N01)</w:t>
      </w:r>
      <w:bookmarkEnd w:id="16"/>
      <w:bookmarkEnd w:id="17"/>
      <w:bookmarkEnd w:id="18"/>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9" w:name="_Toc348247862"/>
      <w:bookmarkStart w:id="20" w:name="_Toc348260984"/>
      <w:bookmarkStart w:id="21" w:name="_Toc348346850"/>
      <w:bookmarkStart w:id="22" w:name="_Toc536442055"/>
      <w:bookmarkStart w:id="23" w:name="_Toc1891058"/>
      <w:bookmarkStart w:id="24" w:name="_Toc29039286"/>
      <w:r w:rsidRPr="003D6457">
        <w:rPr>
          <w:noProof/>
        </w:rPr>
        <w:t>NMD - Application Management Data Message</w:t>
      </w:r>
      <w:bookmarkEnd w:id="19"/>
      <w:bookmarkEnd w:id="20"/>
      <w:bookmarkEnd w:id="21"/>
      <w:r w:rsidRPr="003D6457">
        <w:rPr>
          <w:noProof/>
        </w:rPr>
        <w:t xml:space="preserve"> (Event N02)</w:t>
      </w:r>
      <w:bookmarkEnd w:id="22"/>
      <w:bookmarkEnd w:id="23"/>
      <w:bookmarkEnd w:id="24"/>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5" w:name="_Toc536442056"/>
      <w:bookmarkStart w:id="26" w:name="_Toc1891059"/>
      <w:bookmarkStart w:id="27" w:name="_Toc348247864"/>
      <w:bookmarkStart w:id="28" w:name="_Toc348260986"/>
      <w:bookmarkStart w:id="29"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30" w:name="_Toc29039287"/>
      <w:r>
        <w:rPr>
          <w:noProof/>
        </w:rPr>
        <w:t>M</w:t>
      </w:r>
      <w:r w:rsidR="00C55AFD" w:rsidRPr="003D6457">
        <w:rPr>
          <w:noProof/>
        </w:rPr>
        <w:t xml:space="preserve">essage </w:t>
      </w:r>
      <w:r>
        <w:rPr>
          <w:noProof/>
        </w:rPr>
        <w:t>S</w:t>
      </w:r>
      <w:r w:rsidR="00C55AFD" w:rsidRPr="003D6457">
        <w:rPr>
          <w:noProof/>
        </w:rPr>
        <w:t>egments</w:t>
      </w:r>
      <w:bookmarkEnd w:id="25"/>
      <w:bookmarkEnd w:id="26"/>
      <w:bookmarkEnd w:id="30"/>
    </w:p>
    <w:p w14:paraId="0CB54057" w14:textId="77777777" w:rsidR="00C55AFD" w:rsidRPr="003D6457" w:rsidRDefault="00C55AFD">
      <w:pPr>
        <w:pStyle w:val="Heading3"/>
        <w:rPr>
          <w:noProof/>
        </w:rPr>
      </w:pPr>
      <w:bookmarkStart w:id="31" w:name="_Toc536442057"/>
      <w:bookmarkStart w:id="32" w:name="_Toc1891060"/>
      <w:bookmarkStart w:id="33" w:name="_Toc29039288"/>
      <w:r w:rsidRPr="003D6457">
        <w:rPr>
          <w:noProof/>
        </w:rPr>
        <w:t xml:space="preserve">NCK </w:t>
      </w:r>
      <w:r w:rsidRPr="003D6457">
        <w:rPr>
          <w:noProof/>
        </w:rPr>
        <w:noBreakHyphen/>
        <w:t xml:space="preserve"> System Clock Segment</w:t>
      </w:r>
      <w:bookmarkEnd w:id="27"/>
      <w:bookmarkEnd w:id="28"/>
      <w:bookmarkEnd w:id="29"/>
      <w:bookmarkEnd w:id="31"/>
      <w:bookmarkEnd w:id="32"/>
      <w:bookmarkEnd w:id="33"/>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lastRenderedPageBreak/>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4" w:name="NCK"/>
      <w:bookmarkEnd w:id="34"/>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5" w:name="_Toc348247866"/>
      <w:bookmarkStart w:id="36" w:name="_Toc348260988"/>
      <w:bookmarkStart w:id="37" w:name="_Toc348346854"/>
      <w:bookmarkStart w:id="38" w:name="_Toc536442058"/>
      <w:bookmarkStart w:id="39" w:name="_Toc1891061"/>
      <w:bookmarkStart w:id="40" w:name="_Toc29039289"/>
      <w:r w:rsidRPr="003D6457">
        <w:rPr>
          <w:noProof/>
        </w:rPr>
        <w:t>NSC – Application Status Change Segment</w:t>
      </w:r>
      <w:bookmarkEnd w:id="35"/>
      <w:bookmarkEnd w:id="36"/>
      <w:bookmarkEnd w:id="37"/>
      <w:bookmarkEnd w:id="38"/>
      <w:bookmarkEnd w:id="39"/>
      <w:bookmarkEnd w:id="40"/>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lastRenderedPageBreak/>
        <w:t>HL7 Attribute Table – NSC</w:t>
      </w:r>
      <w:bookmarkStart w:id="41" w:name="NSC"/>
      <w:bookmarkEnd w:id="41"/>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2"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r>
            <w:r>
              <w:rPr>
                <w:rStyle w:val="HyperlinkTable"/>
                <w:rFonts w:cs="Arial"/>
                <w:noProof/>
              </w:rPr>
              <w:fldChar w:fldCharType="separate"/>
            </w:r>
            <w:r w:rsidR="00C55AFD" w:rsidRPr="003D6457">
              <w:rPr>
                <w:rStyle w:val="HyperlinkTable"/>
                <w:rFonts w:cs="Arial"/>
                <w:noProof/>
              </w:rPr>
              <w:t>0409</w:t>
            </w:r>
            <w:bookmarkEnd w:id="42"/>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000000"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000000">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000000"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000000"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3"/>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4" w:name="HL70333"/>
      <w:bookmarkEnd w:id="44"/>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5" w:name="HDComponent"/>
      <w:r>
        <w:t>Components:  &lt;Namespace ID (IS)&gt; ^ &lt;Universal ID (ST)&gt; ^ &lt;Universal ID Type (ID)&gt;</w:t>
      </w:r>
      <w:bookmarkEnd w:id="45"/>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 xml:space="preserve">User-defined Table 0362 – </w:t>
        </w:r>
        <w:r w:rsidRPr="003D6457">
          <w:rPr>
            <w:rStyle w:val="ReferenceUserTable"/>
          </w:rPr>
          <w:lastRenderedPageBreak/>
          <w:t>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6" w:name="_Toc348247865"/>
      <w:bookmarkStart w:id="47" w:name="_Toc348260987"/>
      <w:bookmarkStart w:id="48" w:name="_Toc348346853"/>
      <w:bookmarkStart w:id="49" w:name="_Toc536442059"/>
      <w:bookmarkStart w:id="50" w:name="_Toc1891062"/>
      <w:bookmarkStart w:id="51" w:name="_Toc29039290"/>
      <w:r w:rsidRPr="003D6457">
        <w:rPr>
          <w:noProof/>
        </w:rPr>
        <w:t>NST – Application Control-Level Statistics Segment</w:t>
      </w:r>
      <w:bookmarkEnd w:id="46"/>
      <w:bookmarkEnd w:id="47"/>
      <w:bookmarkEnd w:id="48"/>
      <w:bookmarkEnd w:id="49"/>
      <w:bookmarkEnd w:id="50"/>
      <w:bookmarkEnd w:id="51"/>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2" w:name="NST"/>
      <w:bookmarkEnd w:id="52"/>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000000">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000000">
            <w:pPr>
              <w:pStyle w:val="AttributeTableBody"/>
              <w:rPr>
                <w:rStyle w:val="HyperlinkTable"/>
                <w:rFonts w:cs="Arial"/>
                <w:noProof/>
              </w:rPr>
            </w:pPr>
            <w:hyperlink r:id="rId25" w:anchor="HL70332" w:history="1">
              <w:r w:rsidR="00C55AFD" w:rsidRPr="003D6457">
                <w:rPr>
                  <w:rStyle w:val="HyperlinkTable"/>
                  <w:rFonts w:cs="Arial"/>
                  <w:noProof/>
                </w:rPr>
                <w:t>03</w:t>
              </w:r>
              <w:bookmarkStart w:id="53" w:name="_Hlt496437087"/>
              <w:r w:rsidR="00C55AFD" w:rsidRPr="003D6457">
                <w:rPr>
                  <w:rStyle w:val="HyperlinkTable"/>
                  <w:rFonts w:cs="Arial"/>
                  <w:noProof/>
                </w:rPr>
                <w:t>3</w:t>
              </w:r>
              <w:bookmarkEnd w:id="53"/>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lastRenderedPageBreak/>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54" w:name="_Hlt536438781"/>
        <w:r w:rsidRPr="003D6457">
          <w:rPr>
            <w:rStyle w:val="HyperlinkText"/>
            <w:noProof/>
          </w:rPr>
          <w:t>2</w:t>
        </w:r>
        <w:bookmarkEnd w:id="54"/>
        <w:r w:rsidRPr="003D6457">
          <w:rPr>
            <w:rStyle w:val="HyperlinkText"/>
            <w:noProof/>
          </w:rPr>
          <w:t xml:space="preserve"> – Sou</w:t>
        </w:r>
        <w:bookmarkStart w:id="55" w:name="_Hlt602748"/>
        <w:r w:rsidRPr="003D6457">
          <w:rPr>
            <w:rStyle w:val="HyperlinkText"/>
            <w:noProof/>
          </w:rPr>
          <w:t>r</w:t>
        </w:r>
        <w:bookmarkEnd w:id="55"/>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6" w:name="HL70332"/>
      <w:bookmarkEnd w:id="56"/>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lastRenderedPageBreak/>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57" w:name="_Toc536442060"/>
      <w:bookmarkStart w:id="58" w:name="_Toc1891063"/>
      <w:bookmarkStart w:id="59" w:name="_Toc29039291"/>
      <w:r>
        <w:rPr>
          <w:noProof/>
        </w:rPr>
        <w:t>O</w:t>
      </w:r>
      <w:r w:rsidR="00C55AFD" w:rsidRPr="003D6457">
        <w:rPr>
          <w:noProof/>
        </w:rPr>
        <w:t xml:space="preserve">utstanding </w:t>
      </w:r>
      <w:r>
        <w:rPr>
          <w:noProof/>
        </w:rPr>
        <w:t>I</w:t>
      </w:r>
      <w:r w:rsidR="00C55AFD" w:rsidRPr="003D6457">
        <w:rPr>
          <w:noProof/>
        </w:rPr>
        <w:t>ssues</w:t>
      </w:r>
      <w:bookmarkEnd w:id="57"/>
      <w:bookmarkEnd w:id="58"/>
      <w:bookmarkEnd w:id="59"/>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04BA" w14:textId="77777777" w:rsidR="00A878C2" w:rsidRDefault="00A878C2">
      <w:r>
        <w:separator/>
      </w:r>
    </w:p>
  </w:endnote>
  <w:endnote w:type="continuationSeparator" w:id="0">
    <w:p w14:paraId="512B866D" w14:textId="77777777" w:rsidR="00A878C2" w:rsidRDefault="00A8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15AC" w14:textId="4B421B98"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t xml:space="preserve">Version </w:t>
    </w:r>
    <w:r w:rsidR="00000000">
      <w:fldChar w:fldCharType="begin"/>
    </w:r>
    <w:r w:rsidR="00000000">
      <w:instrText xml:space="preserve"> DOCPROPERTY release_version \* MERGEFORMAT </w:instrText>
    </w:r>
    <w:r w:rsidR="00000000">
      <w:fldChar w:fldCharType="separate"/>
    </w:r>
    <w:r w:rsidR="002D2249">
      <w:t>2.9.1</w:t>
    </w:r>
    <w:r w:rsidR="00000000">
      <w:fldChar w:fldCharType="end"/>
    </w:r>
  </w:p>
  <w:p w14:paraId="26BE6A5C" w14:textId="18FBEEBE" w:rsidR="001E10B4" w:rsidRPr="007941F9" w:rsidRDefault="007941F9" w:rsidP="007941F9">
    <w:pPr>
      <w:pStyle w:val="Footer"/>
    </w:pPr>
    <w:r>
      <w:t xml:space="preserve">© </w:t>
    </w:r>
    <w:r w:rsidR="00000000">
      <w:fldChar w:fldCharType="begin"/>
    </w:r>
    <w:r w:rsidR="00000000">
      <w:instrText xml:space="preserve"> DOCPROPERTY release_year \* MERGEFORMAT </w:instrText>
    </w:r>
    <w:r w:rsidR="00000000">
      <w:fldChar w:fldCharType="separate"/>
    </w:r>
    <w:r w:rsidR="002D2249">
      <w:t>2023</w:t>
    </w:r>
    <w:r w:rsidR="00000000">
      <w:fldChar w:fldCharType="end"/>
    </w:r>
    <w:r>
      <w:t xml:space="preserve"> Health Level Seven, International.  All rights reserved.</w:t>
    </w:r>
    <w:r>
      <w:tab/>
    </w:r>
    <w:r w:rsidR="00000000">
      <w:fldChar w:fldCharType="begin"/>
    </w:r>
    <w:r w:rsidR="00000000">
      <w:instrText xml:space="preserve"> DOCPROPERTY release_month\* MERGEFORMAT </w:instrText>
    </w:r>
    <w:r w:rsidR="00000000">
      <w:fldChar w:fldCharType="separate"/>
    </w:r>
    <w:r w:rsidR="002D2249">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2D2249">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2D2249">
      <w:t>Normative Ballot #2</w:t>
    </w:r>
    <w:r w:rsidR="0000000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DA2E" w14:textId="7037B323" w:rsidR="007941F9" w:rsidRDefault="007941F9" w:rsidP="007941F9">
    <w:pPr>
      <w:pStyle w:val="Footer"/>
    </w:pPr>
    <w:r>
      <w:t xml:space="preserve">Version </w:t>
    </w:r>
    <w:r w:rsidR="00000000">
      <w:fldChar w:fldCharType="begin"/>
    </w:r>
    <w:r w:rsidR="00000000">
      <w:instrText xml:space="preserve"> DOCPROPERTY release_version \* MERGEFORMAT </w:instrText>
    </w:r>
    <w:r w:rsidR="00000000">
      <w:fldChar w:fldCharType="separate"/>
    </w:r>
    <w:r w:rsidR="002D2249">
      <w:t>2.9.1</w:t>
    </w:r>
    <w:r w:rsidR="00000000">
      <w:fldChar w:fldCharType="end"/>
    </w:r>
    <w:r>
      <w:tab/>
      <w:t xml:space="preserve">Page </w:t>
    </w:r>
    <w:r>
      <w:fldChar w:fldCharType="begin"/>
    </w:r>
    <w:r>
      <w:instrText xml:space="preserve"> PAGE </w:instrText>
    </w:r>
    <w:r>
      <w:fldChar w:fldCharType="separate"/>
    </w:r>
    <w:r>
      <w:t>1</w:t>
    </w:r>
    <w:r>
      <w:fldChar w:fldCharType="end"/>
    </w:r>
  </w:p>
  <w:p w14:paraId="00B9B7A0" w14:textId="1402B5E9" w:rsidR="001E10B4" w:rsidRPr="007941F9" w:rsidRDefault="007941F9" w:rsidP="007941F9">
    <w:pPr>
      <w:pStyle w:val="Footer"/>
    </w:pPr>
    <w:r>
      <w:t xml:space="preserve">© </w:t>
    </w:r>
    <w:r w:rsidR="00000000">
      <w:fldChar w:fldCharType="begin"/>
    </w:r>
    <w:r w:rsidR="00000000">
      <w:instrText xml:space="preserve"> DOCPROPERTY release_year \* MERGEFORMAT </w:instrText>
    </w:r>
    <w:r w:rsidR="00000000">
      <w:fldChar w:fldCharType="separate"/>
    </w:r>
    <w:r w:rsidR="002D2249">
      <w:t>2023</w:t>
    </w:r>
    <w:r w:rsidR="00000000">
      <w:fldChar w:fldCharType="end"/>
    </w:r>
    <w:r>
      <w:t xml:space="preserve"> Health Level Seven, International.  All rights reserved.</w:t>
    </w:r>
    <w:r>
      <w:tab/>
    </w:r>
    <w:r w:rsidR="00000000">
      <w:fldChar w:fldCharType="begin"/>
    </w:r>
    <w:r w:rsidR="00000000">
      <w:instrText xml:space="preserve"> DOCPROPERTY release_month\* MERGEFORMAT </w:instrText>
    </w:r>
    <w:r w:rsidR="00000000">
      <w:fldChar w:fldCharType="separate"/>
    </w:r>
    <w:r w:rsidR="002D2249">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2D2249">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2D2249">
      <w:t>Normative Ballot #2</w:t>
    </w:r>
    <w:r w:rsidR="0000000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6E5" w14:textId="6424B0B9" w:rsidR="001E10B4" w:rsidRDefault="001E10B4" w:rsidP="0059125F">
    <w:pPr>
      <w:pStyle w:val="Footer"/>
    </w:pPr>
    <w:r>
      <w:t xml:space="preserve">Version </w:t>
    </w:r>
    <w:r w:rsidR="00000000">
      <w:fldChar w:fldCharType="begin"/>
    </w:r>
    <w:r w:rsidR="00000000">
      <w:instrText xml:space="preserve"> DOCPROPERTY release_version \* MERGEFORMAT </w:instrText>
    </w:r>
    <w:r w:rsidR="00000000">
      <w:fldChar w:fldCharType="separate"/>
    </w:r>
    <w:r w:rsidR="002D2249">
      <w:t>2.9.1</w:t>
    </w:r>
    <w:r w:rsidR="00000000">
      <w:fldChar w:fldCharType="end"/>
    </w:r>
    <w:r>
      <w:tab/>
      <w:t xml:space="preserve">Page </w:t>
    </w:r>
    <w:r>
      <w:fldChar w:fldCharType="begin"/>
    </w:r>
    <w:r>
      <w:instrText xml:space="preserve"> PAGE </w:instrText>
    </w:r>
    <w:r>
      <w:fldChar w:fldCharType="separate"/>
    </w:r>
    <w:r w:rsidR="00AB3097">
      <w:rPr>
        <w:noProof/>
      </w:rPr>
      <w:t>1</w:t>
    </w:r>
    <w:r>
      <w:fldChar w:fldCharType="end"/>
    </w:r>
  </w:p>
  <w:p w14:paraId="2A5765E3" w14:textId="470958AD" w:rsidR="001E10B4" w:rsidRDefault="007941F9" w:rsidP="0059125F">
    <w:pPr>
      <w:pStyle w:val="Footer"/>
    </w:pPr>
    <w:r>
      <w:t xml:space="preserve">© </w:t>
    </w:r>
    <w:r w:rsidR="00000000">
      <w:fldChar w:fldCharType="begin"/>
    </w:r>
    <w:r w:rsidR="00000000">
      <w:instrText xml:space="preserve"> DOCPROPERTY release_year \* MERGEFORMAT </w:instrText>
    </w:r>
    <w:r w:rsidR="00000000">
      <w:fldChar w:fldCharType="separate"/>
    </w:r>
    <w:r w:rsidR="002D2249">
      <w:t>2023</w:t>
    </w:r>
    <w:r w:rsidR="00000000">
      <w:fldChar w:fldCharType="end"/>
    </w:r>
    <w:r>
      <w:t xml:space="preserve"> Health Level Seven, International.  All rights reserved.</w:t>
    </w:r>
    <w:r w:rsidR="001E10B4">
      <w:tab/>
    </w:r>
    <w:r w:rsidR="00000000">
      <w:fldChar w:fldCharType="begin"/>
    </w:r>
    <w:r w:rsidR="00000000">
      <w:instrText xml:space="preserve"> DOCPROPERTY release_month\* MERGEFORMAT </w:instrText>
    </w:r>
    <w:r w:rsidR="00000000">
      <w:fldChar w:fldCharType="separate"/>
    </w:r>
    <w:r w:rsidR="002D2249">
      <w:t>September</w:t>
    </w:r>
    <w:r w:rsidR="00000000">
      <w:fldChar w:fldCharType="end"/>
    </w:r>
    <w:r w:rsidR="001E10B4">
      <w:t xml:space="preserve"> </w:t>
    </w:r>
    <w:r w:rsidR="00000000">
      <w:fldChar w:fldCharType="begin"/>
    </w:r>
    <w:r w:rsidR="00000000">
      <w:instrText xml:space="preserve"> DOCPROPERTY release_year \* MERGEFORMAT </w:instrText>
    </w:r>
    <w:r w:rsidR="00000000">
      <w:fldChar w:fldCharType="separate"/>
    </w:r>
    <w:r w:rsidR="002D2249">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2D2249">
      <w:t>Normative Ballot #2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1372" w14:textId="77777777" w:rsidR="00A878C2" w:rsidRDefault="00A878C2">
      <w:r>
        <w:separator/>
      </w:r>
    </w:p>
  </w:footnote>
  <w:footnote w:type="continuationSeparator" w:id="0">
    <w:p w14:paraId="7CB80B24" w14:textId="77777777" w:rsidR="00A878C2" w:rsidRDefault="00A87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3F80"/>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3B80"/>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4126"/>
    <w:rsid w:val="002C5068"/>
    <w:rsid w:val="002C577A"/>
    <w:rsid w:val="002C6188"/>
    <w:rsid w:val="002D015D"/>
    <w:rsid w:val="002D0578"/>
    <w:rsid w:val="002D12F9"/>
    <w:rsid w:val="002D1310"/>
    <w:rsid w:val="002D15A1"/>
    <w:rsid w:val="002D2249"/>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4AE9"/>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46F0A"/>
    <w:rsid w:val="006515C8"/>
    <w:rsid w:val="006516AF"/>
    <w:rsid w:val="006518A4"/>
    <w:rsid w:val="006521EA"/>
    <w:rsid w:val="00652DA8"/>
    <w:rsid w:val="006540C3"/>
    <w:rsid w:val="00655B62"/>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21"/>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878C2"/>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8F00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10" Type="http://schemas.openxmlformats.org/officeDocument/2006/relationships/hyperlink" Target="https://www.hl7.org/implement/standards/product_brief.cfm?product_id=516"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3121</Words>
  <Characters>16983</Characters>
  <Application>Microsoft Office Word</Application>
  <DocSecurity>0</DocSecurity>
  <Lines>771</Lines>
  <Paragraphs>574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19530</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Lynn Laakso</cp:lastModifiedBy>
  <cp:revision>3</cp:revision>
  <cp:lastPrinted>2022-09-09T19:23:00Z</cp:lastPrinted>
  <dcterms:created xsi:type="dcterms:W3CDTF">2023-07-31T19:42:00Z</dcterms:created>
  <dcterms:modified xsi:type="dcterms:W3CDTF">2023-07-31T19:42:00Z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