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0B2545"/>
          <w:sz w:val="40"/>
        </w:rPr>
        <w:t>企业需求与专家匹配评分体系说明</w:t>
      </w:r>
    </w:p>
    <w:p>
      <w:pPr>
        <w:jc w:val="center"/>
      </w:pPr>
      <w:r>
        <w:rPr>
          <w:rFonts w:ascii="Calibri" w:hAnsi="Calibri" w:eastAsia="微软雅黑"/>
          <w:color w:val="4B6380"/>
          <w:sz w:val="21"/>
        </w:rPr>
        <w:t>适用于科技成果转化平台需求库与专家库的一对一智能匹配、分层推荐与技术经理人介入判断</w:t>
      </w:r>
    </w:p>
    <w:p>
      <w:pPr>
        <w:pStyle w:val="Heading1"/>
      </w:pPr>
      <w:r>
        <w:t>一、建设目标</w:t>
      </w:r>
    </w:p>
    <w:p>
      <w:pPr>
        <w:spacing w:after="120" w:line="264" w:lineRule="auto"/>
      </w:pPr>
      <w:r>
        <w:rPr>
          <w:rFonts w:ascii="Calibri" w:hAnsi="Calibri" w:eastAsia="微软雅黑"/>
          <w:b w:val="0"/>
          <w:sz w:val="22"/>
        </w:rPr>
        <w:t>本体系用于在企业技术需求通过真实性评分后，进一步判断其与专家库中专家能力画像的匹配程度，形成可解释、可复核、可迭代的专家推荐结果。</w:t>
      </w:r>
    </w:p>
    <w:p>
      <w:pPr>
        <w:spacing w:after="120" w:line="264" w:lineRule="auto"/>
      </w:pPr>
      <w:r>
        <w:rPr>
          <w:rFonts w:ascii="Calibri" w:hAnsi="Calibri" w:eastAsia="微软雅黑"/>
          <w:b w:val="0"/>
          <w:sz w:val="22"/>
        </w:rPr>
        <w:t>平台不采用简单关键词命中作为唯一依据，而是综合技术领域、语义相似度、技术指标对应关系、专家研究成果、工程化经验、产业链适配度、需求真实性和复杂度等因素进行评分。</w:t>
      </w:r>
    </w:p>
    <w:p>
      <w:pPr>
        <w:spacing w:after="120" w:line="264" w:lineRule="auto"/>
      </w:pPr>
      <w:r>
        <w:rPr>
          <w:rFonts w:ascii="Calibri" w:hAnsi="Calibri" w:eastAsia="微软雅黑"/>
          <w:b w:val="0"/>
          <w:sz w:val="22"/>
        </w:rPr>
        <w:t>最终输出0—100分匹配分数、等级标签、推荐理由、风险提示和是否建议技术经理人介入。</w:t>
      </w:r>
    </w:p>
    <w:p>
      <w:pPr>
        <w:pStyle w:val="Heading1"/>
      </w:pPr>
      <w:r>
        <w:t>二、数据基础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数据对象</w:t>
            </w:r>
          </w:p>
        </w:tc>
        <w:tc>
          <w:tcPr>
            <w:tcW w:type="dxa" w:w="3888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主要字段</w:t>
            </w:r>
          </w:p>
        </w:tc>
        <w:tc>
          <w:tcPr>
            <w:tcW w:type="dxa" w:w="3744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用于匹配的核心信息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企业需求库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需求名称、企业名称、技术领域、需求详情、技术指标、技术难题、现有基础、预算、地区、有效期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识别企业真实痛点、技术指标、攻关边界、实施基础和预算投入意愿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专家库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专家名称、专业特长、战略性新兴产业分类、研究方向、所属单位、职务职称、工作业绩、相关研究成果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形成专家能力画像，判断其是否具备解决该类技术问题的专业基础和成果支撑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辅助数据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成果库、政策库、产业链词库、专家评分样本、历史撮合记录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用于训练语义模型、校准评分权重、补充产业链和成果转化判断</w:t>
            </w:r>
          </w:p>
        </w:tc>
      </w:tr>
    </w:tbl>
    <w:p/>
    <w:p>
      <w:pPr>
        <w:pStyle w:val="Heading1"/>
      </w:pPr>
      <w:r>
        <w:t>三、匹配流程</w:t>
      </w:r>
    </w:p>
    <w:p>
      <w:pPr>
        <w:spacing w:after="120" w:line="264" w:lineRule="auto"/>
      </w:pPr>
      <w:r>
        <w:rPr>
          <w:rFonts w:ascii="Calibri" w:hAnsi="Calibri" w:eastAsia="微软雅黑"/>
          <w:b w:val="0"/>
          <w:sz w:val="22"/>
        </w:rPr>
        <w:t>第一步：真实性前置筛查。企业需求真实性低于60分的，不进入自动专家推荐，先退回补充、人工复核或由技术经理人访谈澄清。</w:t>
      </w:r>
    </w:p>
    <w:p>
      <w:pPr>
        <w:spacing w:after="120" w:line="264" w:lineRule="auto"/>
      </w:pPr>
      <w:r>
        <w:rPr>
          <w:rFonts w:ascii="Calibri" w:hAnsi="Calibri" w:eastAsia="微软雅黑"/>
          <w:b w:val="0"/>
          <w:sz w:val="22"/>
        </w:rPr>
        <w:t>第二步：专家候选召回。根据技术领域、产业分类、关键词、研究方向和专业特长，先从专家库中召回一批可能相关专家。</w:t>
      </w:r>
    </w:p>
    <w:p>
      <w:pPr>
        <w:spacing w:after="120" w:line="264" w:lineRule="auto"/>
      </w:pPr>
      <w:r>
        <w:rPr>
          <w:rFonts w:ascii="Calibri" w:hAnsi="Calibri" w:eastAsia="微软雅黑"/>
          <w:b w:val="0"/>
          <w:sz w:val="22"/>
        </w:rPr>
        <w:t>第三步：多维度精排打分。对候选专家计算综合匹配分，并生成推荐理由和风险标签。</w:t>
      </w:r>
    </w:p>
    <w:p>
      <w:pPr>
        <w:spacing w:after="120" w:line="264" w:lineRule="auto"/>
      </w:pPr>
      <w:r>
        <w:rPr>
          <w:rFonts w:ascii="Calibri" w:hAnsi="Calibri" w:eastAsia="微软雅黑"/>
          <w:b w:val="0"/>
          <w:sz w:val="22"/>
        </w:rPr>
        <w:t>第四步：复杂项目路由。匹配分较高但技术指标复杂、预算较高、涉及中试/知识产权/质量责任的项目，建议技术经理人介入撮合。</w:t>
      </w:r>
    </w:p>
    <w:p>
      <w:pPr>
        <w:spacing w:after="120" w:line="264" w:lineRule="auto"/>
      </w:pPr>
      <w:r>
        <w:rPr>
          <w:rFonts w:ascii="Calibri" w:hAnsi="Calibri" w:eastAsia="微软雅黑"/>
          <w:b w:val="0"/>
          <w:sz w:val="22"/>
        </w:rPr>
        <w:t>第五步：结果反馈学习。将专家确认、企业反馈、磋商结果、签约结果回流，用于持续优化权重和语义模型。</w:t>
      </w:r>
    </w:p>
    <w:p>
      <w:pPr>
        <w:pStyle w:val="Heading1"/>
      </w:pPr>
      <w:r>
        <w:t>四、百分制评分维度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44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评分维度</w:t>
            </w:r>
          </w:p>
        </w:tc>
        <w:tc>
          <w:tcPr>
            <w:tcW w:type="dxa" w:w="792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分值</w:t>
            </w:r>
          </w:p>
        </w:tc>
        <w:tc>
          <w:tcPr>
            <w:tcW w:type="dxa" w:w="2232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评价重点</w:t>
            </w:r>
          </w:p>
        </w:tc>
        <w:tc>
          <w:tcPr>
            <w:tcW w:type="dxa" w:w="2232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高分表现</w:t>
            </w:r>
          </w:p>
        </w:tc>
        <w:tc>
          <w:tcPr>
            <w:tcW w:type="dxa" w:w="2160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低分风险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技术领域与产业链适配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20分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需求技术领域与专家产业分类、研究方向、专业类别是否一致或相邻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同属先进制造、新材料、生物医药等方向，且处在同一产业链环节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领域跨度过大，仅有泛泛相关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语义相似度与专业概念匹配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20分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通过AI语义模型识别专业词、同义词、上下游概念和隐含技术关系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即使字面不完全相同，也能识别材料、工艺、装备、算法等专业关联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仅有少量普通词重合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技术指标与专家能力对应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20分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需求中的性能指标、工艺指标、检测指标是否能对应专家专长和成果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专家研究方向可解释关键指标，如强度、耐腐蚀、良率、准确率、寿命等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专家方向宽泛，无法对应具体指标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专家成果与项目支撑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15分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专家是否有论文、专利、项目、平台、工程案例或成果转化经历支撑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有相关课题、成果、专利、实验平台或中试经验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只有学科方向相近，缺少可验证成果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工程化与转化适配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10分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专家能力是否能支撑样件、中试、量产、检测、标准、认证等转化环节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具备工程化、产业化或联合研发经验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偏基础研究，短期难以对接企业场景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地域与协作可达性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5分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专家所在地区、合作网络和长三角协作便利性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具备长三角或线上线下协作条件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协作成本较高但不作为硬性排除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需求真实性与复杂度校正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10分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结合需求真实性评分和技术复杂度进行校正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真实需求、指标清楚、复杂度高且需要专家深度介入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需求真实性不足或需求本身更适合成熟采购</w:t>
            </w:r>
          </w:p>
        </w:tc>
      </w:tr>
    </w:tbl>
    <w:p/>
    <w:p>
      <w:pPr>
        <w:pStyle w:val="Heading1"/>
      </w:pPr>
      <w:r>
        <w:t>五、分数等级与处置规则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1296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分数区间</w:t>
            </w:r>
          </w:p>
        </w:tc>
        <w:tc>
          <w:tcPr>
            <w:tcW w:type="dxa" w:w="3168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888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平台处置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90—100分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超级高匹配。专家方向、成果、指标和转化能力高度一致。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列入重点撮合，优先发起双方智能体磋商，并建议形成转化撮合报告。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80—89分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匹配很高。具备明确专业相关性和较强成果支撑。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优先推荐给企业，可进入一对一预沟通，必要时拉入技术经理人。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70—79分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匹配较高。方向相关，但部分指标、成果或工程化能力需确认。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推荐进入第一轮预沟通，由智能体补充追问。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60—69分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匹配凑合。可能存在相邻领域专家或间接相关专家。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作为备选专家，不宜直接作为首推，建议补充访谈后再判断。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D级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0—59分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匹配不足。领域、语义或能力支撑较弱。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不进入自动推荐，除非人工指定或作为跨界咨询专家。</w:t>
            </w:r>
          </w:p>
        </w:tc>
      </w:tr>
    </w:tbl>
    <w:p/>
    <w:p>
      <w:pPr>
        <w:pStyle w:val="Heading1"/>
      </w:pPr>
      <w:r>
        <w:t>六、技术经理人介入规则</w:t>
      </w:r>
    </w:p>
    <w:p>
      <w:pPr>
        <w:spacing w:after="120" w:line="264" w:lineRule="auto"/>
      </w:pPr>
      <w:r>
        <w:rPr>
          <w:rFonts w:ascii="Calibri" w:hAnsi="Calibri" w:eastAsia="微软雅黑"/>
          <w:b w:val="0"/>
          <w:sz w:val="22"/>
        </w:rPr>
        <w:t>专家匹配并不等于项目可以直接成交。以下情形即使匹配分较高，也建议由技术经理人介入，负责澄清边界、组织磋商、控制风险。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3456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判断依据</w:t>
            </w:r>
          </w:p>
        </w:tc>
        <w:tc>
          <w:tcPr>
            <w:tcW w:type="dxa" w:w="3744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技术经理人任务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复杂研发项目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技术指标多、涉及中试、样件、批量稳定性、质量责任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拆解攻关任务，形成里程碑、验收指标和样件验证计划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高预算或股权/长期合作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预算较高、合作方式涉及股权投资、长期供应或联合开发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协助谈判合作模式、报价、投入边界和责任分配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知识产权或合规风险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涉及专利、认证、标准、临床、军工、适航等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组织专利检索、合规审查和保密协议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专家匹配高但企业需求不够清晰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匹配分高，但需求真实性仅60—70分或指标不完整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访谈企业，补充技术指标和真实场景后再正式对接</w:t>
            </w:r>
          </w:p>
        </w:tc>
      </w:tr>
    </w:tbl>
    <w:p/>
    <w:p>
      <w:pPr>
        <w:pStyle w:val="Heading1"/>
      </w:pPr>
      <w:r>
        <w:t>七、算法实现建议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024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4608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规则筛选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字段完整性、领域一致性、硬门槛过滤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快速排除低真实性需求和明显不相关专家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关键词模型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TF-IDF、BM25、专业词典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识别直接词面相关，如农业大棚塑料—高强度棚膜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语义模型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中文向量模型/大模型Embedding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识别字面不同但专业相关的需求，如铝合金强韧化—微合金化材料专家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AI复核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大模型重排序与理由生成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对Top候选专家生成推荐理由、风险提示和下一轮追问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人工校准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专家评分、历史撮合结果、技术经理人反馈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持续调整权重，提升科学性和可信度</w:t>
            </w:r>
          </w:p>
        </w:tc>
      </w:tr>
    </w:tbl>
    <w:p/>
    <w:p>
      <w:pPr>
        <w:pStyle w:val="Heading1"/>
      </w:pPr>
      <w:r>
        <w:t>八、评分公式示意</w:t>
      </w:r>
    </w:p>
    <w:p>
      <w:pPr>
        <w:spacing w:after="120" w:line="264" w:lineRule="auto"/>
      </w:pPr>
      <w:r>
        <w:rPr>
          <w:rFonts w:ascii="Calibri" w:hAnsi="Calibri" w:eastAsia="微软雅黑"/>
          <w:b w:val="0"/>
          <w:sz w:val="22"/>
        </w:rPr>
        <w:t>专家匹配综合分 = 领域产业链适配20% + 语义相似度20% + 技术指标对应20% + 专家成果支撑15% + 工程化转化适配10% + 地域协作5% + 需求真实性与复杂度校正10%。</w:t>
      </w:r>
    </w:p>
    <w:p>
      <w:pPr>
        <w:spacing w:after="120" w:line="264" w:lineRule="auto"/>
      </w:pPr>
      <w:r>
        <w:rPr>
          <w:rFonts w:ascii="Calibri" w:hAnsi="Calibri" w:eastAsia="微软雅黑"/>
          <w:b w:val="0"/>
          <w:sz w:val="22"/>
        </w:rPr>
        <w:t>其中，需求真实性低于60分时不建议进入自动匹配；真实性为60—79分时可以匹配但需补充材料；真实性80分以上可进入优先推荐。</w:t>
      </w:r>
    </w:p>
    <w:p>
      <w:pPr>
        <w:pStyle w:val="Heading1"/>
      </w:pPr>
      <w:r>
        <w:t>九、输出结果样式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输出项</w:t>
            </w:r>
          </w:p>
        </w:tc>
        <w:tc>
          <w:tcPr>
            <w:tcW w:type="dxa" w:w="7488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匹配分数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86分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等级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A级：匹配很高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推荐理由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专家研究方向覆盖高强铝合金、材料组织调控和耐腐蚀性能，与企业需求中的抗拉强度、盐雾试验和焊接性能指标高度对应。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风险提示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仍需确认专家是否具备中试放大和结构件焊接工艺经验。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推荐动作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建议发起专家智能体预沟通，并拉入技术经理人确认样件、NDA、报价和里程碑。</w:t>
            </w:r>
          </w:p>
        </w:tc>
      </w:tr>
    </w:tbl>
    <w:p/>
    <w:p>
      <w:pPr>
        <w:pStyle w:val="Heading1"/>
      </w:pPr>
      <w:r>
        <w:t>十、对外汇报表述</w:t>
      </w:r>
    </w:p>
    <w:p>
      <w:pPr>
        <w:spacing w:after="120" w:line="264" w:lineRule="auto"/>
      </w:pPr>
      <w:r>
        <w:rPr>
          <w:rFonts w:ascii="Calibri" w:hAnsi="Calibri" w:eastAsia="微软雅黑"/>
          <w:b w:val="0"/>
          <w:sz w:val="22"/>
        </w:rPr>
        <w:t>该匹配体系的核心不是把专家库简单搜索一遍，而是把企业需求转化为结构化技术画像，再与专家的研究方向、专业特长、成果支撑和工程化能力进行多维度比对。平台既能识别高强相关的直接匹配，也能通过AI语义模型发现字面不相同但技术上高度相关的潜在专家。对于复杂项目，系统不会简单推送专家，而是建议技术经理人介入，形成“需求识别—专家匹配—智能体磋商—经理人撮合—转化报告”的闭环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