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企业需求真实性评分算法说明</w:t>
      </w:r>
    </w:p>
    <w:p>
      <w:pPr>
        <w:jc w:val="center"/>
      </w:pPr>
      <w:r>
        <w:rPr>
          <w:rFonts w:ascii="楷体" w:hAnsi="楷体" w:eastAsia="楷体"/>
          <w:b w:val="0"/>
          <w:color w:val="435B7A"/>
          <w:sz w:val="26"/>
        </w:rPr>
        <w:t>适用于科技成果转化平台管理后台“需求管理”模块</w:t>
      </w:r>
    </w:p>
    <w:p>
      <w:pPr>
        <w:pStyle w:val="Heading1"/>
      </w:pPr>
      <w:r>
        <w:t>一、算法定位</w:t>
      </w:r>
    </w:p>
    <w:p>
      <w:pPr>
        <w:spacing w:line="324" w:lineRule="auto" w:after="80"/>
        <w:ind w:firstLine="480"/>
      </w:pPr>
      <w:r>
        <w:rPr>
          <w:rFonts w:ascii="仿宋" w:hAnsi="仿宋" w:eastAsia="仿宋"/>
          <w:b w:val="0"/>
          <w:sz w:val="24"/>
        </w:rPr>
        <w:t>本评分算法用于对企业技术需求进行入库前初筛和管理员复核辅助。算法输出0—100分，低于60分判定为“虚假需求/高风险需求”，进入补证、访谈或暂缓入库流程；60分及以上可进入匹配，但仍需根据项目重要性进行人工核验。</w:t>
      </w:r>
    </w:p>
    <w:p>
      <w:pPr>
        <w:spacing w:line="324" w:lineRule="auto" w:after="80"/>
        <w:ind w:firstLine="480"/>
      </w:pPr>
      <w:r>
        <w:rPr>
          <w:rFonts w:ascii="仿宋" w:hAnsi="仿宋" w:eastAsia="仿宋"/>
          <w:b w:val="0"/>
          <w:sz w:val="24"/>
        </w:rPr>
        <w:t>本算法不是简单按字数打分，而是参考科技项目尽调、企业需求访谈和成果转化撮合流程，把“主体是否真实、问题是否具体、指标是否可验、产业是否相关、基础是否具备、文本是否一致”作为核心判断依据。</w:t>
      </w:r>
    </w:p>
    <w:p>
      <w:pPr>
        <w:pStyle w:val="Heading1"/>
      </w:pPr>
      <w:r>
        <w:t>二、优化后的六维评分模型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维度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权重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判断重点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设置理由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企业主体可信度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15分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企业名称、单位性质、地区、联系人、是否企业本体而非平台代填。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真实主体是需求真实性的第一前提。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需求问题明确度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15分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是否说清技术痛点、瓶颈、升级目标、替代对象或质量/效率问题；字数只作为辅助信号。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避免“为填表而填表”的空泛描述。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技术指标可验证性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20分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是否有数值、单位、阈值、验收口径、性能边界和成本/质量指标。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能否匹配专家和验收成果，关键取决于指标可验证。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产业/主营相关性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15分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需求与技术领域、产业关键词、企业业务和成果库方向是否一致。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防止跨领域乱填、泛化需求和低质量撮合。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实施基础与转化可行性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20分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是否有产线、设备、样件、数据、预算、合作方式、试点或采购计划。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真实需求通常伴随实施条件和转化意愿。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逻辑一致性与风险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15分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预算、基础、指标、合作意愿是否前后一致，是否存在明显冲突。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识别拼接文本、敷衍填报和口径矛盾。</w:t>
            </w:r>
          </w:p>
        </w:tc>
      </w:tr>
    </w:tbl>
    <w:p>
      <w:pPr>
        <w:pStyle w:val="Heading1"/>
      </w:pPr>
      <w:r>
        <w:t>三、判定口径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分数区间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判定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标签</w:t>
            </w:r>
          </w:p>
        </w:tc>
        <w:tc>
          <w:tcPr>
            <w:tcW w:type="dxa" w:w="232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183B66"/>
                <w:sz w:val="21"/>
              </w:rPr>
              <w:t>处置建议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80—100分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真实需求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高可信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优先推荐专家、成果和技术经理人，进入快速撮合。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60—79分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真实需求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基本可信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允许进入匹配，但建议电话访谈或补充附件后推进。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40—59分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虚假/高风险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疑似虚假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暂不直接撮合，要求补充企业证明、指标、预算依据和现场基础。</w:t>
            </w:r>
          </w:p>
        </w:tc>
      </w:tr>
      <w:tr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0—39分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虚假/高风险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暂缓入库</w:t>
            </w:r>
          </w:p>
        </w:tc>
        <w:tc>
          <w:tcPr>
            <w:tcW w:type="dxa" w:w="2323"/>
            <w:vAlign w:val="center"/>
          </w:tcPr>
          <w:p>
            <w:pPr>
              <w:jc w:val="left"/>
            </w:pPr>
            <w:r/>
            <w:r>
              <w:rPr>
                <w:rFonts w:ascii="仿宋" w:hAnsi="仿宋" w:eastAsia="仿宋"/>
                <w:b w:val="0"/>
                <w:sz w:val="21"/>
              </w:rPr>
              <w:t>退回或人工核查，原则上不进入专家推荐。</w:t>
            </w:r>
          </w:p>
        </w:tc>
      </w:tr>
    </w:tbl>
    <w:p>
      <w:pPr>
        <w:pStyle w:val="Heading1"/>
      </w:pPr>
      <w:r>
        <w:t>四、各维度细则</w:t>
      </w:r>
    </w:p>
    <w:p>
      <w:pPr>
        <w:pStyle w:val="Heading2"/>
      </w:pPr>
      <w:r>
        <w:t>（一）企业主体可信度，15分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企业名称明确且不是“平台、协会、服务中心、产业园、代理企业”等代填主体，最高6分。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企业名称或单位性质体现公司、集团、工厂、民营、国有、高新等真实经营主体属性，最高5分。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提供联系人、地区等基础信息，最高4分。</w:t>
      </w:r>
    </w:p>
    <w:p>
      <w:pPr>
        <w:pStyle w:val="Heading2"/>
      </w:pPr>
      <w:r>
        <w:t>（二）需求问题明确度，15分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需求名称明确、非空泛表述，最高2分。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需求详情能说明应用对象、痛点、升级目标或替代对象，最高3分。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拟解决技术难题不少于25字且非“待定、先进水平、越高越好”等表达，最高4分。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文本信息量达到合理长度，最高5分；但字数只作为辅助，不鼓励堆砌文字。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出现痛点、瓶颈、替代、升级、降本、提质、稳定、国产化、规模化等真实问题词，最高1分。</w:t>
      </w:r>
    </w:p>
    <w:p>
      <w:pPr>
        <w:pStyle w:val="Heading2"/>
      </w:pPr>
      <w:r>
        <w:t>（三）技术指标可验证性，20分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包含3个及以上数值、单位或阈值，或出现MPa、%、小时、吨、准确率、良率、能耗等量化词，最高9分。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包含验收、寿命、误报率、响应时间、强度、盐雾、焊接、去除率等可检测指标，最高6分。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指标描述不少于35字且不是面议、待定、根据需要等空泛表达，最高5分。</w:t>
      </w:r>
    </w:p>
    <w:p>
      <w:pPr>
        <w:pStyle w:val="Heading2"/>
      </w:pPr>
      <w:r>
        <w:t>（四）产业/主营相关性，15分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技术领域、关键词、需求名称或详情与新材料、人工智能、现代农业、生物医药、电子信息、新能源、高端装备、智能制造等产业词匹配，最高12分。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需求详情能呼应所选技术领域，最高3分。</w:t>
      </w:r>
    </w:p>
    <w:p>
      <w:pPr>
        <w:pStyle w:val="Heading2"/>
      </w:pPr>
      <w:r>
        <w:t>（五）实施基础与转化可行性，20分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需求中出现生产、产品、工艺、产线、客户、采购、验证、交付、质量、供应链等真实场景，最高5分。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现有基础包含设备、车间、实验室、中试、样件、订单、专利、数据等，最高5分。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预算金额可量化，最高4分。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合作方式明确，最高3分。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有效期、更新时间、来源、样件/测试/试点/订单等推进条件明确，最高3分。</w:t>
      </w:r>
    </w:p>
    <w:p>
      <w:pPr>
        <w:pStyle w:val="Heading2"/>
      </w:pPr>
      <w:r>
        <w:t>（六）逻辑一致性与风险，15分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基础分15分。若出现“无预算”但又填写大额预算、“暂无基础”但又描述产线设备、“指标待定”但又列出验收指标、“仅咨询”但又写采购或联合开发等冲突，每类扣5分。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预算超过5亿元但企业主体未体现大型、集团、上市、央企或国企属性，扣3分并标记预算风险。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需求名称、领域、详情和指标明显不一致时扣2分。</w:t>
      </w:r>
    </w:p>
    <w:p>
      <w:pPr>
        <w:pStyle w:val="Heading1"/>
      </w:pPr>
      <w:r>
        <w:t>五、为什么比原六维更科学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把“字数”降级为辅助信号，避免企业为了拿高分堆砌文字。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把“企业相关”升级为“企业主体可信度”，更适合管理员判断是否由真实企业提出。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把“真实需求场景”细化为“实施基础与转化可行性”，把预算、样件、产线、试点和合作方式纳入同一可执行性判断。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保留技术指标20分的最高权重，因为成果转化能否匹配和验收，最依赖可验证指标。</w:t>
      </w:r>
    </w:p>
    <w:p>
      <w:pPr>
        <w:spacing w:line="312" w:lineRule="auto"/>
        <w:ind w:left="360" w:hanging="360"/>
      </w:pPr>
      <w:r>
        <w:rPr>
          <w:rFonts w:ascii="仿宋" w:hAnsi="仿宋" w:eastAsia="仿宋"/>
          <w:b w:val="0"/>
          <w:sz w:val="24"/>
        </w:rPr>
        <w:t>· 保留逻辑一致性风险项，用于识别拼接文本、政策应付型填报和前后矛盾需求。</w:t>
      </w:r>
    </w:p>
    <w:p>
      <w:pPr>
        <w:pStyle w:val="Heading1"/>
      </w:pPr>
      <w:r>
        <w:t>六、演示样例</w:t>
      </w:r>
    </w:p>
    <w:p>
      <w:pPr>
        <w:spacing w:line="324" w:lineRule="auto" w:after="80"/>
        <w:ind w:firstLine="480"/>
      </w:pPr>
      <w:r>
        <w:rPr>
          <w:rFonts w:ascii="仿宋" w:hAnsi="仿宋" w:eastAsia="仿宋"/>
          <w:b w:val="0"/>
          <w:sz w:val="24"/>
        </w:rPr>
        <w:t>高可信样例：无人装备企业提出近海环境高强耐腐蚀铝合金材料需求，列明抗拉强度≥450MPa、盐雾1000小时、年用量约200吨、已有无人机/无人艇平台验证场景和年度采购预算。该需求在主体、问题、指标、场景和实施基础维度得分较高，可优先进入专家匹配。</w:t>
      </w:r>
    </w:p>
    <w:p>
      <w:pPr>
        <w:spacing w:line="324" w:lineRule="auto" w:after="80"/>
        <w:ind w:firstLine="480"/>
      </w:pPr>
      <w:r>
        <w:rPr>
          <w:rFonts w:ascii="仿宋" w:hAnsi="仿宋" w:eastAsia="仿宋"/>
          <w:b w:val="0"/>
          <w:sz w:val="24"/>
        </w:rPr>
        <w:t>低可信样例：某单位填写“需要先进技术，预算面议，指标待定，合作方式看情况”，未说明企业主体、现有基础、产线问题、验收指标和预算来源。该需求应低于60分，进入补证或暂缓入库。</w:t>
      </w:r>
    </w:p>
    <w:p>
      <w:pPr>
        <w:jc w:val="right"/>
      </w:pPr>
      <w:r>
        <w:rPr>
          <w:rFonts w:ascii="仿宋" w:hAnsi="仿宋" w:eastAsia="仿宋"/>
          <w:b w:val="0"/>
          <w:color w:val="5A6E87"/>
          <w:sz w:val="22"/>
        </w:rPr>
        <w:t>科技成果转化平台演示版</w:t>
        <w:br/>
        <w:t>2026年6月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仿宋" w:hAnsi="仿宋" w:eastAsia="仿宋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楷体" w:hAnsi="楷体" w:eastAsia="楷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仿宋" w:hAnsi="仿宋" w:eastAsia="仿宋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仿宋" w:hAnsi="仿宋" w:eastAsia="仿宋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仿宋" w:hAnsi="仿宋" w:eastAsia="仿宋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仿宋" w:hAnsi="仿宋" w:eastAsia="仿宋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仿宋" w:hAnsi="仿宋" w:eastAsia="仿宋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仿宋" w:hAnsi="仿宋" w:eastAsia="仿宋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仿宋" w:hAnsi="仿宋" w:eastAsia="仿宋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仿宋" w:hAnsi="仿宋" w:eastAsia="仿宋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仿宋" w:hAnsi="仿宋" w:eastAsia="仿宋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仿宋" w:hAnsi="仿宋" w:eastAsia="仿宋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仿宋" w:hAnsi="仿宋" w:eastAsia="仿宋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仿宋" w:hAnsi="仿宋" w:eastAsia="仿宋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仿宋" w:hAnsi="仿宋" w:eastAsia="仿宋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仿宋" w:hAnsi="仿宋" w:eastAsia="仿宋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仿宋" w:hAnsi="仿宋" w:eastAsia="仿宋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仿宋" w:hAnsi="仿宋" w:eastAsia="仿宋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" w:hAnsi="仿宋" w:eastAsia="仿宋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仿宋" w:hAnsi="仿宋" w:eastAsia="仿宋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仿宋" w:hAnsi="仿宋" w:eastAsia="仿宋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仿宋" w:hAnsi="仿宋" w:eastAsia="仿宋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仿宋" w:hAnsi="仿宋" w:eastAsia="仿宋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仿宋" w:hAnsi="仿宋" w:eastAsia="仿宋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仿宋" w:hAnsi="仿宋" w:eastAsia="仿宋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仿宋" w:hAnsi="仿宋" w:eastAsia="仿宋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仿宋" w:hAnsi="仿宋" w:eastAsia="仿宋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仿宋" w:hAnsi="仿宋" w:eastAsia="仿宋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