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rFonts w:ascii="Arial" w:cs="Arial" w:eastAsia="Arial" w:hAnsi="Arial"/>
          <w:b/>
          <w:bCs/>
          <w:color w:val="2160CC"/>
          <w:spacing w:val="40"/>
          <w:sz w:val="22"/>
          <w:szCs w:val="22"/>
        </w:rPr>
        <w:t xml:space="preserve">COTIZACIÓN DE SOFTWARE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1B2D"/>
          <w:sz w:val="56"/>
          <w:szCs w:val="56"/>
        </w:rPr>
        <w:t xml:space="preserve">Sistema de Gestión Clínica</w:t>
      </w:r>
    </w:p>
    <w:p>
      <w:pPr>
        <w:pBdr>
          <w:bottom w:val="single" w:color="2160CC" w:sz="18" w:space="8"/>
        </w:pBdr>
        <w:spacing w:after="600"/>
      </w:pPr>
      <w:r>
        <w:rPr>
          <w:rFonts w:ascii="Arial" w:cs="Arial" w:eastAsia="Arial" w:hAnsi="Arial"/>
          <w:color w:val="1A3D80"/>
          <w:sz w:val="34"/>
          <w:szCs w:val="34"/>
        </w:rPr>
        <w:t xml:space="preserve">Clínica Médica Pasión por la Vida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 w:val="off"/>
        </w:trPr>
        <w:tc>
          <w:tcPr>
            <w:tcW w:type="dxa" w:w="30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No. de cotización</w:t>
            </w:r>
          </w:p>
        </w:tc>
        <w:tc>
          <w:tcPr>
            <w:tcW w:type="dxa" w:w="63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CMPV-2026-001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27 de octubre de 2026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Cliente</w:t>
            </w:r>
          </w:p>
        </w:tc>
        <w:tc>
          <w:tcPr>
            <w:tcW w:type="dxa" w:w="63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Clínica Médica Pasión por la Vida — Dra. Delia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Proyecto</w:t>
            </w:r>
          </w:p>
        </w:tc>
        <w:tc>
          <w:tcPr>
            <w:tcW w:type="dxa" w:w="63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Aplicación web SPA de expedientes, laboratorio, agenda y caja (Fase 1)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Validez de la oferta</w:t>
            </w:r>
          </w:p>
        </w:tc>
        <w:tc>
          <w:tcPr>
            <w:tcW w:type="dxa" w:w="63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 días calendario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Moneda</w:t>
            </w:r>
          </w:p>
        </w:tc>
        <w:tc>
          <w:tcPr>
            <w:tcW w:type="dxa" w:w="63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Quetzales (GTQ)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D80"/>
                <w:sz w:val="19"/>
                <w:szCs w:val="19"/>
              </w:rPr>
              <w:t xml:space="preserve">Inversión total</w:t>
            </w:r>
          </w:p>
        </w:tc>
        <w:tc>
          <w:tcPr>
            <w:tcW w:type="dxa" w:w="63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D80"/>
                <w:sz w:val="19"/>
                <w:szCs w:val="19"/>
              </w:rPr>
              <w:t xml:space="preserve">Q 8,000.00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160CC"/>
          <w:sz w:val="30"/>
          <w:szCs w:val="30"/>
        </w:rPr>
        <w:t xml:space="preserve">1. Resumen ejecutivo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Se presenta la cotización para el desarrollo e implementación de un sistema web de gestión clínica para la Clínica Médica Pasión por la Vida. El sistema digitaliza el flujo completo de atención: registro del paciente en recepción, ficha clínica de la primera consulta, seguimiento de cada visita posterior, hoja de referencia, órdenes y cobros de laboratorio, cotizaciones y agenda de citas.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La solución se entrega como una aplicación de una sola página (SPA), accesible desde cualquier navegador moderno, con un diseño limpio inspirado en el software de Apple, en colores blanco y azul institucional (#2160CC), interacciones suaves y una base de datos PostgreSQL en la nube.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Inversión total: Q 8,000.00 </w:t>
      </w:r>
      <w:r>
        <w:rPr>
          <w:rFonts w:ascii="Arial" w:cs="Arial" w:eastAsia="Arial" w:hAnsi="Arial"/>
          <w:sz w:val="21"/>
          <w:szCs w:val="21"/>
        </w:rPr>
        <w:t xml:space="preserve">(Q 6,000.00 por el software y Q 2,000.00 por equipo, redes, infraestructura y puesta en marcha).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160CC"/>
          <w:sz w:val="30"/>
          <w:szCs w:val="30"/>
        </w:rPr>
        <w:t xml:space="preserve">2. Flujo de trabajo cubierto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Recepción: </w:t>
      </w:r>
      <w:r>
        <w:rPr>
          <w:rFonts w:ascii="Arial" w:cs="Arial" w:eastAsia="Arial" w:hAnsi="Arial"/>
          <w:sz w:val="21"/>
          <w:szCs w:val="21"/>
        </w:rPr>
        <w:t xml:space="preserve">todo paciente pasa primero por recepción, donde se registran o consultan sus datos generales.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Consulta médica: </w:t>
      </w:r>
      <w:r>
        <w:rPr>
          <w:rFonts w:ascii="Arial" w:cs="Arial" w:eastAsia="Arial" w:hAnsi="Arial"/>
          <w:sz w:val="21"/>
          <w:szCs w:val="21"/>
        </w:rPr>
        <w:t xml:space="preserve">en la primera visita la Dra. Delia llena la ficha clínica (consulta #1).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Seguimiento: </w:t>
      </w:r>
      <w:r>
        <w:rPr>
          <w:rFonts w:ascii="Arial" w:cs="Arial" w:eastAsia="Arial" w:hAnsi="Arial"/>
          <w:sz w:val="21"/>
          <w:szCs w:val="21"/>
        </w:rPr>
        <w:t xml:space="preserve">cada visita posterior se registra en una hoja de seguimiento, vinculada a la ficha inicial.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Laboratorio directo: </w:t>
      </w:r>
      <w:r>
        <w:rPr>
          <w:rFonts w:ascii="Arial" w:cs="Arial" w:eastAsia="Arial" w:hAnsi="Arial"/>
          <w:sz w:val="21"/>
          <w:szCs w:val="21"/>
        </w:rPr>
        <w:t xml:space="preserve">si el paciente solo viene a laboratorio, recepción registra sus datos, el examen realizado y el cobro, sin pasar por consulta.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Referencia: </w:t>
      </w:r>
      <w:r>
        <w:rPr>
          <w:rFonts w:ascii="Arial" w:cs="Arial" w:eastAsia="Arial" w:hAnsi="Arial"/>
          <w:sz w:val="21"/>
          <w:szCs w:val="21"/>
        </w:rPr>
        <w:t xml:space="preserve">cuando corresponde, la Dra. genera la hoja de referencia prellenada automáticamente con la información del expediente.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160CC"/>
          <w:sz w:val="30"/>
          <w:szCs w:val="30"/>
        </w:rPr>
        <w:t xml:space="preserve">3. Alcance funcional — Fase 1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D80"/>
          <w:sz w:val="24"/>
          <w:szCs w:val="24"/>
        </w:rPr>
        <w:t xml:space="preserve">3.1 Ficha clínica (consulta #1)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Datos del paciente (nombre, edad calculada automáticamente, dirección, teléfono, religión, género), antecedentes médicos, quirúrgicos, traumáticos, alergias y familiares; motivo de consulta, historia de la enfermedad, examen físico guiado por preguntas, estudios, diagnóstico, tratamiento, referencia y comentarios. Incluye botones para diferenciar paciente adulto, niño y mujer embarazada, que adaptan el examen físico (evaluación pediátrica o control obstétrico con edad gestacional y fecha probable de parto calculadas por el sistema). El IMC también se calcula automáticamente.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D80"/>
          <w:sz w:val="24"/>
          <w:szCs w:val="24"/>
        </w:rPr>
        <w:t xml:space="preserve">3.2 Seguimiento de caso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Una hoja por visita médica, numerada automáticamente (consulta #2, #3, …). Permite reutilizar el diagnóstico y tratamiento anteriores, emitir receta y agendar la próxima cita en el mismo paso.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D80"/>
          <w:sz w:val="24"/>
          <w:szCs w:val="24"/>
        </w:rPr>
        <w:t xml:space="preserve">3.3 Hoja de referencia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Datos del paciente, motivo de la referencia, historia de la enfermedad, examen físico, comentario, tratamiento, impresión clínica y estudios realizados; se prellena con la ficha, el último seguimiento y los resultados de laboratorio para evitar re-escribir.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D80"/>
          <w:sz w:val="24"/>
          <w:szCs w:val="24"/>
        </w:rPr>
        <w:t xml:space="preserve">3.4 Panel del expediente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Al consultar la ficha clínica se muestran en un panel lateral los laboratorios registrados, las recetas y las próximas citas del paciente, con botones para agregar receta, laboratorio o cita cuando no existan.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D80"/>
          <w:sz w:val="24"/>
          <w:szCs w:val="24"/>
        </w:rPr>
        <w:t xml:space="preserve">3.5 Laboratorio, cotizaciones y caja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Catálogo de exámenes con precios, muestra y tiempo de entrega (42 exámenes iniciales, editable por la Dra.).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Órdenes de laboratorio con cobro, registro de resultados e impresión.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Cotizaciones de varios exámenes a la vez, con opción de incluir la consulta y aplicar descuento; conversión de cotización en orden.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Caja diaria: cobros de consulta y laboratorio por forma de pago (efectivo, tarjeta, transferencia) y recibos imprimibles.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D80"/>
          <w:sz w:val="24"/>
          <w:szCs w:val="24"/>
        </w:rPr>
        <w:t xml:space="preserve">3.6 Agenda y notificaciones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Agenda de citas con detección de horarios cruzados. Todos los días a las 7:30 p. m. el sistema notifica cuántas y cuáles citas hay para el día siguiente.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D80"/>
          <w:sz w:val="24"/>
          <w:szCs w:val="24"/>
        </w:rPr>
        <w:t xml:space="preserve">3.7 Búsqueda de expedientes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Búsqueda instantánea por nombre completo, por iniciales (ej. “MJLP” para María José López Pérez), por teléfono o por DPI, sin importar tildes.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D80"/>
          <w:sz w:val="24"/>
          <w:szCs w:val="24"/>
        </w:rPr>
        <w:t xml:space="preserve">3.8 Documentos imprimibles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Ficha clínica, seguimiento, hoja de referencia, receta médica, orden y resultados de laboratorio, cotización y recibo de pago, con membrete de la clínica.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160CC"/>
          <w:sz w:val="30"/>
          <w:szCs w:val="30"/>
        </w:rPr>
        <w:t xml:space="preserve">4. Usuarios y permisos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El sistema funciona con dos usuarios con usuario y contraseña. No existe registro público: solo estas dos cuentas pueden ingresar.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2160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67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2160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Dra. Delia (dra.delia)</w:t>
            </w:r>
          </w:p>
        </w:tc>
        <w:tc>
          <w:tcPr>
            <w:tcW w:type="dxa" w:w="67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Acceso total: ficha clínica, seguimiento, referencias, recetas, laboratorio, cotizaciones, agenda, caja y configuración (precios y catálogo).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Recepción (recepcion)</w:t>
            </w:r>
          </w:p>
        </w:tc>
        <w:tc>
          <w:tcPr>
            <w:tcW w:type="dxa" w:w="67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Datos del paciente, laboratorio (órdenes, cobros, resultados), catálogo y precios de exámenes, precio de la consulta, cotizaciones, próximas citas y recetas emitidas por la Dra. (solo lectura). Sin acceso a fichas clínicas, seguimientos ni referencias.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Ambas vistas comparten la misma base de datos en tiempo real: lo que registra recepción lo ve la Dra. y viceversa.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160CC"/>
          <w:sz w:val="30"/>
          <w:szCs w:val="30"/>
        </w:rPr>
        <w:t xml:space="preserve">5. Tecnologías propuestas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2160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2160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41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2160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Interfaz (frontend)</w:t>
            </w:r>
          </w:p>
        </w:tc>
        <w:tc>
          <w:tcPr>
            <w:tcW w:type="dxa" w:w="28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React 18 + Vite, Framer Motion</w:t>
            </w:r>
          </w:p>
        </w:tc>
        <w:tc>
          <w:tcPr>
            <w:tcW w:type="dxa" w:w="41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SPA rápida, animaciones fluidas, funciona en computadora, tableta y teléfono.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Servidor (backend)</w:t>
            </w:r>
          </w:p>
        </w:tc>
        <w:tc>
          <w:tcPr>
            <w:tcW w:type="dxa" w:w="28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Node.js 24 + Express 5</w:t>
            </w:r>
          </w:p>
        </w:tc>
        <w:tc>
          <w:tcPr>
            <w:tcW w:type="dxa" w:w="41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API ligera y segura; un solo servicio sirve la aplicación y los datos.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PostgreSQL 16 en Neon (alternativa: Supabase)</w:t>
            </w:r>
          </w:p>
        </w:tc>
        <w:tc>
          <w:tcPr>
            <w:tcW w:type="dxa" w:w="41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Base de datos relacional robusta, administrada, con respaldos y plan gratuito para iniciar.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Render o Railway (contenedor Node.js)</w:t>
            </w:r>
          </w:p>
        </w:tc>
        <w:tc>
          <w:tcPr>
            <w:tcW w:type="dxa" w:w="41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Despliegue automático desde GitHub, HTTPS incluido y costo mensual bajo.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Código fuente</w:t>
            </w:r>
          </w:p>
        </w:tc>
        <w:tc>
          <w:tcPr>
            <w:tcW w:type="dxa" w:w="28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 (repositorio privado)</w:t>
            </w:r>
          </w:p>
        </w:tc>
        <w:tc>
          <w:tcPr>
            <w:tcW w:type="dxa" w:w="41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 de versiones, historial de cambios y respaldo del código.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Dominio y SSL</w:t>
            </w:r>
          </w:p>
        </w:tc>
        <w:tc>
          <w:tcPr>
            <w:tcW w:type="dxa" w:w="28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Dominio .com + certificado SSL gratuito</w:t>
            </w:r>
          </w:p>
        </w:tc>
        <w:tc>
          <w:tcPr>
            <w:tcW w:type="dxa" w:w="41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Acceso con dirección propia y conexión cifrada.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D80"/>
          <w:sz w:val="24"/>
          <w:szCs w:val="24"/>
        </w:rPr>
        <w:t xml:space="preserve">5.1 Costos operativos mensuales estimados (no incluidos en el total)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Se eligieron proveedores con planes gratuitos o de bajo costo para que la operación no resulte cara. Valores referenciales al tipo de cambio aproximado de Q 7.75 por US$; deben confirmarse con cada proveedor al contratar.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2160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33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2160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sugerido</w:t>
            </w:r>
          </w:p>
        </w:tc>
        <w:tc>
          <w:tcPr>
            <w:tcW w:type="dxa" w:w="30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2160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mensual aprox.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Base de datos Neon</w:t>
            </w:r>
          </w:p>
        </w:tc>
        <w:tc>
          <w:tcPr>
            <w:tcW w:type="dxa" w:w="33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 (0.5 GB) — suficiente para iniciar</w:t>
            </w:r>
          </w:p>
        </w:tc>
        <w:tc>
          <w:tcPr>
            <w:tcW w:type="dxa" w:w="30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 0.00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Hosting Render / Railway</w:t>
            </w:r>
          </w:p>
        </w:tc>
        <w:tc>
          <w:tcPr>
            <w:tcW w:type="dxa" w:w="33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Plan inicial siempre activo (~US$ 5–7)</w:t>
            </w:r>
          </w:p>
        </w:tc>
        <w:tc>
          <w:tcPr>
            <w:tcW w:type="dxa" w:w="30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 40.00 – Q 55.00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Dominio .com</w:t>
            </w:r>
          </w:p>
        </w:tc>
        <w:tc>
          <w:tcPr>
            <w:tcW w:type="dxa" w:w="33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~US$ 12 al año (prorrateado)</w:t>
            </w:r>
          </w:p>
        </w:tc>
        <w:tc>
          <w:tcPr>
            <w:tcW w:type="dxa" w:w="30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 8.00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D80"/>
                <w:sz w:val="19"/>
                <w:szCs w:val="19"/>
              </w:rPr>
              <w:t xml:space="preserve">Total estimado</w:t>
            </w:r>
          </w:p>
        </w:tc>
        <w:tc>
          <w:tcPr>
            <w:tcW w:type="dxa" w:w="33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D8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D80"/>
                <w:sz w:val="19"/>
                <w:szCs w:val="19"/>
              </w:rPr>
              <w:t xml:space="preserve">Q 48.00 – Q 63.00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El primer año de hosting queda cubierto con el fondo de infraestructura incluido en “Otros gastos”. Si la clínica crece, Neon y Supabase permiten escalar a planes de pago sin migrar datos.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160CC"/>
          <w:sz w:val="30"/>
          <w:szCs w:val="30"/>
        </w:rPr>
        <w:t xml:space="preserve">6. Seguridad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Contraseñas cifradas con bcrypt; nunca se almacenan en texto plano.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Sesión en cookie segura (HttpOnly, SameSite estricto) con expiración de 8 horas.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Bloqueo temporal de la cuenta tras 5 intentos fallidos y límite de intentos de inicio de sesión.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Control de permisos validado en el servidor: recepción no puede consultar información clínica aunque intente acceder directamente.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Protección contra CSRF, inyección SQL (consultas parametrizadas), cabeceras de seguridad (Helmet/CSP) y conexión HTTPS.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Bitácora de auditoría de accesos, cobros y cambios en expedientes.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Respaldos automáticos de la base de datos provistos por Neon/Supabase.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160CC"/>
          <w:sz w:val="30"/>
          <w:szCs w:val="30"/>
        </w:rPr>
        <w:t xml:space="preserve">7. Detalle de la inversión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D80"/>
          <w:sz w:val="24"/>
          <w:szCs w:val="24"/>
        </w:rPr>
        <w:t xml:space="preserve">7.1 Desarrollo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2200"/>
      </w:tblGrid>
      <w:tr>
        <w:trPr>
          <w:tblHeader/>
        </w:trPr>
        <w:tc>
          <w:tcPr>
            <w:tcW w:type="dxa" w:w="7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2160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2160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2160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Monto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4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Levantamiento de requerimientos, análisis y diseño UX/UI (estilo moderno, colores institucionales)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 900.00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4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Desarrollo del backend (API REST en Node.js), autenticación y control de acceso por rol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 1,500.00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4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Desarrollo del frontend SPA: vista de la Dra. Delia y vista de Recepción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 1,800.00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4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Diseño de base de datos PostgreSQL, migraciones y carga de datos iniciales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 600.00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4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Documentos imprimibles (ficha, seguimiento, referencia, receta, cotización, recibos) y aviso de citas 7:30 p. m.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 500.00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64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Pruebas, despliegue en la nube, capacitación al personal y manual de uso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 700.00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D80"/>
                <w:sz w:val="19"/>
                <w:szCs w:val="19"/>
              </w:rPr>
              <w:t xml:space="preserve"/>
            </w:r>
          </w:p>
        </w:tc>
        <w:tc>
          <w:tcPr>
            <w:tcW w:type="dxa" w:w="64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D80"/>
                <w:sz w:val="19"/>
                <w:szCs w:val="19"/>
              </w:rPr>
              <w:t xml:space="preserve">Subtotal software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D80"/>
                <w:sz w:val="19"/>
                <w:szCs w:val="19"/>
              </w:rPr>
              <w:t xml:space="preserve">Q 6,000.00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D80"/>
          <w:sz w:val="24"/>
          <w:szCs w:val="24"/>
        </w:rPr>
        <w:t xml:space="preserve">7.2 Otros gastos: equipo, redes, infraestructura y puesta en marcha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2200"/>
      </w:tblGrid>
      <w:tr>
        <w:trPr>
          <w:tblHeader/>
        </w:trPr>
        <w:tc>
          <w:tcPr>
            <w:tcW w:type="dxa" w:w="7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2160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2160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2160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Monto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4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Router Wi-Fi de doble banda e instalación/configuración de red segura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 450.00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4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Cableado, conectores y accesorios de red para recepción y consultorio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 250.00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4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UPS / regulador de voltaje para el equipo de recepción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 450.00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4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Dominio web (1 año), configuración DNS y certificado SSL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 150.00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4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Fondo de infraestructura en la nube (reserva para 12 meses de hosting)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 300.00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64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Capacitación presencial adicional y manuales impresos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 200.00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64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Transporte, visitas técnicas y tiempo de puesta en marcha en sitio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 200.00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D80"/>
                <w:sz w:val="19"/>
                <w:szCs w:val="19"/>
              </w:rPr>
              <w:t xml:space="preserve"/>
            </w:r>
          </w:p>
        </w:tc>
        <w:tc>
          <w:tcPr>
            <w:tcW w:type="dxa" w:w="64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D80"/>
                <w:sz w:val="19"/>
                <w:szCs w:val="19"/>
              </w:rPr>
              <w:t xml:space="preserve">Subtotal otros gastos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D80"/>
                <w:sz w:val="19"/>
                <w:szCs w:val="19"/>
              </w:rPr>
              <w:t xml:space="preserve">Q 2,000.00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D80"/>
          <w:sz w:val="24"/>
          <w:szCs w:val="24"/>
        </w:rPr>
        <w:t xml:space="preserve">7.3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rPr>
          <w:tblHeader/>
        </w:trPr>
        <w:tc>
          <w:tcPr>
            <w:tcW w:type="dxa" w:w="71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2160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2160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Monto</w:t>
            </w:r>
          </w:p>
        </w:tc>
      </w:tr>
      <w:tr>
        <w:trPr>
          <w:tblHeader w:val="off"/>
        </w:trPr>
        <w:tc>
          <w:tcPr>
            <w:tcW w:type="dxa" w:w="71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Desarrollo de software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 6,000.00</w:t>
            </w:r>
          </w:p>
        </w:tc>
      </w:tr>
      <w:tr>
        <w:trPr>
          <w:tblHeader w:val="off"/>
        </w:trPr>
        <w:tc>
          <w:tcPr>
            <w:tcW w:type="dxa" w:w="71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Otros gastos (equipo, redes, infraestructura, tiempo)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 2,000.00</w:t>
            </w:r>
          </w:p>
        </w:tc>
      </w:tr>
      <w:tr>
        <w:trPr>
          <w:tblHeader w:val="off"/>
        </w:trPr>
        <w:tc>
          <w:tcPr>
            <w:tcW w:type="dxa" w:w="71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D80"/>
                <w:sz w:val="19"/>
                <w:szCs w:val="19"/>
              </w:rPr>
              <w:t xml:space="preserve">TOTAL DE LA INVERSIÓN</w:t>
            </w:r>
          </w:p>
        </w:tc>
        <w:tc>
          <w:tcPr>
            <w:tcW w:type="dxa" w:w="22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D80"/>
                <w:sz w:val="19"/>
                <w:szCs w:val="19"/>
              </w:rPr>
              <w:t xml:space="preserve">Q 8,000.00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160CC"/>
          <w:sz w:val="30"/>
          <w:szCs w:val="30"/>
        </w:rPr>
        <w:t xml:space="preserve">8. Cronograma de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2160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75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shd w:fill="2160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Actividades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Semana 1</w:t>
            </w:r>
          </w:p>
        </w:tc>
        <w:tc>
          <w:tcPr>
            <w:tcW w:type="dxa" w:w="75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Requerimientos, diseño de pantallas y modelo de base de datos.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Semana 2</w:t>
            </w:r>
          </w:p>
        </w:tc>
        <w:tc>
          <w:tcPr>
            <w:tcW w:type="dxa" w:w="75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Backend, seguridad, usuarios, pacientes, ficha clínica y seguimiento.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Semana 3</w:t>
            </w:r>
          </w:p>
        </w:tc>
        <w:tc>
          <w:tcPr>
            <w:tcW w:type="dxa" w:w="75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Laboratorio, cotizaciones, caja, agenda, referencias y documentos imprimibles.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Semana 4</w:t>
            </w:r>
          </w:p>
        </w:tc>
        <w:tc>
          <w:tcPr>
            <w:tcW w:type="dxa" w:w="7560"/>
            <w:tcBorders>
              <w:top w:val="single" w:color="CFD8E8" w:sz="4"/>
              <w:left w:val="single" w:color="CFD8E8" w:sz="4"/>
              <w:bottom w:val="single" w:color="CFD8E8" w:sz="4"/>
              <w:right w:val="single" w:color="CF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Pruebas con datos reales, instalación de red y equipo, despliegue, capacitación y entrega.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Tiempo estimado total: 4 semanas a partir del anticipo.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160CC"/>
          <w:sz w:val="30"/>
          <w:szCs w:val="30"/>
        </w:rPr>
        <w:t xml:space="preserve">9. Condiciones comerciales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Forma de pago: </w:t>
      </w:r>
      <w:r>
        <w:rPr>
          <w:rFonts w:ascii="Arial" w:cs="Arial" w:eastAsia="Arial" w:hAnsi="Arial"/>
          <w:sz w:val="21"/>
          <w:szCs w:val="21"/>
        </w:rPr>
        <w:t xml:space="preserve">50 % de anticipo (Q 4,000.00) al aprobar la cotización y 50 % (Q 4,000.00) contra entrega e instalación.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Garantía: </w:t>
      </w:r>
      <w:r>
        <w:rPr>
          <w:rFonts w:ascii="Arial" w:cs="Arial" w:eastAsia="Arial" w:hAnsi="Arial"/>
          <w:sz w:val="21"/>
          <w:szCs w:val="21"/>
        </w:rPr>
        <w:t xml:space="preserve">3 meses de corrección de errores sin costo a partir de la entrega.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Entregables: </w:t>
      </w:r>
      <w:r>
        <w:rPr>
          <w:rFonts w:ascii="Arial" w:cs="Arial" w:eastAsia="Arial" w:hAnsi="Arial"/>
          <w:sz w:val="21"/>
          <w:szCs w:val="21"/>
        </w:rPr>
        <w:t xml:space="preserve">aplicación en producción, código fuente en GitHub, usuarios y contraseñas, manual de uso y documentación técnica.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Propiedad: </w:t>
      </w:r>
      <w:r>
        <w:rPr>
          <w:rFonts w:ascii="Arial" w:cs="Arial" w:eastAsia="Arial" w:hAnsi="Arial"/>
          <w:sz w:val="21"/>
          <w:szCs w:val="21"/>
        </w:rPr>
        <w:t xml:space="preserve">el código y los datos son propiedad de la clínica.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D80"/>
          <w:sz w:val="24"/>
          <w:szCs w:val="24"/>
        </w:rPr>
        <w:t xml:space="preserve">No incluye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Costos mensuales de hosting y dominio posteriores al primer año.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Computadoras, impresoras o mobiliario.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Módulos fuera del alcance de la Fase 1 (facturación electrónica FEL, inventario de farmacia, portal de pacientes, mensajes por WhatsApp), que se cotizarán por separado.</w:t>
      </w:r>
    </w:p>
    <w:p>
      <w:pPr>
        <w:spacing w:before="900"/>
      </w:pPr>
    </w:p>
    <w:p>
      <w:pPr>
        <w:tabs>
          <w:tab w:val="left" w:pos="5400"/>
        </w:tabs>
      </w:pPr>
      <w:r>
        <w:rPr>
          <w:rFonts w:ascii="Arial" w:cs="Arial" w:eastAsia="Arial" w:hAnsi="Arial"/>
          <w:sz w:val="21"/>
          <w:szCs w:val="21"/>
        </w:rPr>
        <w:t xml:space="preserve">______________________________	______________________________</w:t>
      </w:r>
    </w:p>
    <w:p>
      <w:pPr>
        <w:tabs>
          <w:tab w:val="left" w:pos="5400"/>
        </w:tabs>
      </w:pPr>
      <w:r>
        <w:rPr>
          <w:rFonts w:ascii="Arial" w:cs="Arial" w:eastAsia="Arial" w:hAnsi="Arial"/>
          <w:b/>
          <w:bCs/>
          <w:sz w:val="21"/>
          <w:szCs w:val="21"/>
        </w:rPr>
        <w:t xml:space="preserve">Dra. Delia	Proveedor</w:t>
      </w:r>
    </w:p>
    <w:p>
      <w:pPr>
        <w:tabs>
          <w:tab w:val="left" w:pos="5400"/>
        </w:tabs>
      </w:pPr>
      <w:r>
        <w:rPr>
          <w:rFonts w:ascii="Arial" w:cs="Arial" w:eastAsia="Arial" w:hAnsi="Arial"/>
          <w:color w:val="666666"/>
          <w:sz w:val="19"/>
          <w:szCs w:val="19"/>
        </w:rPr>
        <w:t xml:space="preserve">Clínica Médica Pasión por la Vida	Desarrollo e implementación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4A6"/>
        <w:sz w:val="16"/>
        <w:szCs w:val="16"/>
      </w:rPr>
      <w:t xml:space="preserve">Página </w:t>
    </w:r>
    <w:r>
      <w:rPr>
        <w:rFonts w:ascii="Arial" w:cs="Arial" w:eastAsia="Arial" w:hAnsi="Arial"/>
        <w:color w:val="8A94A6"/>
        <w:sz w:val="16"/>
        <w:szCs w:val="16"/>
      </w:rPr>
      <w:fldChar w:fldCharType="begin"/>
    </w:r>
    <w:r>
      <w:rPr>
        <w:rFonts w:ascii="Arial" w:cs="Arial" w:eastAsia="Arial" w:hAnsi="Arial"/>
        <w:color w:val="8A94A6"/>
        <w:sz w:val="16"/>
        <w:szCs w:val="16"/>
      </w:rPr>
      <w:instrText xml:space="preserve">PAGE</w:instrText>
    </w:r>
    <w:r>
      <w:rPr>
        <w:rFonts w:ascii="Arial" w:cs="Arial" w:eastAsia="Arial" w:hAnsi="Arial"/>
        <w:color w:val="8A94A6"/>
        <w:sz w:val="16"/>
        <w:szCs w:val="16"/>
      </w:rPr>
      <w:fldChar w:fldCharType="separate"/>
    </w:r>
    <w:r>
      <w:rPr>
        <w:rFonts w:ascii="Arial" w:cs="Arial" w:eastAsia="Arial" w:hAnsi="Arial"/>
        <w:color w:val="8A94A6"/>
        <w:sz w:val="16"/>
        <w:szCs w:val="16"/>
      </w:rPr>
      <w:fldChar w:fldCharType="end"/>
    </w:r>
    <w:r>
      <w:rPr>
        <w:rFonts w:ascii="Arial" w:cs="Arial" w:eastAsia="Arial" w:hAnsi="Arial"/>
        <w:color w:val="8A94A6"/>
        <w:sz w:val="16"/>
        <w:szCs w:val="16"/>
      </w:rPr>
      <w:t xml:space="preserve"> de </w:t>
    </w:r>
    <w:r>
      <w:rPr>
        <w:rFonts w:ascii="Arial" w:cs="Arial" w:eastAsia="Arial" w:hAnsi="Arial"/>
        <w:color w:val="8A94A6"/>
        <w:sz w:val="16"/>
        <w:szCs w:val="16"/>
      </w:rPr>
      <w:fldChar w:fldCharType="begin"/>
    </w:r>
    <w:r>
      <w:rPr>
        <w:rFonts w:ascii="Arial" w:cs="Arial" w:eastAsia="Arial" w:hAnsi="Arial"/>
        <w:color w:val="8A94A6"/>
        <w:sz w:val="16"/>
        <w:szCs w:val="16"/>
      </w:rPr>
      <w:instrText xml:space="preserve">NUMPAGES</w:instrText>
    </w:r>
    <w:r>
      <w:rPr>
        <w:rFonts w:ascii="Arial" w:cs="Arial" w:eastAsia="Arial" w:hAnsi="Arial"/>
        <w:color w:val="8A94A6"/>
        <w:sz w:val="16"/>
        <w:szCs w:val="16"/>
      </w:rPr>
      <w:fldChar w:fldCharType="separate"/>
    </w:r>
    <w:r>
      <w:rPr>
        <w:rFonts w:ascii="Arial" w:cs="Arial" w:eastAsia="Arial" w:hAnsi="Arial"/>
        <w:color w:val="8A94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4A6"/>
        <w:sz w:val="16"/>
        <w:szCs w:val="16"/>
      </w:rPr>
      <w:t xml:space="preserve">Clínica Médica Pasión por la Vida · Cotización CMPV-2026-001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— Sistema de Gestión Clínica</dc:title>
  <dc:creator>Clínica Médica Pasión por la Vida</dc:creator>
  <cp:lastModifiedBy>Un-named</cp:lastModifiedBy>
  <cp:revision>1</cp:revision>
  <dcterms:created xsi:type="dcterms:W3CDTF">2026-10-28T04:47:36.204Z</dcterms:created>
  <dcterms:modified xsi:type="dcterms:W3CDTF">2026-10-28T04:47:36.205Z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