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6AE3B">
      <w:r>
        <w:drawing>
          <wp:inline distT="0" distB="0" distL="114300" distR="114300">
            <wp:extent cx="6182360" cy="132270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5140"/>
    <w:p w14:paraId="60795383">
      <w:r>
        <w:drawing>
          <wp:inline distT="0" distB="0" distL="114300" distR="114300">
            <wp:extent cx="6182995" cy="1339215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CDCE"/>
    <w:p w14:paraId="0E9D336C">
      <w:r>
        <w:drawing>
          <wp:inline distT="0" distB="0" distL="114300" distR="114300">
            <wp:extent cx="6185535" cy="1306830"/>
            <wp:effectExtent l="0" t="0" r="1206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772E"/>
    <w:p w14:paraId="250BEB71">
      <w:pP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Double &gt; float &gt; int</w:t>
      </w:r>
    </w:p>
    <w:p w14:paraId="610C87E9">
      <w:r>
        <w:drawing>
          <wp:inline distT="0" distB="0" distL="114300" distR="114300">
            <wp:extent cx="6182360" cy="13284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281A"/>
    <w:p w14:paraId="47C19621">
      <w:r>
        <w:drawing>
          <wp:inline distT="0" distB="0" distL="114300" distR="114300">
            <wp:extent cx="6188710" cy="13506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42C2">
      <w:pP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可以不用break</w:t>
      </w:r>
    </w:p>
    <w:p w14:paraId="6BB21FA9">
      <w:r>
        <w:drawing>
          <wp:inline distT="0" distB="0" distL="114300" distR="114300">
            <wp:extent cx="6179185" cy="1344295"/>
            <wp:effectExtent l="0" t="0" r="57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E423">
      <w:pPr>
        <w:rPr>
          <w:b/>
          <w:bCs/>
        </w:rPr>
      </w:pPr>
      <w:r>
        <w:rPr>
          <w:rFonts w:hint="eastAsia"/>
          <w:b/>
          <w:bCs/>
        </w:rPr>
        <w:t>r: 文件必须存在，只读；</w:t>
      </w:r>
    </w:p>
    <w:p w14:paraId="1C157B68">
      <w:pPr>
        <w:rPr>
          <w:b/>
          <w:bCs/>
        </w:rPr>
      </w:pPr>
      <w:r>
        <w:rPr>
          <w:rFonts w:hint="eastAsia"/>
          <w:b/>
          <w:bCs/>
        </w:rPr>
        <w:t>r+ 文件必须存在，可读可写；</w:t>
      </w:r>
    </w:p>
    <w:p w14:paraId="6585CEF2">
      <w:pPr>
        <w:rPr>
          <w:b/>
          <w:bCs/>
        </w:rPr>
      </w:pPr>
      <w:r>
        <w:rPr>
          <w:rFonts w:hint="eastAsia"/>
          <w:b/>
          <w:bCs/>
        </w:rPr>
        <w:t>w: 不存在创建新的，存在覆盖新的，只写；</w:t>
      </w:r>
    </w:p>
    <w:p w14:paraId="723F5474">
      <w:pPr>
        <w:rPr>
          <w:rFonts w:hint="eastAsia"/>
          <w:b/>
          <w:bCs/>
        </w:rPr>
      </w:pPr>
      <w:r>
        <w:rPr>
          <w:rFonts w:hint="eastAsia"/>
          <w:b/>
          <w:bCs/>
        </w:rPr>
        <w:t>w+：不存在创建新的，存在覆盖新的，可读可写</w:t>
      </w:r>
    </w:p>
    <w:p w14:paraId="17B96121">
      <w:pPr>
        <w:rPr>
          <w:b/>
          <w:bCs/>
        </w:rPr>
      </w:pPr>
      <w:r>
        <w:rPr>
          <w:rFonts w:hint="eastAsia"/>
          <w:b/>
          <w:bCs/>
        </w:rPr>
        <w:t>a: 不存在创建新的，已存在保留原内容，末尾添加，不能读取</w:t>
      </w:r>
    </w:p>
    <w:p w14:paraId="1C019546">
      <w:pPr>
        <w:rPr>
          <w:rFonts w:hint="eastAsia"/>
          <w:b/>
          <w:bCs/>
        </w:rPr>
      </w:pPr>
      <w:r>
        <w:rPr>
          <w:rFonts w:hint="eastAsia"/>
          <w:b/>
          <w:bCs/>
        </w:rPr>
        <w:t>a+： 不存在创建新的，已存在保留原内容，只能在尾部写，可以在中间读</w:t>
      </w:r>
    </w:p>
    <w:p w14:paraId="4D4F7C19">
      <w:pPr>
        <w:rPr>
          <w:rFonts w:hint="eastAsia"/>
          <w:lang w:val="en-US" w:eastAsia="zh-CN"/>
        </w:rPr>
      </w:pPr>
    </w:p>
    <w:p w14:paraId="7A7D01DE">
      <w:pP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</w:p>
    <w:p w14:paraId="1D29D94C">
      <w:r>
        <w:drawing>
          <wp:inline distT="0" distB="0" distL="114300" distR="114300">
            <wp:extent cx="6178550" cy="1348105"/>
            <wp:effectExtent l="0" t="0" r="635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5DEE"/>
    <w:p w14:paraId="2CDCD978">
      <w:r>
        <w:drawing>
          <wp:inline distT="0" distB="0" distL="114300" distR="114300">
            <wp:extent cx="6181090" cy="1330325"/>
            <wp:effectExtent l="0" t="0" r="381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DB90">
      <w:r>
        <w:drawing>
          <wp:inline distT="0" distB="0" distL="114300" distR="114300">
            <wp:extent cx="6184900" cy="1282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013D">
      <w:r>
        <w:drawing>
          <wp:inline distT="0" distB="0" distL="114300" distR="114300">
            <wp:extent cx="6188710" cy="1341120"/>
            <wp:effectExtent l="0" t="0" r="889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3B61">
      <w:r>
        <w:drawing>
          <wp:inline distT="0" distB="0" distL="114300" distR="114300">
            <wp:extent cx="6184265" cy="1299210"/>
            <wp:effectExtent l="0" t="0" r="63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48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类型指针不对</w:t>
      </w:r>
    </w:p>
    <w:p w14:paraId="6FC9C01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64A580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 --  0.1 错</w:t>
      </w:r>
    </w:p>
    <w:p w14:paraId="419077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越界</w:t>
      </w:r>
    </w:p>
    <w:p w14:paraId="37C762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D1058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7440" cy="1299210"/>
            <wp:effectExtent l="0" t="0" r="1016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496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2360" cy="13379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5B1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76010" cy="1462405"/>
            <wp:effectExtent l="0" t="0" r="889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46BC">
      <w:pPr>
        <w:widowControl w:val="0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数组的长度是固定的，一旦声明，其大小无法动态改变。这是数组的基本特性之一，适用于静态数组</w:t>
      </w:r>
    </w:p>
    <w:p w14:paraId="6E4F5193">
      <w:pPr>
        <w:widowControl w:val="0"/>
        <w:numPr>
          <w:numId w:val="0"/>
        </w:numPr>
        <w:jc w:val="both"/>
        <w:rPr>
          <w:rFonts w:hint="eastAsia"/>
        </w:rPr>
      </w:pPr>
    </w:p>
    <w:p w14:paraId="24C30B1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</w:t>
      </w:r>
      <w:r>
        <w:rPr>
          <w:rFonts w:hint="default"/>
          <w:lang w:val="en-US" w:eastAsia="zh-CN"/>
        </w:rPr>
        <w:t>声明数组时，并非所有元素都会自动初始化为0。只有全局数组或静态数组会自动初始化为0；局部数组若不显式初始化，则包含随机值。</w:t>
      </w:r>
    </w:p>
    <w:p w14:paraId="49DEB04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43FE9A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78550" cy="2206625"/>
            <wp:effectExtent l="0" t="0" r="635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ED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9DAB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错误。函数返回值类型必须与函数定义时声明的返回类型一致，否则会导致类型不匹配错误。编译器会尝试隐式转换，但本质上要求类型兼容。</w:t>
      </w:r>
    </w:p>
    <w:p w14:paraId="3FAF1EA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7064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正确。当函数形参为指针类型时，实参可以是数组名，因为数组名在表达式中会退化为指向其首元素的指针，这与指针形参的类型匹配。</w:t>
      </w:r>
    </w:p>
    <w:p w14:paraId="658A1B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D1ED8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错误。在函数内部声明的自动变量（即局部变量）存储在栈中，函数返回后其存储单元被释放，不能再被访问。</w:t>
      </w:r>
    </w:p>
    <w:p w14:paraId="08ED1A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F51E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正确。一个完整的程序可以由多个函数组成，这是结构化编程和模块化设计的基础。</w:t>
      </w:r>
    </w:p>
    <w:p w14:paraId="1D0CD2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78550" cy="18859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26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 p[2]-&gt;x：错误。p[2] 等价于 *(p+2)，它表示的是结构体变量本身（也就是 arr[2] 这个实体）。对于结构体变量，访问成员需要用点运算符 .，正确的写法应该是 p[2].x。箭头运算符 -&gt; 只能用于结构体指针。</w:t>
      </w:r>
    </w:p>
    <w:p w14:paraId="786F2E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D0B3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 (p+2).x：错误。p+2 是一个指针，它指向 arr[2] 的地址（即 &amp;arr[2]）。对于指针，不能直接用点运算符 . 来访问成员，必须先解引用或者使用箭头运算符。正确的写法应该是 (*(p+2)).x 或 (p+2)-&gt;x。</w:t>
      </w:r>
    </w:p>
    <w:p w14:paraId="25A2DF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46DDC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 (p+2)-&gt;x：正确。p+2 是一个指向 arr[2] 的指针。使用箭头运算符 -&gt; 通过指针访问结构体成员是完全符合 C 语言语法的，它等价于 arr[2].x。</w:t>
      </w:r>
    </w:p>
    <w:p w14:paraId="23B571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B5E2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 p+2.x：错误。在 C 语言中，点运算符 . 的优先级高于加法运算符 +。因此编译器会将其解析为 p + (2.x)。数字 2 显然没有名为 x 的成员，这会导致严重的语法错误。</w:t>
      </w:r>
    </w:p>
    <w:p w14:paraId="7C6B82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84265" cy="1365250"/>
            <wp:effectExtent l="0" t="0" r="63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6049FB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5535" cy="1424940"/>
            <wp:effectExtent l="0" t="0" r="1206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D3F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6170" cy="1395730"/>
            <wp:effectExtent l="0" t="0" r="1143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D0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88710" cy="1321435"/>
            <wp:effectExtent l="0" t="0" r="8890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B05BC"/>
    <w:multiLevelType w:val="singleLevel"/>
    <w:tmpl w:val="DCDB05B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EB42B558"/>
    <w:multiLevelType w:val="singleLevel"/>
    <w:tmpl w:val="EB42B55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2026-07-03T07:11:13Z</dcterms:created>
  <dc:creator>Lenovo</dc:creator>
  <cp:lastModifiedBy>黄洛霖</cp:lastModifiedBy>
  <dcterms:modified xsi:type="dcterms:W3CDTF">2026-07-03T11:23:35Z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eyJoZGlkIjoiMmM0NmU1MDNjZTRmMThkOGM2M2M4YTU3ZGFkNDBhYTUiLCJ1c2VySWQiOiIxNzUyODYyMjI0In0=</vt:lpwstr>
  </property>
  <property fmtid="{D5CDD505-2E9C-101B-9397-08002B2CF9AE}" pid="4" name="ICV">
    <vt:lpwstr>F4193799602C47F4A5ED0C15063E5309_12</vt:lpwstr>
  </property>
</Properties>
</file>