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A1A2E"/>
          <w:sz w:val="56"/>
        </w:rPr>
        <w:t>AKF in 2031</w:t>
      </w:r>
    </w:p>
    <w:p>
      <w:pPr>
        <w:jc w:val="center"/>
      </w:pPr>
      <w:r>
        <w:rPr>
          <w:b w:val="0"/>
          <w:i/>
          <w:color w:val="555577"/>
          <w:sz w:val="32"/>
        </w:rPr>
        <w:t>Why Agent Knowledge Format Becomes Infrastructure</w:t>
      </w:r>
    </w:p>
    <w:p/>
    <w:p/>
    <w:p/>
    <w:p/>
    <w:p>
      <w:pPr>
        <w:jc w:val="center"/>
      </w:pPr>
      <w:r>
        <w:rPr>
          <w:b w:val="0"/>
          <w:i w:val="0"/>
          <w:color w:val="1A1A2E"/>
          <w:sz w:val="26"/>
        </w:rPr>
        <w:t>The Trust Protocol for the Agentic Internet</w:t>
      </w:r>
    </w:p>
    <w:p>
      <w:pPr>
        <w:jc w:val="center"/>
      </w:pPr>
      <w:r>
        <w:rPr>
          <w:b w:val="0"/>
          <w:i w:val="0"/>
          <w:color w:val="888888"/>
          <w:sz w:val="22"/>
        </w:rPr>
        <w:t>Strategic Outlook  ·  2026 → 2031</w:t>
      </w:r>
    </w:p>
    <w:p>
      <w:r>
        <w:br w:type="page"/>
      </w:r>
    </w:p>
    <w:p>
      <w:pPr>
        <w:pStyle w:val="Heading1"/>
      </w:pPr>
      <w:r>
        <w:t>The Premise</w:t>
      </w:r>
    </w:p>
    <w:p>
      <w:r>
        <w:t>By 2031, agents aren’t tools — they’re employees. Every enterprise runs hundreds of autonomous agents: agents that write contracts, file regulatory reports, negotiate with other companies’ agents, and make procurement decisions. The average Fortune 500 company has more AI agents than human employees in knowledge-work roles.</w:t>
      </w:r>
    </w:p>
    <w:p>
      <w:pPr>
        <w:spacing w:before="120" w:after="240"/>
      </w:pPr>
      <w:r>
        <w:rPr>
          <w:b/>
          <w:i w:val="0"/>
          <w:sz w:val="24"/>
        </w:rPr>
        <w:t>The problem that emerges isn’t capability — it’s trust at scale.</w:t>
      </w:r>
    </w:p>
    <w:p>
      <w:r>
        <w:t>AKF — Agent Knowledge Format — was built for this moment. What started as “EXIF for AI” becomes the trust protocol that makes autonomous agent networks reliable, auditable, and insurable.</w:t>
      </w:r>
    </w:p>
    <w:p>
      <w:r>
        <w:br w:type="page"/>
      </w:r>
    </w:p>
    <w:p>
      <w:pPr>
        <w:pStyle w:val="Heading1"/>
      </w:pPr>
      <w:r>
        <w:t>1. The Agent-to-Agent Protocol Problem</w:t>
      </w:r>
    </w:p>
    <w:p>
      <w:r>
        <w:t>In 2031, most knowledge never touches a human. Agent A researches, Agent B synthesises, Agent C decides, Agent D executes. This is a game of telephone across dozens of hops.</w:t>
      </w:r>
    </w:p>
    <w:p>
      <w:r>
        <w:t>Without provenance metadata, a speculative guess from a Tier 5 agent gets laundered into “verified fact” by the time it reaches the agent making a $200M procurement decision. AKF’s provenance chain and trust-decay formula are the only things preventing silent confidence inflation across agent chains.</w:t>
      </w:r>
    </w:p>
    <w:p>
      <w:pPr>
        <w:spacing w:before="160"/>
      </w:pPr>
      <w:r>
        <w:rPr>
          <w:b/>
          <w:i w:val="0"/>
          <w:sz w:val="22"/>
        </w:rPr>
        <w:t>The TCP/IP parallel</w:t>
      </w:r>
    </w:p>
    <w:p>
      <w:r>
        <w:t>TCP didn’t matter when one computer talked to one computer. It mattered when billions of packets needed reliable delivery. AKF doesn’t matter when one human reads one ChatGPT response. It matters when thousands of agents pass knowledge to each other autonomously.</w:t>
      </w:r>
    </w:p>
    <w:p>
      <w:pPr>
        <w:pStyle w:val="Heading1"/>
      </w:pPr>
      <w:r>
        <w:t>2. Regulation Makes It Mandatory</w:t>
      </w:r>
    </w:p>
    <w:p>
      <w:r>
        <w:t>By 2031, the regulatory landscape is clear:</w:t>
      </w:r>
    </w:p>
    <w:p>
      <w:pPr>
        <w:pStyle w:val="ListBullet"/>
      </w:pPr>
      <w:r>
        <w:rPr>
          <w:b/>
        </w:rPr>
        <w:t>EU AI Act</w:t>
      </w:r>
      <w:r>
        <w:t xml:space="preserve"> — fully enforced, with teeth. High-risk AI outputs require full provenance trails. Fines: 7% of global revenue.</w:t>
      </w:r>
    </w:p>
    <w:p>
      <w:pPr>
        <w:pStyle w:val="ListBullet"/>
      </w:pPr>
      <w:r>
        <w:rPr>
          <w:b/>
        </w:rPr>
        <w:t>US AI Accountability Framework</w:t>
      </w:r>
      <w:r>
        <w:t xml:space="preserve"> — passed 2028, requires “knowledge chain of custody” for regulated industries.</w:t>
      </w:r>
    </w:p>
    <w:p>
      <w:pPr>
        <w:pStyle w:val="ListBullet"/>
      </w:pPr>
      <w:r>
        <w:rPr>
          <w:b/>
        </w:rPr>
        <w:t>China’s AI Content Labeling Law</w:t>
      </w:r>
      <w:r>
        <w:t xml:space="preserve"> — requires confidence scores and source attribution on all AI-generated content.</w:t>
      </w:r>
    </w:p>
    <w:p>
      <w:pPr>
        <w:pStyle w:val="ListBullet"/>
      </w:pPr>
      <w:r>
        <w:rPr>
          <w:b/>
        </w:rPr>
        <w:t>India, Brazil, Japan</w:t>
      </w:r>
      <w:r>
        <w:t xml:space="preserve"> — similar frameworks adopted.</w:t>
      </w:r>
    </w:p>
    <w:p>
      <w:r>
        <w:t>The question isn’t “should we tag AI content?” — it’s “what format do we tag it in?”</w:t>
      </w:r>
    </w:p>
    <w:p>
      <w:r>
        <w:t>AKF’s early-mover advantage compounds. The format enterprises adopted in 2026–2028 becomes the de facto standard that regulators codify. Like how PDF became the legal document standard not because Adobe lobbied — but because everyone was already using it.</w:t>
      </w:r>
    </w:p>
    <w:p>
      <w:pPr>
        <w:pStyle w:val="Heading1"/>
      </w:pPr>
      <w:r>
        <w:t>3. The Hallucination Liability Crisis</w:t>
      </w:r>
    </w:p>
    <w:p>
      <w:r>
        <w:t>Between 2026 and 2031, landmark cases will define the landscape:</w:t>
      </w:r>
    </w:p>
    <w:p>
      <w:pPr>
        <w:pStyle w:val="ListBullet"/>
      </w:pPr>
      <w:r>
        <w:t>A hospital AI agent prescribes based on a hallucinated drug interaction. Patient harmed. Who’s liable?</w:t>
      </w:r>
    </w:p>
    <w:p>
      <w:pPr>
        <w:pStyle w:val="ListBullet"/>
      </w:pPr>
      <w:r>
        <w:t>A financial agent generates an earnings projection with 0.95 confidence from a Tier 5 speculative source. The CEO presents it to the board. SEC investigates.</w:t>
      </w:r>
    </w:p>
    <w:p>
      <w:pPr>
        <w:pStyle w:val="ListBullet"/>
      </w:pPr>
      <w:r>
        <w:t>A legal agent cites a case that doesn’t exist. Contract voided. $50M in damages.</w:t>
      </w:r>
    </w:p>
    <w:p>
      <w:pPr>
        <w:spacing w:before="160"/>
      </w:pPr>
      <w:r>
        <w:rPr>
          <w:b/>
          <w:i w:val="0"/>
        </w:rPr>
        <w:t>Insurance companies begin requiring AKF-style metadata — confidence scores, authority tiers, source provenance — as a condition of AI liability coverage. No metadata, no coverage.</w:t>
      </w:r>
    </w:p>
    <w:p>
      <w:r>
        <w:t>AKF’s security detections — confidence laundering, authority inflation, classification mismatch — become standard risk controls, like firewalls became standard in the 2000s.</w:t>
      </w:r>
    </w:p>
    <w:p>
      <w:pPr>
        <w:pStyle w:val="Heading1"/>
      </w:pPr>
      <w:r>
        <w:t>4. The Knowledge Supply Chain</w:t>
      </w:r>
    </w:p>
    <w:p>
      <w:r>
        <w:t>In 2031, knowledge has a supply chain as complex as physical goods:</w:t>
      </w:r>
    </w:p>
    <w:p>
      <w:pPr>
        <w:spacing w:before="80" w:after="80"/>
      </w:pPr>
      <w:r>
        <w:rPr>
          <w:b w:val="0"/>
          <w:i/>
          <w:sz w:val="20"/>
        </w:rPr>
        <w:t>Raw data  →  AI extraction  →  Agent synthesis  →  Cross-agent review  →  Human approval  →  Regulatory filing  →  Public disclosure</w:t>
      </w:r>
    </w:p>
    <w:p>
      <w:r>
        <w:t>Each hop degrades trust. AKF tracks this degradation mathematically:</w:t>
      </w:r>
    </w:p>
    <w:p>
      <w:pPr>
        <w:spacing w:before="80" w:after="160"/>
      </w:pPr>
      <w:r>
        <w:rPr>
          <w:b/>
          <w:i w:val="0"/>
          <w:sz w:val="22"/>
        </w:rPr>
        <w:t>effective_trust  =  confidence  ×  authority_weight  ×  decay_factor</w:t>
      </w:r>
    </w:p>
    <w:p>
      <w:r>
        <w:t>Without this, organisations have no way to answer the single most important question in enterprise AI: “How much should we trust this number?”</w:t>
      </w:r>
    </w:p>
    <w:p>
      <w:pPr>
        <w:spacing w:before="160"/>
      </w:pPr>
      <w:r>
        <w:rPr>
          <w:b/>
          <w:i w:val="0"/>
          <w:sz w:val="22"/>
        </w:rPr>
        <w:t>The barcode analogy</w:t>
      </w:r>
    </w:p>
    <w:p>
      <w:r>
        <w:t>Barcodes seemed unnecessary when a shopkeeper knew every product. They became essential when supply chains spanned continents. AKF seems optional when one person uses ChatGPT. It becomes essential when knowledge flows through dozens of agents across organisations.</w:t>
      </w:r>
    </w:p>
    <w:p>
      <w:pPr>
        <w:pStyle w:val="Heading1"/>
      </w:pPr>
      <w:r>
        <w:t>5. The Interoperability Moat</w:t>
      </w:r>
    </w:p>
    <w:p>
      <w:r>
        <w:t>By 2031, every major cloud has proprietary trust metadata:</w:t>
      </w:r>
    </w:p>
    <w:p>
      <w:pPr>
        <w:pStyle w:val="ListBullet"/>
      </w:pPr>
      <w:r>
        <w:t>Microsoft Purview — Azure-only, proprietary format</w:t>
      </w:r>
    </w:p>
    <w:p>
      <w:pPr>
        <w:pStyle w:val="ListBullet"/>
      </w:pPr>
      <w:r>
        <w:t>Google’s equivalent — GCP-locked</w:t>
      </w:r>
    </w:p>
    <w:p>
      <w:pPr>
        <w:pStyle w:val="ListBullet"/>
      </w:pPr>
      <w:r>
        <w:t>Every major platform — their own walled garden</w:t>
      </w:r>
    </w:p>
    <w:p>
      <w:r>
        <w:t>Enterprises refuse vendor lock-in for something as fundamental as trust metadata. They learned this lesson with cloud lock-in in the 2010s.</w:t>
      </w:r>
    </w:p>
    <w:p>
      <w:r>
        <w:rPr>
          <w:b/>
          <w:i w:val="0"/>
        </w:rPr>
        <w:t>AKF’s position: open standard, MIT licensed, “Free and Open — Forever,” vendor-neutral, works across every platform. This is the Linux play — not the best marketing, but the right architecture. The format that works everywhere wins.</w:t>
      </w:r>
    </w:p>
    <w:p>
      <w:pPr>
        <w:pStyle w:val="Heading1"/>
      </w:pPr>
      <w:r>
        <w:t>6. What AKF Becomes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2026 (Today)</w:t>
            </w:r>
          </w:p>
        </w:tc>
        <w:tc>
          <w:tcPr>
            <w:tcW w:type="dxa" w:w="4320"/>
          </w:tcPr>
          <w:p>
            <w:r>
              <w:rPr>
                <w:b/>
              </w:rPr>
              <w:t>2031</w:t>
            </w:r>
          </w:p>
        </w:tc>
      </w:tr>
      <w:tr>
        <w:tc>
          <w:tcPr>
            <w:tcW w:type="dxa" w:w="4320"/>
          </w:tcPr>
          <w:p>
            <w:r>
              <w:t>Nice metadata library</w:t>
            </w:r>
          </w:p>
        </w:tc>
        <w:tc>
          <w:tcPr>
            <w:tcW w:type="dxa" w:w="4320"/>
          </w:tcPr>
          <w:p>
            <w:r>
              <w:t>Critical infrastructure layer</w:t>
            </w:r>
          </w:p>
        </w:tc>
      </w:tr>
      <w:tr>
        <w:tc>
          <w:tcPr>
            <w:tcW w:type="dxa" w:w="4320"/>
          </w:tcPr>
          <w:p>
            <w:r>
              <w:t>Optional best practice</w:t>
            </w:r>
          </w:p>
        </w:tc>
        <w:tc>
          <w:tcPr>
            <w:tcW w:type="dxa" w:w="4320"/>
          </w:tcPr>
          <w:p>
            <w:r>
              <w:t>Regulatory requirement</w:t>
            </w:r>
          </w:p>
        </w:tc>
      </w:tr>
      <w:tr>
        <w:tc>
          <w:tcPr>
            <w:tcW w:type="dxa" w:w="4320"/>
          </w:tcPr>
          <w:p>
            <w:r>
              <w:t>Developer tool</w:t>
            </w:r>
          </w:p>
        </w:tc>
        <w:tc>
          <w:tcPr>
            <w:tcW w:type="dxa" w:w="4320"/>
          </w:tcPr>
          <w:p>
            <w:r>
              <w:t>Enterprise platform component</w:t>
            </w:r>
          </w:p>
        </w:tc>
      </w:tr>
      <w:tr>
        <w:tc>
          <w:tcPr>
            <w:tcW w:type="dxa" w:w="4320"/>
          </w:tcPr>
          <w:p>
            <w:r>
              <w:t>Python / TypeScript SDK</w:t>
            </w:r>
          </w:p>
        </w:tc>
        <w:tc>
          <w:tcPr>
            <w:tcW w:type="dxa" w:w="4320"/>
          </w:tcPr>
          <w:p>
            <w:r>
              <w:t>Embedded in every AI framework</w:t>
            </w:r>
          </w:p>
        </w:tc>
      </w:tr>
      <w:tr>
        <w:tc>
          <w:tcPr>
            <w:tcW w:type="dxa" w:w="4320"/>
          </w:tcPr>
          <w:p>
            <w:r>
              <w:t>File-level stamping</w:t>
            </w:r>
          </w:p>
        </w:tc>
        <w:tc>
          <w:tcPr>
            <w:tcW w:type="dxa" w:w="4320"/>
          </w:tcPr>
          <w:p>
            <w:r>
              <w:t>Every API call carries AKF metadata</w:t>
            </w:r>
          </w:p>
        </w:tc>
      </w:tr>
      <w:tr>
        <w:tc>
          <w:tcPr>
            <w:tcW w:type="dxa" w:w="4320"/>
          </w:tcPr>
          <w:p>
            <w:r>
              <w:t>10 detection classes</w:t>
            </w:r>
          </w:p>
        </w:tc>
        <w:tc>
          <w:tcPr>
            <w:tcW w:type="dxa" w:w="4320"/>
          </w:tcPr>
          <w:p>
            <w:r>
              <w:t>Industry-specific detection suites</w:t>
            </w:r>
          </w:p>
        </w:tc>
      </w:tr>
      <w:tr>
        <w:tc>
          <w:tcPr>
            <w:tcW w:type="dxa" w:w="4320"/>
          </w:tcPr>
          <w:p>
            <w:r>
              <w:t>akf install on laptops</w:t>
            </w:r>
          </w:p>
        </w:tc>
        <w:tc>
          <w:tcPr>
            <w:tcW w:type="dxa" w:w="4320"/>
          </w:tcPr>
          <w:p>
            <w:r>
              <w:t>In every CI/CD pipeline &amp; LLM gateway</w:t>
            </w:r>
          </w:p>
        </w:tc>
      </w:tr>
      <w:tr>
        <w:tc>
          <w:tcPr>
            <w:tcW w:type="dxa" w:w="4320"/>
          </w:tcPr>
          <w:p>
            <w:r>
              <w:t>Open-source project</w:t>
            </w:r>
          </w:p>
        </w:tc>
        <w:tc>
          <w:tcPr>
            <w:tcW w:type="dxa" w:w="4320"/>
          </w:tcPr>
          <w:p>
            <w:r>
              <w:t>Open standard with governance body</w:t>
            </w:r>
          </w:p>
        </w:tc>
      </w:tr>
    </w:tbl>
    <w:p/>
    <w:p>
      <w:pPr>
        <w:pStyle w:val="Heading1"/>
      </w:pPr>
      <w:r>
        <w:t>7. The Strategic Insight</w:t>
      </w:r>
    </w:p>
    <w:p>
      <w:pPr>
        <w:spacing w:after="160"/>
      </w:pPr>
      <w:r>
        <w:rPr>
          <w:b/>
          <w:i w:val="0"/>
          <w:sz w:val="24"/>
        </w:rPr>
        <w:t>The most valuable companies of the 2030s won’t be the ones that build the best AI models. They’ll be the ones that build the trust layer that makes AI outputs usable in high-stakes decisions.</w:t>
      </w:r>
    </w:p>
    <w:p>
      <w:r>
        <w:t>Models are commoditising. Trust isn’t.</w:t>
      </w:r>
    </w:p>
    <w:p>
      <w:r>
        <w:t>AKF is positioned to be the trust protocol of the agentic internet — the layer between “AI said something” and “we can act on it.” Every major agent framework already has AKF integration points. The file watcher daemon means every file on every machine gets stamped automatically. The zero-overhead architecture (0.2ms latency, 7KB memory) means there’s no performance excuse not to adopt.</w:t>
      </w:r>
    </w:p>
    <w:p>
      <w:pPr>
        <w:spacing w:before="160"/>
      </w:pPr>
      <w:r>
        <w:rPr>
          <w:b/>
          <w:i w:val="0"/>
          <w:sz w:val="22"/>
        </w:rPr>
        <w:t>The HTTPS analogy</w:t>
      </w:r>
    </w:p>
    <w:p>
      <w:r>
        <w:t>In 2000, encryption was optional. By 2020, browsers blocked unencrypted sites. The transition took 20 years. The transition from untagged AI content to AKF-tagged AI content will take 5 years — because the stakes are higher and the pace is faster.</w:t>
      </w:r>
    </w:p>
    <w:p>
      <w:r>
        <w:br w:type="page"/>
      </w:r>
    </w:p>
    <w:p>
      <w:pPr>
        <w:pStyle w:val="Heading1"/>
      </w:pPr>
      <w:r>
        <w:t>8. The Window Is Now</w:t>
      </w:r>
    </w:p>
    <w:p>
      <w:r>
        <w:t>The window for becoming the standard is 2026–2028, before:</w:t>
      </w:r>
    </w:p>
    <w:p>
      <w:pPr>
        <w:pStyle w:val="ListBullet"/>
      </w:pPr>
      <w:r>
        <w:t>Regulators pick a format (or worse, each pick different ones)</w:t>
      </w:r>
    </w:p>
    <w:p>
      <w:pPr>
        <w:pStyle w:val="ListBullet"/>
      </w:pPr>
      <w:r>
        <w:t>A big tech company’s proprietary format gains critical mass</w:t>
      </w:r>
    </w:p>
    <w:p>
      <w:pPr>
        <w:pStyle w:val="ListBullet"/>
      </w:pPr>
      <w:r>
        <w:t>The first major hallucination-liability lawsuit creates urgency for any standard</w:t>
      </w:r>
    </w:p>
    <w:p/>
    <w:p>
      <w:pPr>
        <w:spacing w:before="160" w:after="320"/>
      </w:pPr>
      <w:r>
        <w:rPr>
          <w:b/>
          <w:i w:val="0"/>
          <w:sz w:val="24"/>
        </w:rPr>
        <w:t>The playbook: make AKF the format that’s already everywhere when the regulatory wave hits. Open source, zero friction, works with everything. When the EU mandates “AI content provenance metadata,” the answer should already be “we use AKF.”</w:t>
      </w:r>
    </w:p>
    <w:p/>
    <w:p>
      <w:pPr>
        <w:jc w:val="center"/>
      </w:pPr>
      <w:r>
        <w:rPr>
          <w:color w:val="999999"/>
          <w:sz w:val="18"/>
        </w:rPr>
        <w:t>Agent Knowledge Format  ·  akf.dev  ·  “EXIF for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