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A1A2E"/>
          <w:sz w:val="56"/>
        </w:rPr>
        <w:t>AKF Counter-Positioning Strategy</w:t>
      </w:r>
    </w:p>
    <w:p>
      <w:pPr>
        <w:jc w:val="center"/>
      </w:pPr>
      <w:r>
        <w:rPr>
          <w:b w:val="0"/>
          <w:i/>
          <w:color w:val="555577"/>
          <w:sz w:val="32"/>
        </w:rPr>
        <w:t>How an Open Standard Defeats Billion-Dollar Incumbents</w:t>
      </w:r>
    </w:p>
    <w:p/>
    <w:p/>
    <w:p/>
    <w:p/>
    <w:p>
      <w:pPr>
        <w:jc w:val="center"/>
      </w:pPr>
      <w:r>
        <w:rPr>
          <w:b w:val="0"/>
          <w:i w:val="0"/>
          <w:color w:val="1A1A2E"/>
          <w:sz w:val="24"/>
        </w:rPr>
        <w:t>Business Model  ·  Competitive Analysis  ·  Monetisation Strategy</w:t>
      </w:r>
    </w:p>
    <w:p>
      <w:pPr>
        <w:jc w:val="center"/>
      </w:pPr>
      <w:r>
        <w:rPr>
          <w:b w:val="0"/>
          <w:i w:val="0"/>
          <w:color w:val="888888"/>
          <w:sz w:val="22"/>
        </w:rPr>
        <w:t>Confidential  ·  March 2026</w:t>
      </w:r>
    </w:p>
    <w:p>
      <w:r>
        <w:br w:type="page"/>
      </w:r>
    </w:p>
    <w:p>
      <w:pPr>
        <w:pStyle w:val="Heading1"/>
      </w:pPr>
      <w:r>
        <w:t>The Counter-Positioning Framework</w:t>
      </w:r>
    </w:p>
    <w:p>
      <w:r>
        <w:t>Counter-positioning (Hamilton Helmer, 7 Powers) is the most powerful competitive strategy available to a newcomer. It occurs when a challenger adopts a business model that incumbents cannot copy — not because they lack capability, but because copying would destroy their existing business.</w:t>
      </w:r>
    </w:p>
    <w:p>
      <w:pPr>
        <w:spacing w:before="160" w:after="240"/>
      </w:pPr>
      <w:r>
        <w:rPr>
          <w:b/>
          <w:i w:val="0"/>
          <w:sz w:val="24"/>
        </w:rPr>
        <w:t>AKF has a textbook counter-position against every major player in AI governance.</w:t>
      </w:r>
    </w:p>
    <w:p>
      <w:r>
        <w:t>The core insight: incumbents monetise AI trust through platform lock-in and per-seat SaaS licensing. AKF monetises by making the trust layer free and universal, then capturing value from the ecosystem that forms around it. Incumbents cannot match this without cannibalising their primary revenue streams.</w:t>
      </w:r>
    </w:p>
    <w:p>
      <w:r>
        <w:br w:type="page"/>
      </w:r>
    </w:p>
    <w:p>
      <w:pPr>
        <w:pStyle w:val="Heading1"/>
      </w:pPr>
      <w:r>
        <w:t>1. The Competitive Landscape</w:t>
      </w:r>
    </w:p>
    <w:p>
      <w:r>
        <w:t>Five categories of incumbents sit in the AI trust/governance space:</w:t>
      </w:r>
    </w:p>
    <w:p>
      <w:pPr>
        <w:pStyle w:val="Heading2"/>
      </w:pPr>
      <w:r>
        <w:t>1a. Platform Giants (Microsoft Purview, Google AI Governance)</w:t>
      </w:r>
    </w:p>
    <w:p>
      <w:pPr>
        <w:pStyle w:val="ListBullet"/>
      </w:pPr>
      <w:r>
        <w:rPr>
          <w:b/>
        </w:rPr>
        <w:t>Microsoft Purview</w:t>
      </w:r>
      <w:r>
        <w:t xml:space="preserve"> — Purview embeds trust metadata, compliance controls, and data classification into Azure + M365. Annual revenue ~$4B across compliance products.</w:t>
      </w:r>
    </w:p>
    <w:p>
      <w:pPr>
        <w:pStyle w:val="ListBullet"/>
      </w:pPr>
      <w:r>
        <w:rPr>
          <w:b/>
        </w:rPr>
        <w:t>Google Cloud AI Governance</w:t>
      </w:r>
      <w:r>
        <w:t xml:space="preserve"> — Model Cards, AI governance dashboards, Vertex AI safety features. GCP-locked.</w:t>
      </w:r>
    </w:p>
    <w:p>
      <w:pPr>
        <w:pStyle w:val="ListBullet"/>
      </w:pPr>
      <w:r>
        <w:rPr>
          <w:b/>
        </w:rPr>
        <w:t>Amazon (AWS)</w:t>
      </w:r>
      <w:r>
        <w:t xml:space="preserve"> — Bedrock Guardrails, AI governance controls. AWS-locked.</w:t>
      </w:r>
    </w:p>
    <w:p>
      <w:pPr>
        <w:spacing w:before="160"/>
      </w:pPr>
      <w:r>
        <w:rPr>
          <w:b/>
          <w:i w:val="0"/>
        </w:rPr>
        <w:t>Their business model:</w:t>
      </w:r>
    </w:p>
    <w:p>
      <w:r>
        <w:t>Sell cloud platform → lock in data + compliance → make switching costly. Trust metadata is a retention tool, not a product. Every customer on Purview is a customer who can’t leave Azure.</w:t>
      </w:r>
    </w:p>
    <w:p>
      <w:pPr>
        <w:spacing w:before="160"/>
      </w:pPr>
      <w:r>
        <w:rPr>
          <w:b/>
          <w:i w:val="0"/>
          <w:color w:val="CC3333"/>
        </w:rPr>
        <w:t>Why they can’t copy AKF:</w:t>
      </w:r>
    </w:p>
    <w:p>
      <w:r>
        <w:t>Making trust metadata open and vendor-neutral directly undermines their lock-in strategy. If a customer can stamp files with AKF and move freely between Azure, GCP, and AWS, Microsoft loses the compliance moat that keeps them on Azure. Purview generates ~$4B/year in stickiness value. They will never open-source it.</w:t>
      </w:r>
    </w:p>
    <w:p>
      <w:pPr>
        <w:pStyle w:val="Heading2"/>
      </w:pPr>
      <w:r>
        <w:t>1b. AI Governance SaaS (Credo AI, Holistic AI, Arthur AI, Robust Intelligence)</w:t>
      </w:r>
    </w:p>
    <w:p>
      <w:pPr>
        <w:pStyle w:val="ListBullet"/>
      </w:pPr>
      <w:r>
        <w:t xml:space="preserve"> — AI risk management dashboards. $200K–$500K/year per enterprise.</w:t>
      </w:r>
    </w:p>
    <w:p>
      <w:pPr>
        <w:pStyle w:val="ListBullet"/>
      </w:pPr>
      <w:r>
        <w:t xml:space="preserve"> — Typically centralised: all AI outputs funnel through their platform for review.</w:t>
      </w:r>
    </w:p>
    <w:p>
      <w:pPr>
        <w:pStyle w:val="ListBullet"/>
      </w:pPr>
      <w:r>
        <w:t xml:space="preserve"> — Revenue model: per-seat or per-model-monitored licensing.</w:t>
      </w:r>
    </w:p>
    <w:p>
      <w:pPr>
        <w:spacing w:before="160"/>
      </w:pPr>
      <w:r>
        <w:rPr>
          <w:b/>
          <w:i w:val="0"/>
          <w:color w:val="CC3333"/>
        </w:rPr>
        <w:t>Why they can’t copy AKF:</w:t>
      </w:r>
    </w:p>
    <w:p>
      <w:r>
        <w:t>Their entire business is the dashboard. AKF embeds trust metadata directly into files and API responses — eliminating the need for a centralised governance platform. If they adopt AKF’s approach, they’re giving away their product. A file that carries its own trust metadata doesn’t need a $400K/year dashboard to interpret it.</w:t>
      </w:r>
    </w:p>
    <w:p>
      <w:pPr>
        <w:pStyle w:val="Heading2"/>
      </w:pPr>
      <w:r>
        <w:t>1c. Content Authenticity (C2PA / Content Authenticity Initiative)</w:t>
      </w:r>
    </w:p>
    <w:p>
      <w:pPr>
        <w:pStyle w:val="ListBullet"/>
      </w:pPr>
      <w:r>
        <w:t xml:space="preserve"> — Coalition of Adobe, Microsoft, BBC, Intel. Focused on media provenance (photos, video).</w:t>
      </w:r>
    </w:p>
    <w:p>
      <w:pPr>
        <w:pStyle w:val="ListBullet"/>
      </w:pPr>
      <w:r>
        <w:t xml:space="preserve"> — Heavy infrastructure: hardware attestation, certificate chains, manifest stores.</w:t>
      </w:r>
    </w:p>
    <w:p>
      <w:pPr>
        <w:pStyle w:val="ListBullet"/>
      </w:pPr>
      <w:r>
        <w:t xml:space="preserve"> — Designed for “was this photo real?” — not “how confident is this AI claim?”</w:t>
      </w:r>
    </w:p>
    <w:p>
      <w:pPr>
        <w:spacing w:before="160"/>
      </w:pPr>
      <w:r>
        <w:rPr>
          <w:b/>
          <w:i w:val="0"/>
          <w:color w:val="CC3333"/>
        </w:rPr>
        <w:t>Why they can’t copy AKF:</w:t>
      </w:r>
    </w:p>
    <w:p>
      <w:r>
        <w:t>C2PA is architecturally wrong for agent-to-agent trust. It’s built for binary authenticity (real vs. fake), not graduated trust (confidence 0.3 vs. 0.95, tier 1 vs. tier 5). Retrofitting trust scores, authority tiers, and security detections onto C2PA would require a ground-up rewrite — alienating their existing media-industry coalition. They’re solving a different problem.</w:t>
      </w:r>
    </w:p>
    <w:p>
      <w:pPr>
        <w:pStyle w:val="Heading2"/>
      </w:pPr>
      <w:r>
        <w:t>1d. Observability Platforms (Datadog, Splunk, New Relic)</w:t>
      </w:r>
    </w:p>
    <w:p>
      <w:pPr>
        <w:pStyle w:val="ListBullet"/>
      </w:pPr>
      <w:r>
        <w:t xml:space="preserve"> — Monitor AI systems from the outside: latency, error rates, model drift.</w:t>
      </w:r>
    </w:p>
    <w:p>
      <w:pPr>
        <w:pStyle w:val="ListBullet"/>
      </w:pPr>
      <w:r>
        <w:t xml:space="preserve"> — Do not embed metadata into content. They observe; they don’t label.</w:t>
      </w:r>
    </w:p>
    <w:p>
      <w:pPr>
        <w:spacing w:before="160"/>
      </w:pPr>
      <w:r>
        <w:rPr>
          <w:b/>
          <w:i w:val="0"/>
          <w:color w:val="CC3333"/>
        </w:rPr>
        <w:t>Why they can’t copy AKF:</w:t>
      </w:r>
    </w:p>
    <w:p>
      <w:r>
        <w:t>Observability is pull-based (query a dashboard). AKF is push-based (metadata travels with the content). These are fundamentally different architectures. Datadog would need to pivot from “monitor everything” to “embed metadata into everything” — a complete re-architecture of their product. Their $6B ARR is built on pull-based observability. They won’t pivot.</w:t>
      </w:r>
    </w:p>
    <w:p>
      <w:pPr>
        <w:pStyle w:val="Heading2"/>
      </w:pPr>
      <w:r>
        <w:t>1e. LLM Providers (OpenAI, Anthropic, Google DeepMind)</w:t>
      </w:r>
    </w:p>
    <w:p>
      <w:pPr>
        <w:pStyle w:val="ListBullet"/>
      </w:pPr>
      <w:r>
        <w:t xml:space="preserve"> — Could add trust metadata to model outputs natively.</w:t>
      </w:r>
    </w:p>
    <w:p>
      <w:pPr>
        <w:pStyle w:val="ListBullet"/>
      </w:pPr>
      <w:r>
        <w:t xml:space="preserve"> — Each would use their own proprietary format, creating fragmentation.</w:t>
      </w:r>
    </w:p>
    <w:p>
      <w:pPr>
        <w:spacing w:before="160"/>
      </w:pPr>
      <w:r>
        <w:rPr>
          <w:b/>
          <w:i w:val="0"/>
          <w:color w:val="CC3333"/>
        </w:rPr>
        <w:t>Why they can’t copy AKF:</w:t>
      </w:r>
    </w:p>
    <w:p>
      <w:r>
        <w:t>No single LLM provider can create a cross-provider standard — competitors won’t adopt it. OpenAI’s metadata format would never be adopted by Anthropic, and vice versa. Only a vendor-neutral third party can create the universal standard. This is why USB was created by a consortium, not by one computer manufacturer.</w:t>
      </w:r>
    </w:p>
    <w:p>
      <w:r>
        <w:br w:type="page"/>
      </w:r>
    </w:p>
    <w:p>
      <w:pPr>
        <w:pStyle w:val="Heading1"/>
      </w:pPr>
      <w:r>
        <w:t>2. The Counter-Position Map</w:t>
      </w:r>
    </w:p>
    <w:p>
      <w:r>
        <w:t>Every incumbent is trapped by their own business model:</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Incumbent</w:t>
            </w:r>
          </w:p>
        </w:tc>
        <w:tc>
          <w:tcPr>
            <w:tcW w:type="dxa" w:w="2160"/>
          </w:tcPr>
          <w:p>
            <w:r>
              <w:rPr>
                <w:b/>
              </w:rPr>
              <w:t>Their Model</w:t>
            </w:r>
          </w:p>
        </w:tc>
        <w:tc>
          <w:tcPr>
            <w:tcW w:type="dxa" w:w="2160"/>
          </w:tcPr>
          <w:p>
            <w:r>
              <w:rPr>
                <w:b/>
              </w:rPr>
              <w:t>Why They Can’t Copy AKF</w:t>
            </w:r>
          </w:p>
        </w:tc>
        <w:tc>
          <w:tcPr>
            <w:tcW w:type="dxa" w:w="2160"/>
          </w:tcPr>
          <w:p>
            <w:r>
              <w:rPr>
                <w:b/>
              </w:rPr>
              <w:t>AKF’s Advantage</w:t>
            </w:r>
          </w:p>
        </w:tc>
      </w:tr>
      <w:tr>
        <w:tc>
          <w:tcPr>
            <w:tcW w:type="dxa" w:w="2160"/>
          </w:tcPr>
          <w:p>
            <w:r>
              <w:t>Microsoft Purview</w:t>
            </w:r>
          </w:p>
        </w:tc>
        <w:tc>
          <w:tcPr>
            <w:tcW w:type="dxa" w:w="2160"/>
          </w:tcPr>
          <w:p>
            <w:r>
              <w:t>Platform lock-in via compliance</w:t>
            </w:r>
          </w:p>
        </w:tc>
        <w:tc>
          <w:tcPr>
            <w:tcW w:type="dxa" w:w="2160"/>
          </w:tcPr>
          <w:p>
            <w:r>
              <w:t>Open standard kills Azure stickiness</w:t>
            </w:r>
          </w:p>
        </w:tc>
        <w:tc>
          <w:tcPr>
            <w:tcW w:type="dxa" w:w="2160"/>
          </w:tcPr>
          <w:p>
            <w:r>
              <w:t>Vendor-neutral, works everywhere</w:t>
            </w:r>
          </w:p>
        </w:tc>
      </w:tr>
      <w:tr>
        <w:tc>
          <w:tcPr>
            <w:tcW w:type="dxa" w:w="2160"/>
          </w:tcPr>
          <w:p>
            <w:r>
              <w:t>Governance SaaS</w:t>
            </w:r>
          </w:p>
        </w:tc>
        <w:tc>
          <w:tcPr>
            <w:tcW w:type="dxa" w:w="2160"/>
          </w:tcPr>
          <w:p>
            <w:r>
              <w:t>Per-seat dashboard licensing</w:t>
            </w:r>
          </w:p>
        </w:tc>
        <w:tc>
          <w:tcPr>
            <w:tcW w:type="dxa" w:w="2160"/>
          </w:tcPr>
          <w:p>
            <w:r>
              <w:t>Embedded metadata eliminates the dashboard</w:t>
            </w:r>
          </w:p>
        </w:tc>
        <w:tc>
          <w:tcPr>
            <w:tcW w:type="dxa" w:w="2160"/>
          </w:tcPr>
          <w:p>
            <w:r>
              <w:t>Trust travels with the file</w:t>
            </w:r>
          </w:p>
        </w:tc>
      </w:tr>
      <w:tr>
        <w:tc>
          <w:tcPr>
            <w:tcW w:type="dxa" w:w="2160"/>
          </w:tcPr>
          <w:p>
            <w:r>
              <w:t>C2PA</w:t>
            </w:r>
          </w:p>
        </w:tc>
        <w:tc>
          <w:tcPr>
            <w:tcW w:type="dxa" w:w="2160"/>
          </w:tcPr>
          <w:p>
            <w:r>
              <w:t>Binary media authenticity</w:t>
            </w:r>
          </w:p>
        </w:tc>
        <w:tc>
          <w:tcPr>
            <w:tcW w:type="dxa" w:w="2160"/>
          </w:tcPr>
          <w:p>
            <w:r>
              <w:t>Can’t retrofit graduated trust scores</w:t>
            </w:r>
          </w:p>
        </w:tc>
        <w:tc>
          <w:tcPr>
            <w:tcW w:type="dxa" w:w="2160"/>
          </w:tcPr>
          <w:p>
            <w:r>
              <w:t>Built for agent confidence, not photo verification</w:t>
            </w:r>
          </w:p>
        </w:tc>
      </w:tr>
      <w:tr>
        <w:tc>
          <w:tcPr>
            <w:tcW w:type="dxa" w:w="2160"/>
          </w:tcPr>
          <w:p>
            <w:r>
              <w:t>Observability</w:t>
            </w:r>
          </w:p>
        </w:tc>
        <w:tc>
          <w:tcPr>
            <w:tcW w:type="dxa" w:w="2160"/>
          </w:tcPr>
          <w:p>
            <w:r>
              <w:t>Pull-based monitoring</w:t>
            </w:r>
          </w:p>
        </w:tc>
        <w:tc>
          <w:tcPr>
            <w:tcW w:type="dxa" w:w="2160"/>
          </w:tcPr>
          <w:p>
            <w:r>
              <w:t>Can’t pivot to push-based metadata</w:t>
            </w:r>
          </w:p>
        </w:tc>
        <w:tc>
          <w:tcPr>
            <w:tcW w:type="dxa" w:w="2160"/>
          </w:tcPr>
          <w:p>
            <w:r>
              <w:t>Metadata embedded at creation time</w:t>
            </w:r>
          </w:p>
        </w:tc>
      </w:tr>
      <w:tr>
        <w:tc>
          <w:tcPr>
            <w:tcW w:type="dxa" w:w="2160"/>
          </w:tcPr>
          <w:p>
            <w:r>
              <w:t>LLM Providers</w:t>
            </w:r>
          </w:p>
        </w:tc>
        <w:tc>
          <w:tcPr>
            <w:tcW w:type="dxa" w:w="2160"/>
          </w:tcPr>
          <w:p>
            <w:r>
              <w:t>Proprietary model outputs</w:t>
            </w:r>
          </w:p>
        </w:tc>
        <w:tc>
          <w:tcPr>
            <w:tcW w:type="dxa" w:w="2160"/>
          </w:tcPr>
          <w:p>
            <w:r>
              <w:t>Competitors won’t adopt each other’s format</w:t>
            </w:r>
          </w:p>
        </w:tc>
        <w:tc>
          <w:tcPr>
            <w:tcW w:type="dxa" w:w="2160"/>
          </w:tcPr>
          <w:p>
            <w:r>
              <w:t>Neutral third-party standard</w:t>
            </w:r>
          </w:p>
        </w:tc>
      </w:tr>
    </w:tbl>
    <w:p/>
    <w:p>
      <w:pPr>
        <w:spacing w:before="80" w:after="240"/>
      </w:pPr>
      <w:r>
        <w:rPr>
          <w:b/>
          <w:i w:val="0"/>
          <w:sz w:val="24"/>
        </w:rPr>
        <w:t>This is the definition of counter-positioning: AKF’s model is superior precisely because incumbents are structurally unable to adopt it.</w:t>
      </w:r>
    </w:p>
    <w:p>
      <w:r>
        <w:br w:type="page"/>
      </w:r>
    </w:p>
    <w:p>
      <w:pPr>
        <w:pStyle w:val="Heading1"/>
      </w:pPr>
      <w:r>
        <w:t>3. The Business Model: Open Standard, Commercial Ecosystem</w:t>
      </w:r>
    </w:p>
    <w:p>
      <w:r>
        <w:t>The format is free. The ecosystem is not. This is the proven playbook of Linux (Red Hat, $34B acquisition), Kubernetes (enterprise distributions), Terraform (HashiCorp, $5.7B), and Databricks (Delta Lake, $43B valuation).</w:t>
      </w:r>
    </w:p>
    <w:p>
      <w:pPr>
        <w:pStyle w:val="Heading2"/>
      </w:pPr>
      <w:r>
        <w:t>Free Forever (the standard)</w:t>
      </w:r>
    </w:p>
    <w:p>
      <w:pPr>
        <w:pStyle w:val="ListBullet"/>
      </w:pPr>
      <w:r>
        <w:t>AKF format specification — MIT licensed, open</w:t>
      </w:r>
    </w:p>
    <w:p>
      <w:pPr>
        <w:pStyle w:val="ListBullet"/>
      </w:pPr>
      <w:r>
        <w:t>Python SDK, TypeScript SDK — open source</w:t>
      </w:r>
    </w:p>
    <w:p>
      <w:pPr>
        <w:pStyle w:val="ListBullet"/>
      </w:pPr>
      <w:r>
        <w:t>CLI tools (stamp, inspect, convert, install) — open source</w:t>
      </w:r>
    </w:p>
    <w:p>
      <w:pPr>
        <w:pStyle w:val="ListBullet"/>
      </w:pPr>
      <w:r>
        <w:t>File watcher daemon — open source</w:t>
      </w:r>
    </w:p>
    <w:p>
      <w:pPr>
        <w:pStyle w:val="ListBullet"/>
      </w:pPr>
      <w:r>
        <w:t>Framework integrations (LangChain, CrewAI, LlamaIndex) — open source</w:t>
      </w:r>
    </w:p>
    <w:p>
      <w:pPr>
        <w:pStyle w:val="ListBullet"/>
      </w:pPr>
      <w:r>
        <w:t>Security detection engine (10 base classes) — open source</w:t>
      </w:r>
    </w:p>
    <w:p>
      <w:pPr>
        <w:pStyle w:val="Heading2"/>
      </w:pPr>
      <w:r>
        <w:t>Paid (the ecosystem)</w:t>
      </w:r>
    </w:p>
    <w:p>
      <w:pPr>
        <w:pStyle w:val="Heading3"/>
      </w:pPr>
      <w:r>
        <w:t>Tier 1: AKF Cloud — Trust Analytics Platform</w:t>
      </w:r>
    </w:p>
    <w:p>
      <w:r>
        <w:t>$50K–$200K/year per enterprise</w:t>
      </w:r>
    </w:p>
    <w:p>
      <w:pPr>
        <w:pStyle w:val="ListBullet"/>
      </w:pPr>
      <w:r>
        <w:t>Centralised dashboard: trust scores across every AI output in the organisation</w:t>
      </w:r>
    </w:p>
    <w:p>
      <w:pPr>
        <w:pStyle w:val="ListBullet"/>
      </w:pPr>
      <w:r>
        <w:t>Trend analysis: confidence drift, authority inflation patterns over time</w:t>
      </w:r>
    </w:p>
    <w:p>
      <w:pPr>
        <w:pStyle w:val="ListBullet"/>
      </w:pPr>
      <w:r>
        <w:t>Compliance reporting: pre-built templates for EU AI Act, US AI Accountability Framework</w:t>
      </w:r>
    </w:p>
    <w:p>
      <w:pPr>
        <w:pStyle w:val="ListBullet"/>
      </w:pPr>
      <w:r>
        <w:t>Alert engine: real-time notifications when security detections trigger</w:t>
      </w:r>
    </w:p>
    <w:p>
      <w:pPr>
        <w:pStyle w:val="ListBullet"/>
      </w:pPr>
      <w:r>
        <w:t>Audit trail: every stamp, every hop, searchable and exportable</w:t>
      </w:r>
    </w:p>
    <w:p>
      <w:pPr>
        <w:pStyle w:val="Heading3"/>
      </w:pPr>
      <w:r>
        <w:t>Tier 2: AKF Gateway — Trust Proxy for API Traffic</w:t>
      </w:r>
    </w:p>
    <w:p>
      <w:r>
        <w:t>$100K–$500K/year per enterprise</w:t>
      </w:r>
    </w:p>
    <w:p>
      <w:pPr>
        <w:pStyle w:val="ListBullet"/>
      </w:pPr>
      <w:r>
        <w:t>Sits between your agents and LLM APIs — auto-stamps every request and response</w:t>
      </w:r>
    </w:p>
    <w:p>
      <w:pPr>
        <w:pStyle w:val="ListBullet"/>
      </w:pPr>
      <w:r>
        <w:t>Policy engine: block agent outputs below confidence threshold</w:t>
      </w:r>
    </w:p>
    <w:p>
      <w:pPr>
        <w:pStyle w:val="ListBullet"/>
      </w:pPr>
      <w:r>
        <w:t>Rate limiting by trust tier: Tier 5 speculative outputs can’t trigger financial transactions</w:t>
      </w:r>
    </w:p>
    <w:p>
      <w:pPr>
        <w:pStyle w:val="ListBullet"/>
      </w:pPr>
      <w:r>
        <w:t>Multi-provider normalisation: unified AKF metadata regardless of LLM provider</w:t>
      </w:r>
    </w:p>
    <w:p>
      <w:pPr>
        <w:pStyle w:val="Heading3"/>
      </w:pPr>
      <w:r>
        <w:t>Tier 3: Industry Detection Packs</w:t>
      </w:r>
    </w:p>
    <w:p>
      <w:r>
        <w:t>$20K–$80K/year per pack</w:t>
      </w:r>
    </w:p>
    <w:p>
      <w:pPr>
        <w:pStyle w:val="ListBullet"/>
      </w:pPr>
      <w:r>
        <w:rPr>
          <w:b/>
        </w:rPr>
        <w:t>Healthcare:</w:t>
      </w:r>
      <w:r>
        <w:t xml:space="preserve"> — hallucinated drug interactions, off-label dosage detection, clinical confidence thresholds</w:t>
      </w:r>
    </w:p>
    <w:p>
      <w:pPr>
        <w:pStyle w:val="ListBullet"/>
      </w:pPr>
      <w:r>
        <w:rPr>
          <w:b/>
        </w:rPr>
        <w:t>Financial Services:</w:t>
      </w:r>
      <w:r>
        <w:t xml:space="preserve"> — earnings manipulation, insider information leak detection, regulatory filing validation</w:t>
      </w:r>
    </w:p>
    <w:p>
      <w:pPr>
        <w:pStyle w:val="ListBullet"/>
      </w:pPr>
      <w:r>
        <w:rPr>
          <w:b/>
        </w:rPr>
        <w:t>Legal:</w:t>
      </w:r>
      <w:r>
        <w:t xml:space="preserve"> — case citation verification, jurisdiction mismatch, precedent confidence scoring</w:t>
      </w:r>
    </w:p>
    <w:p>
      <w:pPr>
        <w:pStyle w:val="ListBullet"/>
      </w:pPr>
      <w:r>
        <w:rPr>
          <w:b/>
        </w:rPr>
        <w:t>Defence / Intelligence:</w:t>
      </w:r>
      <w:r>
        <w:t xml:space="preserve"> — classified information spillage, clearance-level metadata, need-to-know enforcement</w:t>
      </w:r>
    </w:p>
    <w:p>
      <w:pPr>
        <w:pStyle w:val="Heading3"/>
      </w:pPr>
      <w:r>
        <w:t>Tier 4: Enterprise Support &amp; Certification</w:t>
      </w:r>
    </w:p>
    <w:p>
      <w:pPr>
        <w:pStyle w:val="ListBullet"/>
      </w:pPr>
      <w:r>
        <w:rPr>
          <w:b/>
        </w:rPr>
        <w:t>AKF Enterprise Support ($50K–$150K/year):</w:t>
      </w:r>
      <w:r>
        <w:t xml:space="preserve"> — SLA-backed support, deployment assistance, custom integrations</w:t>
      </w:r>
    </w:p>
    <w:p>
      <w:pPr>
        <w:pStyle w:val="ListBullet"/>
      </w:pPr>
      <w:r>
        <w:rPr>
          <w:b/>
        </w:rPr>
        <w:t>AKF Certification Programme:</w:t>
      </w:r>
      <w:r>
        <w:t xml:space="preserve"> — “AKF Certified” badge for AI products that implement the standard. Licence fee per product.</w:t>
      </w:r>
    </w:p>
    <w:p>
      <w:pPr>
        <w:pStyle w:val="ListBullet"/>
      </w:pPr>
      <w:r>
        <w:rPr>
          <w:b/>
        </w:rPr>
        <w:t>Training &amp; Certification:</w:t>
      </w:r>
      <w:r>
        <w:t xml:space="preserve"> — 2-day courses for enterprise teams. $2K–$5K per seat.</w:t>
      </w:r>
    </w:p>
    <w:p>
      <w:r>
        <w:br w:type="page"/>
      </w:r>
    </w:p>
    <w:p>
      <w:pPr>
        <w:pStyle w:val="Heading1"/>
      </w:pPr>
      <w:r>
        <w:t>4. Revenue Model</w:t>
      </w:r>
    </w:p>
    <w:p>
      <w:r>
        <w:t>Conservative projections based on open-standard adoption curves: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Year</w:t>
            </w:r>
          </w:p>
        </w:tc>
        <w:tc>
          <w:tcPr>
            <w:tcW w:type="dxa" w:w="1728"/>
          </w:tcPr>
          <w:p>
            <w:r>
              <w:rPr>
                <w:b/>
              </w:rPr>
              <w:t>Stage</w:t>
            </w:r>
          </w:p>
        </w:tc>
        <w:tc>
          <w:tcPr>
            <w:tcW w:type="dxa" w:w="1728"/>
          </w:tcPr>
          <w:p>
            <w:r>
              <w:rPr>
                <w:b/>
              </w:rPr>
              <w:t>Paying Enterprises</w:t>
            </w:r>
          </w:p>
        </w:tc>
        <w:tc>
          <w:tcPr>
            <w:tcW w:type="dxa" w:w="1728"/>
          </w:tcPr>
          <w:p>
            <w:r>
              <w:rPr>
                <w:b/>
              </w:rPr>
              <w:t>Avg. Contract</w:t>
            </w:r>
          </w:p>
        </w:tc>
        <w:tc>
          <w:tcPr>
            <w:tcW w:type="dxa" w:w="1728"/>
          </w:tcPr>
          <w:p>
            <w:r>
              <w:rPr>
                <w:b/>
              </w:rPr>
              <w:t>ARR</w:t>
            </w:r>
          </w:p>
        </w:tc>
      </w:tr>
      <w:tr>
        <w:tc>
          <w:tcPr>
            <w:tcW w:type="dxa" w:w="1728"/>
          </w:tcPr>
          <w:p>
            <w:r>
              <w:t>2027</w:t>
            </w:r>
          </w:p>
        </w:tc>
        <w:tc>
          <w:tcPr>
            <w:tcW w:type="dxa" w:w="1728"/>
          </w:tcPr>
          <w:p>
            <w:r>
              <w:t>Early adopters</w:t>
            </w:r>
          </w:p>
        </w:tc>
        <w:tc>
          <w:tcPr>
            <w:tcW w:type="dxa" w:w="1728"/>
          </w:tcPr>
          <w:p>
            <w:r>
              <w:t>15–25</w:t>
            </w:r>
          </w:p>
        </w:tc>
        <w:tc>
          <w:tcPr>
            <w:tcW w:type="dxa" w:w="1728"/>
          </w:tcPr>
          <w:p>
            <w:r>
              <w:t>$80K</w:t>
            </w:r>
          </w:p>
        </w:tc>
        <w:tc>
          <w:tcPr>
            <w:tcW w:type="dxa" w:w="1728"/>
          </w:tcPr>
          <w:p>
            <w:r>
              <w:t>$1.2M–$2M</w:t>
            </w:r>
          </w:p>
        </w:tc>
      </w:tr>
      <w:tr>
        <w:tc>
          <w:tcPr>
            <w:tcW w:type="dxa" w:w="1728"/>
          </w:tcPr>
          <w:p>
            <w:r>
              <w:t>2028</w:t>
            </w:r>
          </w:p>
        </w:tc>
        <w:tc>
          <w:tcPr>
            <w:tcW w:type="dxa" w:w="1728"/>
          </w:tcPr>
          <w:p>
            <w:r>
              <w:t>Regulatory tailwinds</w:t>
            </w:r>
          </w:p>
        </w:tc>
        <w:tc>
          <w:tcPr>
            <w:tcW w:type="dxa" w:w="1728"/>
          </w:tcPr>
          <w:p>
            <w:r>
              <w:t>80–150</w:t>
            </w:r>
          </w:p>
        </w:tc>
        <w:tc>
          <w:tcPr>
            <w:tcW w:type="dxa" w:w="1728"/>
          </w:tcPr>
          <w:p>
            <w:r>
              <w:t>$120K</w:t>
            </w:r>
          </w:p>
        </w:tc>
        <w:tc>
          <w:tcPr>
            <w:tcW w:type="dxa" w:w="1728"/>
          </w:tcPr>
          <w:p>
            <w:r>
              <w:t>$10M–$18M</w:t>
            </w:r>
          </w:p>
        </w:tc>
      </w:tr>
      <w:tr>
        <w:tc>
          <w:tcPr>
            <w:tcW w:type="dxa" w:w="1728"/>
          </w:tcPr>
          <w:p>
            <w:r>
              <w:t>2029</w:t>
            </w:r>
          </w:p>
        </w:tc>
        <w:tc>
          <w:tcPr>
            <w:tcW w:type="dxa" w:w="1728"/>
          </w:tcPr>
          <w:p>
            <w:r>
              <w:t>Platform expansion</w:t>
            </w:r>
          </w:p>
        </w:tc>
        <w:tc>
          <w:tcPr>
            <w:tcW w:type="dxa" w:w="1728"/>
          </w:tcPr>
          <w:p>
            <w:r>
              <w:t>300–500</w:t>
            </w:r>
          </w:p>
        </w:tc>
        <w:tc>
          <w:tcPr>
            <w:tcW w:type="dxa" w:w="1728"/>
          </w:tcPr>
          <w:p>
            <w:r>
              <w:t>$180K</w:t>
            </w:r>
          </w:p>
        </w:tc>
        <w:tc>
          <w:tcPr>
            <w:tcW w:type="dxa" w:w="1728"/>
          </w:tcPr>
          <w:p>
            <w:r>
              <w:t>$54M–$90M</w:t>
            </w:r>
          </w:p>
        </w:tc>
      </w:tr>
      <w:tr>
        <w:tc>
          <w:tcPr>
            <w:tcW w:type="dxa" w:w="1728"/>
          </w:tcPr>
          <w:p>
            <w:r>
              <w:t>2030</w:t>
            </w:r>
          </w:p>
        </w:tc>
        <w:tc>
          <w:tcPr>
            <w:tcW w:type="dxa" w:w="1728"/>
          </w:tcPr>
          <w:p>
            <w:r>
              <w:t>Industry standard</w:t>
            </w:r>
          </w:p>
        </w:tc>
        <w:tc>
          <w:tcPr>
            <w:tcW w:type="dxa" w:w="1728"/>
          </w:tcPr>
          <w:p>
            <w:r>
              <w:t>800–1,500</w:t>
            </w:r>
          </w:p>
        </w:tc>
        <w:tc>
          <w:tcPr>
            <w:tcW w:type="dxa" w:w="1728"/>
          </w:tcPr>
          <w:p>
            <w:r>
              <w:t>$220K</w:t>
            </w:r>
          </w:p>
        </w:tc>
        <w:tc>
          <w:tcPr>
            <w:tcW w:type="dxa" w:w="1728"/>
          </w:tcPr>
          <w:p>
            <w:r>
              <w:t>$176M–$330M</w:t>
            </w:r>
          </w:p>
        </w:tc>
      </w:tr>
      <w:tr>
        <w:tc>
          <w:tcPr>
            <w:tcW w:type="dxa" w:w="1728"/>
          </w:tcPr>
          <w:p>
            <w:r>
              <w:t>2031</w:t>
            </w:r>
          </w:p>
        </w:tc>
        <w:tc>
          <w:tcPr>
            <w:tcW w:type="dxa" w:w="1728"/>
          </w:tcPr>
          <w:p>
            <w:r>
              <w:t>Infrastructure layer</w:t>
            </w:r>
          </w:p>
        </w:tc>
        <w:tc>
          <w:tcPr>
            <w:tcW w:type="dxa" w:w="1728"/>
          </w:tcPr>
          <w:p>
            <w:r>
              <w:t>2,000–4,000</w:t>
            </w:r>
          </w:p>
        </w:tc>
        <w:tc>
          <w:tcPr>
            <w:tcW w:type="dxa" w:w="1728"/>
          </w:tcPr>
          <w:p>
            <w:r>
              <w:t>$250K</w:t>
            </w:r>
          </w:p>
        </w:tc>
        <w:tc>
          <w:tcPr>
            <w:tcW w:type="dxa" w:w="1728"/>
          </w:tcPr>
          <w:p>
            <w:r>
              <w:t>$500M–$1B</w:t>
            </w:r>
          </w:p>
        </w:tc>
      </w:tr>
    </w:tbl>
    <w:p/>
    <w:p>
      <w:r>
        <w:t>These numbers assume AKF captures 5–10% of the AI governance market, which is projected to reach $10B+ by 2031 (Gartner, Forrester estimates).</w:t>
      </w:r>
    </w:p>
    <w:p>
      <w:pPr>
        <w:spacing w:before="160"/>
      </w:pPr>
      <w:r>
        <w:rPr>
          <w:b/>
          <w:i w:val="0"/>
        </w:rPr>
        <w:t>Key growth drivers:</w:t>
      </w:r>
    </w:p>
    <w:p>
      <w:pPr>
        <w:pStyle w:val="ListBullet"/>
      </w:pPr>
      <w:r>
        <w:rPr>
          <w:b/>
        </w:rPr>
        <w:t>Regulatory compliance</w:t>
      </w:r>
      <w:r>
        <w:t xml:space="preserve"> drives mandatory adoption (2028–2029)</w:t>
      </w:r>
    </w:p>
    <w:p>
      <w:pPr>
        <w:pStyle w:val="ListBullet"/>
      </w:pPr>
      <w:r>
        <w:rPr>
          <w:b/>
        </w:rPr>
        <w:t>Insurance requirements</w:t>
      </w:r>
      <w:r>
        <w:t xml:space="preserve"> makes trust metadata a condition of AI liability coverage (2029–2030)</w:t>
      </w:r>
    </w:p>
    <w:p>
      <w:pPr>
        <w:pStyle w:val="ListBullet"/>
      </w:pPr>
      <w:r>
        <w:rPr>
          <w:b/>
        </w:rPr>
        <w:t>Enterprise agent deployments</w:t>
      </w:r>
      <w:r>
        <w:t xml:space="preserve"> need standardised trust metadata for multi-agent systems (2028+)</w:t>
      </w:r>
    </w:p>
    <w:p>
      <w:r>
        <w:br w:type="page"/>
      </w:r>
    </w:p>
    <w:p>
      <w:pPr>
        <w:pStyle w:val="Heading1"/>
      </w:pPr>
      <w:r>
        <w:t>5. Why This Model Wins</w:t>
      </w:r>
    </w:p>
    <w:p>
      <w:pPr>
        <w:pStyle w:val="Heading2"/>
      </w:pPr>
      <w:r>
        <w:t>5a. Network effects compound</w:t>
      </w:r>
    </w:p>
    <w:p>
      <w:r>
        <w:t>Every file stamped with AKF makes the standard more valuable. Every agent framework that integrates AKF makes it harder to justify a proprietary alternative. This is the same dynamic that made HTTP, PDF, and USB unstoppable — once adoption crosses a threshold, the standard becomes self-reinforcing.</w:t>
      </w:r>
    </w:p>
    <w:p>
      <w:pPr>
        <w:pStyle w:val="Heading2"/>
      </w:pPr>
      <w:r>
        <w:t>5b. Switching costs favour the standard</w:t>
      </w:r>
    </w:p>
    <w:p>
      <w:r>
        <w:t>Migrating from Purview to another vendor means converting all your compliance metadata. Migrating from AKF to another format means… nothing, because AKF is embedded in the files themselves. But migrating from a proprietary format TO AKF is easy (just stamp the files). The switching cost is asymmetric: easy to switch to AKF, hard to switch away.</w:t>
      </w:r>
    </w:p>
    <w:p>
      <w:pPr>
        <w:pStyle w:val="Heading2"/>
      </w:pPr>
      <w:r>
        <w:t>5c. The ecosystem creates the moat</w:t>
      </w:r>
    </w:p>
    <w:p>
      <w:r>
        <w:t>AKF’s moat isn’t the format (it’s open). The moat is the ecosystem: the detection packs, the gateway, the certification programme, the training courses, the compliance templates, the enterprise support. Once an organisation builds on the AKF ecosystem, they’re buying from AKF — not because they’re locked in, but because nobody else understands the standard as deeply.</w:t>
      </w:r>
    </w:p>
    <w:p>
      <w:pPr>
        <w:pStyle w:val="Heading2"/>
      </w:pPr>
      <w:r>
        <w:t>5d. Incumbents are paralysed</w:t>
      </w:r>
    </w:p>
    <w:p>
      <w:r>
        <w:t>This is the counter-positioning endgame. Microsoft sees AKF gaining traction but can’t respond without undermining Purview. Governance SaaS companies see their dashboards becoming irrelevant but can’t pivot to embedded metadata without eliminating their revenue. By the time they react, AKF is already the standard.</w:t>
      </w:r>
    </w:p>
    <w:p>
      <w:r>
        <w:br w:type="page"/>
      </w:r>
    </w:p>
    <w:p>
      <w:pPr>
        <w:pStyle w:val="Heading1"/>
      </w:pPr>
      <w:r>
        <w:t>6. Historical Precedents</w:t>
      </w:r>
    </w:p>
    <w:p>
      <w:r>
        <w:t>Every successful open standard follows the same counter-positioning arc:</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Standard</w:t>
            </w:r>
          </w:p>
        </w:tc>
        <w:tc>
          <w:tcPr>
            <w:tcW w:type="dxa" w:w="2160"/>
          </w:tcPr>
          <w:p>
            <w:r>
              <w:rPr>
                <w:b/>
              </w:rPr>
              <w:t>Incumbent Defeated</w:t>
            </w:r>
          </w:p>
        </w:tc>
        <w:tc>
          <w:tcPr>
            <w:tcW w:type="dxa" w:w="2160"/>
          </w:tcPr>
          <w:p>
            <w:r>
              <w:rPr>
                <w:b/>
              </w:rPr>
              <w:t>Counter-Position</w:t>
            </w:r>
          </w:p>
        </w:tc>
        <w:tc>
          <w:tcPr>
            <w:tcW w:type="dxa" w:w="2160"/>
          </w:tcPr>
          <w:p>
            <w:r>
              <w:rPr>
                <w:b/>
              </w:rPr>
              <w:t>Outcome</w:t>
            </w:r>
          </w:p>
        </w:tc>
      </w:tr>
      <w:tr>
        <w:tc>
          <w:tcPr>
            <w:tcW w:type="dxa" w:w="2160"/>
          </w:tcPr>
          <w:p>
            <w:r>
              <w:t>Linux</w:t>
            </w:r>
          </w:p>
        </w:tc>
        <w:tc>
          <w:tcPr>
            <w:tcW w:type="dxa" w:w="2160"/>
          </w:tcPr>
          <w:p>
            <w:r>
              <w:t>Microsoft Windows Server</w:t>
            </w:r>
          </w:p>
        </w:tc>
        <w:tc>
          <w:tcPr>
            <w:tcW w:type="dxa" w:w="2160"/>
          </w:tcPr>
          <w:p>
            <w:r>
              <w:t>Free OS; monetise support (Red Hat)</w:t>
            </w:r>
          </w:p>
        </w:tc>
        <w:tc>
          <w:tcPr>
            <w:tcW w:type="dxa" w:w="2160"/>
          </w:tcPr>
          <w:p>
            <w:r>
              <w:t>$34B acquisition by IBM</w:t>
            </w:r>
          </w:p>
        </w:tc>
      </w:tr>
      <w:tr>
        <w:tc>
          <w:tcPr>
            <w:tcW w:type="dxa" w:w="2160"/>
          </w:tcPr>
          <w:p>
            <w:r>
              <w:t>Kubernetes</w:t>
            </w:r>
          </w:p>
        </w:tc>
        <w:tc>
          <w:tcPr>
            <w:tcW w:type="dxa" w:w="2160"/>
          </w:tcPr>
          <w:p>
            <w:r>
              <w:t>VMware, proprietary orchestration</w:t>
            </w:r>
          </w:p>
        </w:tc>
        <w:tc>
          <w:tcPr>
            <w:tcW w:type="dxa" w:w="2160"/>
          </w:tcPr>
          <w:p>
            <w:r>
              <w:t>Free orchestration; monetise managed K8s</w:t>
            </w:r>
          </w:p>
        </w:tc>
        <w:tc>
          <w:tcPr>
            <w:tcW w:type="dxa" w:w="2160"/>
          </w:tcPr>
          <w:p>
            <w:r>
              <w:t>Became default infrastructure</w:t>
            </w:r>
          </w:p>
        </w:tc>
      </w:tr>
      <w:tr>
        <w:tc>
          <w:tcPr>
            <w:tcW w:type="dxa" w:w="2160"/>
          </w:tcPr>
          <w:p>
            <w:r>
              <w:t>Delta Lake / Spark</w:t>
            </w:r>
          </w:p>
        </w:tc>
        <w:tc>
          <w:tcPr>
            <w:tcW w:type="dxa" w:w="2160"/>
          </w:tcPr>
          <w:p>
            <w:r>
              <w:t>Oracle, Teradata</w:t>
            </w:r>
          </w:p>
        </w:tc>
        <w:tc>
          <w:tcPr>
            <w:tcW w:type="dxa" w:w="2160"/>
          </w:tcPr>
          <w:p>
            <w:r>
              <w:t>Free data layer; monetise platform</w:t>
            </w:r>
          </w:p>
        </w:tc>
        <w:tc>
          <w:tcPr>
            <w:tcW w:type="dxa" w:w="2160"/>
          </w:tcPr>
          <w:p>
            <w:r>
              <w:t>Databricks valued at $43B</w:t>
            </w:r>
          </w:p>
        </w:tc>
      </w:tr>
      <w:tr>
        <w:tc>
          <w:tcPr>
            <w:tcW w:type="dxa" w:w="2160"/>
          </w:tcPr>
          <w:p>
            <w:r>
              <w:t>Terraform</w:t>
            </w:r>
          </w:p>
        </w:tc>
        <w:tc>
          <w:tcPr>
            <w:tcW w:type="dxa" w:w="2160"/>
          </w:tcPr>
          <w:p>
            <w:r>
              <w:t>AWS CloudFormation (locked)</w:t>
            </w:r>
          </w:p>
        </w:tc>
        <w:tc>
          <w:tcPr>
            <w:tcW w:type="dxa" w:w="2160"/>
          </w:tcPr>
          <w:p>
            <w:r>
              <w:t>Free multi-cloud IaC; monetise enterprise</w:t>
            </w:r>
          </w:p>
        </w:tc>
        <w:tc>
          <w:tcPr>
            <w:tcW w:type="dxa" w:w="2160"/>
          </w:tcPr>
          <w:p>
            <w:r>
              <w:t>HashiCorp acquired for $5.7B</w:t>
            </w:r>
          </w:p>
        </w:tc>
      </w:tr>
      <w:tr>
        <w:tc>
          <w:tcPr>
            <w:tcW w:type="dxa" w:w="2160"/>
          </w:tcPr>
          <w:p>
            <w:r>
              <w:t>Android</w:t>
            </w:r>
          </w:p>
        </w:tc>
        <w:tc>
          <w:tcPr>
            <w:tcW w:type="dxa" w:w="2160"/>
          </w:tcPr>
          <w:p>
            <w:r>
              <w:t>iPhone (closed ecosystem)</w:t>
            </w:r>
          </w:p>
        </w:tc>
        <w:tc>
          <w:tcPr>
            <w:tcW w:type="dxa" w:w="2160"/>
          </w:tcPr>
          <w:p>
            <w:r>
              <w:t>Free OS; monetise services + data</w:t>
            </w:r>
          </w:p>
        </w:tc>
        <w:tc>
          <w:tcPr>
            <w:tcW w:type="dxa" w:w="2160"/>
          </w:tcPr>
          <w:p>
            <w:r>
              <w:t>72% global smartphone market</w:t>
            </w:r>
          </w:p>
        </w:tc>
      </w:tr>
      <w:tr>
        <w:tc>
          <w:tcPr>
            <w:tcW w:type="dxa" w:w="2160"/>
          </w:tcPr>
          <w:p>
            <w:r>
              <w:t>PDF</w:t>
            </w:r>
          </w:p>
        </w:tc>
        <w:tc>
          <w:tcPr>
            <w:tcW w:type="dxa" w:w="2160"/>
          </w:tcPr>
          <w:p>
            <w:r>
              <w:t>Proprietary doc formats</w:t>
            </w:r>
          </w:p>
        </w:tc>
        <w:tc>
          <w:tcPr>
            <w:tcW w:type="dxa" w:w="2160"/>
          </w:tcPr>
          <w:p>
            <w:r>
              <w:t>Free reader; monetise creation tools</w:t>
            </w:r>
          </w:p>
        </w:tc>
        <w:tc>
          <w:tcPr>
            <w:tcW w:type="dxa" w:w="2160"/>
          </w:tcPr>
          <w:p>
            <w:r>
              <w:t>Became the legal document standard</w:t>
            </w:r>
          </w:p>
        </w:tc>
      </w:tr>
      <w:tr>
        <w:tc>
          <w:tcPr>
            <w:tcW w:type="dxa" w:w="2160"/>
          </w:tcPr>
          <w:p>
            <w:r>
              <w:t>AKF (projected)</w:t>
            </w:r>
          </w:p>
        </w:tc>
        <w:tc>
          <w:tcPr>
            <w:tcW w:type="dxa" w:w="2160"/>
          </w:tcPr>
          <w:p>
            <w:r>
              <w:t>Purview, governance SaaS</w:t>
            </w:r>
          </w:p>
        </w:tc>
        <w:tc>
          <w:tcPr>
            <w:tcW w:type="dxa" w:w="2160"/>
          </w:tcPr>
          <w:p>
            <w:r>
              <w:t>Free format; monetise ecosystem</w:t>
            </w:r>
          </w:p>
        </w:tc>
        <w:tc>
          <w:tcPr>
            <w:tcW w:type="dxa" w:w="2160"/>
          </w:tcPr>
          <w:p>
            <w:r>
              <w:t>The trust standard for AI</w:t>
            </w:r>
          </w:p>
        </w:tc>
      </w:tr>
    </w:tbl>
    <w:p/>
    <w:p>
      <w:pPr>
        <w:spacing w:before="80" w:after="240"/>
      </w:pPr>
      <w:r>
        <w:rPr>
          <w:b/>
          <w:i/>
        </w:rPr>
        <w:t>Pattern: free standard wins adoption → ecosystem creates revenue → incumbents can’t respond without self-harm → standard becomes infrastructure.</w:t>
      </w:r>
    </w:p>
    <w:p>
      <w:r>
        <w:br w:type="page"/>
      </w:r>
    </w:p>
    <w:p>
      <w:pPr>
        <w:pStyle w:val="Heading1"/>
      </w:pPr>
      <w:r>
        <w:t>7. The Seven Powers Assessment</w:t>
      </w:r>
    </w:p>
    <w:p>
      <w:r>
        <w:t>Using Hamilton Helmer’s 7 Powers framework to assess AKF’s defensibility: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Power</w:t>
            </w:r>
          </w:p>
        </w:tc>
        <w:tc>
          <w:tcPr>
            <w:tcW w:type="dxa" w:w="2880"/>
          </w:tcPr>
          <w:p>
            <w:r>
              <w:rPr>
                <w:b/>
              </w:rPr>
              <w:t>AKF’s Position</w:t>
            </w:r>
          </w:p>
        </w:tc>
        <w:tc>
          <w:tcPr>
            <w:tcW w:type="dxa" w:w="2880"/>
          </w:tcPr>
          <w:p>
            <w:r>
              <w:rPr>
                <w:b/>
              </w:rPr>
              <w:t>Strength</w:t>
            </w:r>
          </w:p>
        </w:tc>
      </w:tr>
      <w:tr>
        <w:tc>
          <w:tcPr>
            <w:tcW w:type="dxa" w:w="2880"/>
          </w:tcPr>
          <w:p>
            <w:r>
              <w:t>Counter-positioning</w:t>
            </w:r>
          </w:p>
        </w:tc>
        <w:tc>
          <w:tcPr>
            <w:tcW w:type="dxa" w:w="2880"/>
          </w:tcPr>
          <w:p>
            <w:r>
              <w:t>Incumbents can’t copy open-standard model without cannibalising revenue</w:t>
            </w:r>
          </w:p>
        </w:tc>
        <w:tc>
          <w:tcPr>
            <w:tcW w:type="dxa" w:w="2880"/>
          </w:tcPr>
          <w:p>
            <w:r>
              <w:t>Very Strong</w:t>
            </w:r>
          </w:p>
        </w:tc>
      </w:tr>
      <w:tr>
        <w:tc>
          <w:tcPr>
            <w:tcW w:type="dxa" w:w="2880"/>
          </w:tcPr>
          <w:p>
            <w:r>
              <w:t>Network effects</w:t>
            </w:r>
          </w:p>
        </w:tc>
        <w:tc>
          <w:tcPr>
            <w:tcW w:type="dxa" w:w="2880"/>
          </w:tcPr>
          <w:p>
            <w:r>
              <w:t>Every AKF-stamped file and integrated framework increases standard value</w:t>
            </w:r>
          </w:p>
        </w:tc>
        <w:tc>
          <w:tcPr>
            <w:tcW w:type="dxa" w:w="2880"/>
          </w:tcPr>
          <w:p>
            <w:r>
              <w:t>Strong (building)</w:t>
            </w:r>
          </w:p>
        </w:tc>
      </w:tr>
      <w:tr>
        <w:tc>
          <w:tcPr>
            <w:tcW w:type="dxa" w:w="2880"/>
          </w:tcPr>
          <w:p>
            <w:r>
              <w:t>Switching costs</w:t>
            </w:r>
          </w:p>
        </w:tc>
        <w:tc>
          <w:tcPr>
            <w:tcW w:type="dxa" w:w="2880"/>
          </w:tcPr>
          <w:p>
            <w:r>
              <w:t>Asymmetric: easy to adopt AKF, hard to leave once ecosystem is built</w:t>
            </w:r>
          </w:p>
        </w:tc>
        <w:tc>
          <w:tcPr>
            <w:tcW w:type="dxa" w:w="2880"/>
          </w:tcPr>
          <w:p>
            <w:r>
              <w:t>Moderate (growing)</w:t>
            </w:r>
          </w:p>
        </w:tc>
      </w:tr>
      <w:tr>
        <w:tc>
          <w:tcPr>
            <w:tcW w:type="dxa" w:w="2880"/>
          </w:tcPr>
          <w:p>
            <w:r>
              <w:t>Scale economies</w:t>
            </w:r>
          </w:p>
        </w:tc>
        <w:tc>
          <w:tcPr>
            <w:tcW w:type="dxa" w:w="2880"/>
          </w:tcPr>
          <w:p>
            <w:r>
              <w:t>Open-source community contribution reduces R&amp;D cost as adoption grows</w:t>
            </w:r>
          </w:p>
        </w:tc>
        <w:tc>
          <w:tcPr>
            <w:tcW w:type="dxa" w:w="2880"/>
          </w:tcPr>
          <w:p>
            <w:r>
              <w:t>Moderate</w:t>
            </w:r>
          </w:p>
        </w:tc>
      </w:tr>
      <w:tr>
        <w:tc>
          <w:tcPr>
            <w:tcW w:type="dxa" w:w="2880"/>
          </w:tcPr>
          <w:p>
            <w:r>
              <w:t>Cornered resource</w:t>
            </w:r>
          </w:p>
        </w:tc>
        <w:tc>
          <w:tcPr>
            <w:tcW w:type="dxa" w:w="2880"/>
          </w:tcPr>
          <w:p>
            <w:r>
              <w:t>First mover in agent trust metadata; deepest expertise in the domain</w:t>
            </w:r>
          </w:p>
        </w:tc>
        <w:tc>
          <w:tcPr>
            <w:tcW w:type="dxa" w:w="2880"/>
          </w:tcPr>
          <w:p>
            <w:r>
              <w:t>Strong</w:t>
            </w:r>
          </w:p>
        </w:tc>
      </w:tr>
      <w:tr>
        <w:tc>
          <w:tcPr>
            <w:tcW w:type="dxa" w:w="2880"/>
          </w:tcPr>
          <w:p>
            <w:r>
              <w:t>Brand</w:t>
            </w:r>
          </w:p>
        </w:tc>
        <w:tc>
          <w:tcPr>
            <w:tcW w:type="dxa" w:w="2880"/>
          </w:tcPr>
          <w:p>
            <w:r>
              <w:t>“EXIF for AI” positioning; open + trusted &gt; proprietary + expensive</w:t>
            </w:r>
          </w:p>
        </w:tc>
        <w:tc>
          <w:tcPr>
            <w:tcW w:type="dxa" w:w="2880"/>
          </w:tcPr>
          <w:p>
            <w:r>
              <w:t>Building</w:t>
            </w:r>
          </w:p>
        </w:tc>
      </w:tr>
      <w:tr>
        <w:tc>
          <w:tcPr>
            <w:tcW w:type="dxa" w:w="2880"/>
          </w:tcPr>
          <w:p>
            <w:r>
              <w:t>Process power</w:t>
            </w:r>
          </w:p>
        </w:tc>
        <w:tc>
          <w:tcPr>
            <w:tcW w:type="dxa" w:w="2880"/>
          </w:tcPr>
          <w:p>
            <w:r>
              <w:t>Embedded in CI/CD, file watchers, LLM gateways — runs invisibly</w:t>
            </w:r>
          </w:p>
        </w:tc>
        <w:tc>
          <w:tcPr>
            <w:tcW w:type="dxa" w:w="2880"/>
          </w:tcPr>
          <w:p>
            <w:r>
              <w:t>Strong</w:t>
            </w:r>
          </w:p>
        </w:tc>
      </w:tr>
    </w:tbl>
    <w:p/>
    <w:p>
      <w:r>
        <w:br w:type="page"/>
      </w:r>
    </w:p>
    <w:p>
      <w:pPr>
        <w:pStyle w:val="Heading1"/>
      </w:pPr>
      <w:r>
        <w:t>8. Execution Roadmap</w:t>
      </w:r>
    </w:p>
    <w:p>
      <w:pPr>
        <w:pStyle w:val="Heading2"/>
      </w:pPr>
      <w:r>
        <w:t>Phase 1: Standard Adoption (2026–2027)</w:t>
      </w:r>
    </w:p>
    <w:p>
      <w:pPr>
        <w:pStyle w:val="ListBullet"/>
      </w:pPr>
      <w:r>
        <w:t>Ship v1.1 on PyPI and npm ✔</w:t>
      </w:r>
    </w:p>
    <w:p>
      <w:pPr>
        <w:pStyle w:val="ListBullet"/>
      </w:pPr>
      <w:r>
        <w:t>Framework integrations: LangChain, CrewAI, LlamaIndex, MCP ✔</w:t>
      </w:r>
    </w:p>
    <w:p>
      <w:pPr>
        <w:pStyle w:val="ListBullet"/>
      </w:pPr>
      <w:r>
        <w:t>HuggingFace Space for discoverability ✔</w:t>
      </w:r>
    </w:p>
    <w:p>
      <w:pPr>
        <w:pStyle w:val="ListBullet"/>
      </w:pPr>
      <w:r>
        <w:t>GitHub Action for CI/CD adoption ✔</w:t>
      </w:r>
    </w:p>
    <w:p>
      <w:pPr>
        <w:pStyle w:val="ListBullet"/>
      </w:pPr>
      <w:r>
        <w:t>Target: 10,000 weekly installs, 50+ GitHub stars, 3–5 enterprise pilots</w:t>
      </w:r>
    </w:p>
    <w:p>
      <w:pPr>
        <w:pStyle w:val="Heading2"/>
      </w:pPr>
      <w:r>
        <w:t>Phase 2: Community &amp; Credibility (2027–2028)</w:t>
      </w:r>
    </w:p>
    <w:p>
      <w:pPr>
        <w:pStyle w:val="ListBullet"/>
      </w:pPr>
      <w:r>
        <w:t>Open governance body (AKF Foundation or similar)</w:t>
      </w:r>
    </w:p>
    <w:p>
      <w:pPr>
        <w:pStyle w:val="ListBullet"/>
      </w:pPr>
      <w:r>
        <w:t>First industry detection packs (healthcare, finance)</w:t>
      </w:r>
    </w:p>
    <w:p>
      <w:pPr>
        <w:pStyle w:val="ListBullet"/>
      </w:pPr>
      <w:r>
        <w:t>Conference talks: AI Engineer Summit, NeurIPS, enterprise security conferences</w:t>
      </w:r>
    </w:p>
    <w:p>
      <w:pPr>
        <w:pStyle w:val="ListBullet"/>
      </w:pPr>
      <w:r>
        <w:t>Academic paper: formalise trust-decay model</w:t>
      </w:r>
    </w:p>
    <w:p>
      <w:pPr>
        <w:pStyle w:val="ListBullet"/>
      </w:pPr>
      <w:r>
        <w:t>Target: 100,000 weekly installs, regulatory body awareness, seed funding</w:t>
      </w:r>
    </w:p>
    <w:p>
      <w:pPr>
        <w:pStyle w:val="Heading2"/>
      </w:pPr>
      <w:r>
        <w:t>Phase 3: Commercial Launch (2028–2029)</w:t>
      </w:r>
    </w:p>
    <w:p>
      <w:pPr>
        <w:pStyle w:val="ListBullet"/>
      </w:pPr>
      <w:r>
        <w:t>AKF Cloud beta: trust analytics dashboard</w:t>
      </w:r>
    </w:p>
    <w:p>
      <w:pPr>
        <w:pStyle w:val="ListBullet"/>
      </w:pPr>
      <w:r>
        <w:t>AKF Gateway: API-level trust proxy</w:t>
      </w:r>
    </w:p>
    <w:p>
      <w:pPr>
        <w:pStyle w:val="ListBullet"/>
      </w:pPr>
      <w:r>
        <w:t>Enterprise sales team (5–10 people)</w:t>
      </w:r>
    </w:p>
    <w:p>
      <w:pPr>
        <w:pStyle w:val="ListBullet"/>
      </w:pPr>
      <w:r>
        <w:t>Certification programme launch</w:t>
      </w:r>
    </w:p>
    <w:p>
      <w:pPr>
        <w:pStyle w:val="ListBullet"/>
      </w:pPr>
      <w:r>
        <w:t>Target: 80–150 paying enterprises, $10M–$18M ARR</w:t>
      </w:r>
    </w:p>
    <w:p>
      <w:pPr>
        <w:pStyle w:val="Heading2"/>
      </w:pPr>
      <w:r>
        <w:t>Phase 4: Platform Expansion (2029–2031)</w:t>
      </w:r>
    </w:p>
    <w:p>
      <w:pPr>
        <w:pStyle w:val="ListBullet"/>
      </w:pPr>
      <w:r>
        <w:t>Industry-specific detection suites</w:t>
      </w:r>
    </w:p>
    <w:p>
      <w:pPr>
        <w:pStyle w:val="ListBullet"/>
      </w:pPr>
      <w:r>
        <w:t>Regulatory compliance automation (EU AI Act, US framework)</w:t>
      </w:r>
    </w:p>
    <w:p>
      <w:pPr>
        <w:pStyle w:val="ListBullet"/>
      </w:pPr>
      <w:r>
        <w:t>Partnership with insurance providers (AI liability coverage)</w:t>
      </w:r>
    </w:p>
    <w:p>
      <w:pPr>
        <w:pStyle w:val="ListBullet"/>
      </w:pPr>
      <w:r>
        <w:t>Government/defence contracts (classified content handling)</w:t>
      </w:r>
    </w:p>
    <w:p>
      <w:pPr>
        <w:pStyle w:val="ListBullet"/>
      </w:pPr>
      <w:r>
        <w:t>Target: 2,000+ enterprises, $500M+ ARR, IPO or strategic acquisition</w:t>
      </w:r>
    </w:p>
    <w:p>
      <w:r>
        <w:br w:type="page"/>
      </w:r>
    </w:p>
    <w:p>
      <w:pPr>
        <w:pStyle w:val="Heading1"/>
      </w:pPr>
      <w:r>
        <w:t>The Bottom Line</w:t>
      </w:r>
    </w:p>
    <w:p>
      <w:pPr>
        <w:spacing w:after="160"/>
      </w:pPr>
      <w:r>
        <w:rPr>
          <w:b/>
          <w:i w:val="0"/>
          <w:sz w:val="26"/>
        </w:rPr>
        <w:t>AKF is not competing with Microsoft Purview on features. It’s competing on architecture.</w:t>
      </w:r>
    </w:p>
    <w:p>
      <w:r>
        <w:t>Purview asks: “How do we lock customers into our compliance ecosystem?”</w:t>
      </w:r>
    </w:p>
    <w:p>
      <w:r>
        <w:t>AKF asks: “How do we make trust metadata so universal that it becomes invisible infrastructure?”</w:t>
      </w:r>
    </w:p>
    <w:p>
      <w:r>
        <w:t>These are fundamentally incompatible strategies. And in a world where AI agents from different providers need to trust each other across organisational boundaries, the open standard always wins. Not immediately. But inevitably.</w:t>
      </w:r>
    </w:p>
    <w:p/>
    <w:p/>
    <w:p/>
    <w:p>
      <w:pPr>
        <w:spacing w:after="320"/>
        <w:jc w:val="center"/>
      </w:pPr>
      <w:r>
        <w:rPr>
          <w:b/>
          <w:i/>
          <w:sz w:val="24"/>
        </w:rPr>
        <w:t>The best time to become the standard was before anyone needed one.</w:t>
        <w:br/>
        <w:t>The second best time is now — before the regulatory wave forces a choice.</w:t>
      </w:r>
    </w:p>
    <w:p/>
    <w:p>
      <w:pPr>
        <w:jc w:val="center"/>
      </w:pPr>
      <w:r>
        <w:rPr>
          <w:color w:val="999999"/>
          <w:sz w:val="18"/>
        </w:rPr>
        <w:t>Agent Knowledge Format  ·  akf.dev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