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before="0" w:line="360" w:lineRule="auto"/>
        <w:jc w:val="center"/>
      </w:pPr>
      <w:r>
        <w:rPr>
          <w:rFonts w:ascii="Times New Roman" w:hAnsi="Times New Roman" w:eastAsia="Times New Roman"/>
          <w:b/>
          <w:i w:val="0"/>
          <w:sz w:val="28"/>
        </w:rPr>
        <w:t>A PROJECT REPORT</w:t>
      </w:r>
    </w:p>
    <w:p>
      <w:pPr>
        <w:spacing w:after="160" w:before="0" w:line="360" w:lineRule="auto"/>
        <w:jc w:val="center"/>
      </w:pPr>
      <w:r>
        <w:rPr>
          <w:rFonts w:ascii="Times New Roman" w:hAnsi="Times New Roman" w:eastAsia="Times New Roman"/>
          <w:b w:val="0"/>
          <w:i w:val="0"/>
          <w:sz w:val="24"/>
        </w:rPr>
        <w:t>ON</w:t>
      </w:r>
    </w:p>
    <w:p>
      <w:pPr>
        <w:spacing w:after="280" w:before="0" w:line="360" w:lineRule="auto"/>
        <w:jc w:val="center"/>
      </w:pPr>
      <w:r>
        <w:rPr>
          <w:rFonts w:ascii="Times New Roman" w:hAnsi="Times New Roman" w:eastAsia="Times New Roman"/>
          <w:b/>
          <w:i w:val="0"/>
          <w:sz w:val="32"/>
        </w:rPr>
        <w:t>Hybrid 3D CNN–Swin Transformer for Pulmonary Nodule Malignancy Risk Prediction on LIDC-IDRI</w:t>
      </w:r>
    </w:p>
    <w:p>
      <w:pPr>
        <w:spacing w:after="160" w:before="0" w:line="360" w:lineRule="auto"/>
        <w:jc w:val="center"/>
      </w:pPr>
      <w:r>
        <w:rPr>
          <w:rFonts w:ascii="Times New Roman" w:hAnsi="Times New Roman" w:eastAsia="Times New Roman"/>
          <w:b w:val="0"/>
          <w:i/>
          <w:sz w:val="24"/>
        </w:rPr>
        <w:t>(PulmoScan / LCP-CNN)</w:t>
      </w:r>
    </w:p>
    <w:p>
      <w:pPr>
        <w:spacing w:after="160" w:before="0" w:line="360" w:lineRule="auto"/>
        <w:jc w:val="center"/>
      </w:pPr>
      <w:r>
        <w:rPr>
          <w:rFonts w:ascii="Times New Roman" w:hAnsi="Times New Roman" w:eastAsia="Times New Roman"/>
          <w:b w:val="0"/>
          <w:i w:val="0"/>
          <w:sz w:val="22"/>
        </w:rPr>
        <w:t>Submitted in partial fulfillment of the requirements for the award of the degree of</w:t>
      </w:r>
    </w:p>
    <w:p>
      <w:pPr>
        <w:spacing w:after="160" w:before="0" w:line="360" w:lineRule="auto"/>
        <w:jc w:val="center"/>
      </w:pPr>
      <w:r>
        <w:rPr>
          <w:rFonts w:ascii="Times New Roman" w:hAnsi="Times New Roman" w:eastAsia="Times New Roman"/>
          <w:b/>
          <w:i w:val="0"/>
          <w:sz w:val="26"/>
        </w:rPr>
        <w:t>BACHELOR OF ENGINEERING</w:t>
      </w:r>
    </w:p>
    <w:p>
      <w:pPr>
        <w:spacing w:after="160" w:before="0" w:line="360" w:lineRule="auto"/>
        <w:jc w:val="center"/>
      </w:pPr>
      <w:r>
        <w:rPr>
          <w:rFonts w:ascii="Times New Roman" w:hAnsi="Times New Roman" w:eastAsia="Times New Roman"/>
          <w:b w:val="0"/>
          <w:i w:val="0"/>
          <w:sz w:val="22"/>
        </w:rPr>
        <w:t>IN</w:t>
      </w:r>
    </w:p>
    <w:p>
      <w:pPr>
        <w:spacing w:after="320" w:before="0" w:line="360" w:lineRule="auto"/>
        <w:jc w:val="center"/>
      </w:pPr>
      <w:r>
        <w:rPr>
          <w:rFonts w:ascii="Times New Roman" w:hAnsi="Times New Roman" w:eastAsia="Times New Roman"/>
          <w:b/>
          <w:i w:val="0"/>
          <w:sz w:val="26"/>
        </w:rPr>
        <w:t>COMPUTER SCIENCE AND ENGINEERING</w:t>
      </w:r>
    </w:p>
    <w:p>
      <w:pPr>
        <w:spacing w:after="160" w:before="0" w:line="360" w:lineRule="auto"/>
        <w:jc w:val="center"/>
      </w:pPr>
      <w:r>
        <w:rPr>
          <w:rFonts w:ascii="Times New Roman" w:hAnsi="Times New Roman" w:eastAsia="Times New Roman"/>
          <w:b w:val="0"/>
          <w:i w:val="0"/>
          <w:sz w:val="24"/>
        </w:rPr>
        <w:t>Submitted by</w:t>
      </w:r>
    </w:p>
    <w:p>
      <w:pPr>
        <w:spacing w:after="40" w:before="0" w:line="360" w:lineRule="auto"/>
        <w:jc w:val="center"/>
      </w:pPr>
      <w:r>
        <w:rPr>
          <w:rFonts w:ascii="Times New Roman" w:hAnsi="Times New Roman" w:eastAsia="Times New Roman"/>
          <w:b/>
          <w:i w:val="0"/>
          <w:sz w:val="24"/>
        </w:rPr>
        <w:t>H M Ajay  (1XX20CS001)</w:t>
      </w:r>
    </w:p>
    <w:p>
      <w:pPr>
        <w:spacing w:after="40" w:before="0" w:line="360" w:lineRule="auto"/>
        <w:jc w:val="center"/>
      </w:pPr>
      <w:r>
        <w:rPr>
          <w:rFonts w:ascii="Times New Roman" w:hAnsi="Times New Roman" w:eastAsia="Times New Roman"/>
          <w:b/>
          <w:i w:val="0"/>
          <w:sz w:val="24"/>
        </w:rPr>
        <w:t>Student Name 2  (1XX20CS002)</w:t>
      </w:r>
    </w:p>
    <w:p>
      <w:pPr>
        <w:spacing w:after="40" w:before="0" w:line="360" w:lineRule="auto"/>
        <w:jc w:val="center"/>
      </w:pPr>
      <w:r>
        <w:rPr>
          <w:rFonts w:ascii="Times New Roman" w:hAnsi="Times New Roman" w:eastAsia="Times New Roman"/>
          <w:b/>
          <w:i w:val="0"/>
          <w:sz w:val="24"/>
        </w:rPr>
        <w:t>Student Name 3  (1XX20CS003)</w:t>
      </w:r>
    </w:p>
    <w:p>
      <w:pPr>
        <w:spacing w:after="40" w:before="0" w:line="360" w:lineRule="auto"/>
        <w:jc w:val="center"/>
      </w:pPr>
      <w:r>
        <w:rPr>
          <w:rFonts w:ascii="Times New Roman" w:hAnsi="Times New Roman" w:eastAsia="Times New Roman"/>
          <w:b/>
          <w:i w:val="0"/>
          <w:sz w:val="24"/>
        </w:rPr>
        <w:t>Student Name 4  (1XX20CS004)</w:t>
      </w:r>
    </w:p>
    <w:p>
      <w:pPr>
        <w:spacing w:after="160" w:before="0" w:line="360" w:lineRule="auto"/>
        <w:jc w:val="center"/>
      </w:pPr>
      <w:r>
        <w:rPr>
          <w:rFonts w:ascii="Times New Roman" w:hAnsi="Times New Roman" w:eastAsia="Times New Roman"/>
          <w:b w:val="0"/>
          <w:i w:val="0"/>
          <w:sz w:val="24"/>
        </w:rPr>
      </w:r>
    </w:p>
    <w:p>
      <w:pPr>
        <w:spacing w:after="160" w:before="0" w:line="360" w:lineRule="auto"/>
        <w:jc w:val="center"/>
      </w:pPr>
      <w:r>
        <w:rPr>
          <w:rFonts w:ascii="Times New Roman" w:hAnsi="Times New Roman" w:eastAsia="Times New Roman"/>
          <w:b w:val="0"/>
          <w:i w:val="0"/>
          <w:sz w:val="24"/>
        </w:rPr>
        <w:t>Under the Guidance of</w:t>
      </w:r>
    </w:p>
    <w:p>
      <w:pPr>
        <w:spacing w:after="360" w:before="0" w:line="360" w:lineRule="auto"/>
        <w:jc w:val="center"/>
      </w:pPr>
      <w:r>
        <w:rPr>
          <w:rFonts w:ascii="Times New Roman" w:hAnsi="Times New Roman" w:eastAsia="Times New Roman"/>
          <w:b/>
          <w:i w:val="0"/>
          <w:sz w:val="24"/>
        </w:rPr>
        <w:t>Prof. Guide Name</w:t>
      </w:r>
    </w:p>
    <w:p>
      <w:pPr>
        <w:spacing w:after="160" w:before="0" w:line="360" w:lineRule="auto"/>
        <w:jc w:val="center"/>
      </w:pPr>
      <w:r>
        <w:rPr>
          <w:rFonts w:ascii="Times New Roman" w:hAnsi="Times New Roman" w:eastAsia="Times New Roman"/>
          <w:b/>
          <w:i w:val="0"/>
          <w:sz w:val="24"/>
        </w:rPr>
        <w:t>Your College / Department of Computer Science and Engineering</w:t>
      </w:r>
    </w:p>
    <w:p>
      <w:pPr>
        <w:spacing w:after="160" w:before="0" w:line="360" w:lineRule="auto"/>
        <w:jc w:val="center"/>
      </w:pPr>
      <w:r>
        <w:rPr>
          <w:rFonts w:ascii="Times New Roman" w:hAnsi="Times New Roman" w:eastAsia="Times New Roman"/>
          <w:b w:val="0"/>
          <w:i w:val="0"/>
          <w:sz w:val="24"/>
        </w:rPr>
        <w:t>Academic Year 2025–26</w:t>
      </w:r>
    </w:p>
    <w:p>
      <w:r>
        <w:br w:type="page"/>
      </w:r>
    </w:p>
    <w:p>
      <w:pPr>
        <w:spacing w:before="280" w:after="160"/>
        <w:jc w:val="left"/>
      </w:pPr>
      <w:r>
        <w:rPr>
          <w:rFonts w:ascii="Times New Roman" w:hAnsi="Times New Roman" w:eastAsia="Times New Roman"/>
          <w:b/>
          <w:i w:val="0"/>
          <w:sz w:val="32"/>
        </w:rPr>
        <w:t>CERTIFICATE</w:t>
      </w:r>
    </w:p>
    <w:p>
      <w:pPr>
        <w:spacing w:after="160" w:before="0" w:line="360" w:lineRule="auto"/>
        <w:ind w:firstLine="567"/>
        <w:jc w:val="both"/>
      </w:pPr>
      <w:r>
        <w:rPr>
          <w:rFonts w:ascii="Times New Roman" w:hAnsi="Times New Roman" w:eastAsia="Times New Roman"/>
          <w:b w:val="0"/>
          <w:i w:val="0"/>
          <w:sz w:val="24"/>
        </w:rPr>
        <w:t>This is to certify that the project work entitled “Hybrid 3D CNN–Swin Transformer for Pulmonary Nodule Malignancy Risk Prediction on LIDC-IDRI” is a bonafide work carried out by H M Ajay, Student Name 2, Student Name 3, Student Name 4 bearing USN 1XX20CS001, 1XX20CS002, 1XX20CS003, 1XX20CS004 in partial fulfillment for the award of Bachelor of Engineering in Computer Science and Engineering of the Affiliating University during the academic year 2025–26. It is certified that all corrections / suggestions indicated for Internal Assessment have been incorporated in the report. The project report has been approved as it satisfies the academic requirements in respect of project work prescribed for the said degree.</w:t>
      </w:r>
    </w:p>
    <w:p>
      <w:pPr>
        <w:spacing w:after="160" w:before="0" w:line="360" w:lineRule="auto"/>
        <w:jc w:val="left"/>
      </w:pPr>
      <w:r>
        <w:rPr>
          <w:rFonts w:ascii="Times New Roman" w:hAnsi="Times New Roman" w:eastAsia="Times New Roman"/>
          <w:b w:val="0"/>
          <w:i w:val="0"/>
          <w:sz w:val="24"/>
        </w:rPr>
      </w:r>
    </w:p>
    <w:p>
      <w:pPr>
        <w:spacing w:after="160" w:before="0" w:line="360" w:lineRule="auto"/>
        <w:jc w:val="left"/>
      </w:pPr>
      <w:r>
        <w:rPr>
          <w:rFonts w:ascii="Times New Roman" w:hAnsi="Times New Roman" w:eastAsia="Times New Roman"/>
          <w:b w:val="0"/>
          <w:i w:val="0"/>
          <w:sz w:val="24"/>
        </w:rPr>
        <w:t>Guide: Prof. Guide Name</w:t>
      </w:r>
    </w:p>
    <w:p>
      <w:pPr>
        <w:spacing w:after="160" w:before="0" w:line="360" w:lineRule="auto"/>
        <w:jc w:val="left"/>
      </w:pPr>
      <w:r>
        <w:rPr>
          <w:rFonts w:ascii="Times New Roman" w:hAnsi="Times New Roman" w:eastAsia="Times New Roman"/>
          <w:b w:val="0"/>
          <w:i w:val="0"/>
          <w:sz w:val="24"/>
        </w:rPr>
        <w:t>Head of the Department: _______________________</w:t>
      </w:r>
    </w:p>
    <w:p>
      <w:pPr>
        <w:spacing w:after="160" w:before="0" w:line="360" w:lineRule="auto"/>
        <w:jc w:val="left"/>
      </w:pPr>
      <w:r>
        <w:rPr>
          <w:rFonts w:ascii="Times New Roman" w:hAnsi="Times New Roman" w:eastAsia="Times New Roman"/>
          <w:b w:val="0"/>
          <w:i w:val="0"/>
          <w:sz w:val="24"/>
        </w:rPr>
        <w:t>Principal: _______________________</w:t>
      </w:r>
    </w:p>
    <w:p>
      <w:pPr>
        <w:spacing w:after="160" w:before="0" w:line="360" w:lineRule="auto"/>
        <w:jc w:val="left"/>
      </w:pPr>
      <w:r>
        <w:rPr>
          <w:rFonts w:ascii="Times New Roman" w:hAnsi="Times New Roman" w:eastAsia="Times New Roman"/>
          <w:b w:val="0"/>
          <w:i w:val="0"/>
          <w:sz w:val="24"/>
        </w:rPr>
        <w:t>External Examiner: _______________________</w:t>
      </w:r>
    </w:p>
    <w:p>
      <w:r>
        <w:br w:type="page"/>
      </w:r>
    </w:p>
    <w:p>
      <w:pPr>
        <w:spacing w:before="280" w:after="160"/>
        <w:jc w:val="left"/>
      </w:pPr>
      <w:r>
        <w:rPr>
          <w:rFonts w:ascii="Times New Roman" w:hAnsi="Times New Roman" w:eastAsia="Times New Roman"/>
          <w:b/>
          <w:i w:val="0"/>
          <w:sz w:val="32"/>
        </w:rPr>
        <w:t>DECLARATION</w:t>
      </w:r>
    </w:p>
    <w:p>
      <w:pPr>
        <w:spacing w:after="160" w:before="0" w:line="360" w:lineRule="auto"/>
        <w:ind w:firstLine="567"/>
        <w:jc w:val="both"/>
      </w:pPr>
      <w:r>
        <w:rPr>
          <w:rFonts w:ascii="Times New Roman" w:hAnsi="Times New Roman" w:eastAsia="Times New Roman"/>
          <w:b w:val="0"/>
          <w:i w:val="0"/>
          <w:sz w:val="24"/>
        </w:rPr>
        <w:t>We, H M Ajay, Student Name 2, Student Name 3, Student Name 4, students of Your College / Department of Computer Science and Engineering, hereby declare that the project work entitled “Hybrid 3D CNN–Swin Transformer for Pulmonary Nodule Malignancy Risk Prediction on LIDC-IDRI” submitted to the Affiliating University in partial fulfillment of the requirements for the award of Bachelor of Engineering in Computer Science and Engineering is a record of original work carried out by us under the guidance of Prof. Guide Name. We further declare that this project work or any part thereof has not been submitted to any other University / Institution for the award of any degree or diploma.</w:t>
      </w:r>
    </w:p>
    <w:p>
      <w:pPr>
        <w:spacing w:after="160" w:before="0" w:line="360" w:lineRule="auto"/>
        <w:jc w:val="left"/>
      </w:pPr>
      <w:r>
        <w:rPr>
          <w:rFonts w:ascii="Times New Roman" w:hAnsi="Times New Roman" w:eastAsia="Times New Roman"/>
          <w:b w:val="0"/>
          <w:i w:val="0"/>
          <w:sz w:val="24"/>
        </w:rPr>
      </w:r>
    </w:p>
    <w:p>
      <w:pPr>
        <w:spacing w:after="80" w:before="0" w:line="360" w:lineRule="auto"/>
        <w:jc w:val="left"/>
      </w:pPr>
      <w:r>
        <w:rPr>
          <w:rFonts w:ascii="Times New Roman" w:hAnsi="Times New Roman" w:eastAsia="Times New Roman"/>
          <w:b w:val="0"/>
          <w:i w:val="0"/>
          <w:sz w:val="24"/>
        </w:rPr>
        <w:t>H M Ajay (1XX20CS001)  ____________________</w:t>
      </w:r>
    </w:p>
    <w:p>
      <w:pPr>
        <w:spacing w:after="80" w:before="0" w:line="360" w:lineRule="auto"/>
        <w:jc w:val="left"/>
      </w:pPr>
      <w:r>
        <w:rPr>
          <w:rFonts w:ascii="Times New Roman" w:hAnsi="Times New Roman" w:eastAsia="Times New Roman"/>
          <w:b w:val="0"/>
          <w:i w:val="0"/>
          <w:sz w:val="24"/>
        </w:rPr>
        <w:t>Student Name 2 (1XX20CS002)  ____________________</w:t>
      </w:r>
    </w:p>
    <w:p>
      <w:pPr>
        <w:spacing w:after="80" w:before="0" w:line="360" w:lineRule="auto"/>
        <w:jc w:val="left"/>
      </w:pPr>
      <w:r>
        <w:rPr>
          <w:rFonts w:ascii="Times New Roman" w:hAnsi="Times New Roman" w:eastAsia="Times New Roman"/>
          <w:b w:val="0"/>
          <w:i w:val="0"/>
          <w:sz w:val="24"/>
        </w:rPr>
        <w:t>Student Name 3 (1XX20CS003)  ____________________</w:t>
      </w:r>
    </w:p>
    <w:p>
      <w:pPr>
        <w:spacing w:after="80" w:before="0" w:line="360" w:lineRule="auto"/>
        <w:jc w:val="left"/>
      </w:pPr>
      <w:r>
        <w:rPr>
          <w:rFonts w:ascii="Times New Roman" w:hAnsi="Times New Roman" w:eastAsia="Times New Roman"/>
          <w:b w:val="0"/>
          <w:i w:val="0"/>
          <w:sz w:val="24"/>
        </w:rPr>
        <w:t>Student Name 4 (1XX20CS004)  ____________________</w:t>
      </w:r>
    </w:p>
    <w:p>
      <w:r>
        <w:br w:type="page"/>
      </w:r>
    </w:p>
    <w:p>
      <w:pPr>
        <w:spacing w:before="280" w:after="160"/>
        <w:jc w:val="left"/>
      </w:pPr>
      <w:r>
        <w:rPr>
          <w:rFonts w:ascii="Times New Roman" w:hAnsi="Times New Roman" w:eastAsia="Times New Roman"/>
          <w:b/>
          <w:i w:val="0"/>
          <w:sz w:val="32"/>
        </w:rPr>
        <w:t>ACKNOWLEDGEMENT</w:t>
      </w:r>
    </w:p>
    <w:p>
      <w:pPr>
        <w:spacing w:after="160" w:before="0" w:line="360" w:lineRule="auto"/>
        <w:ind w:firstLine="567"/>
        <w:jc w:val="both"/>
      </w:pPr>
      <w:r>
        <w:rPr>
          <w:rFonts w:ascii="Times New Roman" w:hAnsi="Times New Roman" w:eastAsia="Times New Roman"/>
          <w:b w:val="0"/>
          <w:i w:val="0"/>
          <w:sz w:val="24"/>
        </w:rPr>
        <w:t>We express our sincere gratitude to our guide Prof. Guide Name for continuous support, valuable suggestions, and encouragement throughout this project. We thank the Head of the Department and the Principal for providing facilities to carry out this work. We also acknowledge The Cancer Imaging Archive (TCIA) and the LIDC-IDRI consortium for providing publicly available imaging data for research use. Finally, we thank our families and friends for their support during the course of this project.</w:t>
      </w:r>
    </w:p>
    <w:p>
      <w:r>
        <w:br w:type="page"/>
      </w:r>
    </w:p>
    <w:p>
      <w:pPr>
        <w:spacing w:before="280" w:after="160"/>
        <w:jc w:val="left"/>
      </w:pPr>
      <w:r>
        <w:rPr>
          <w:rFonts w:ascii="Times New Roman" w:hAnsi="Times New Roman" w:eastAsia="Times New Roman"/>
          <w:b/>
          <w:i w:val="0"/>
          <w:sz w:val="32"/>
        </w:rPr>
        <w:t>ABSTRACT</w:t>
      </w:r>
    </w:p>
    <w:p>
      <w:pPr>
        <w:spacing w:after="160" w:before="0" w:line="360" w:lineRule="auto"/>
        <w:ind w:firstLine="567"/>
        <w:jc w:val="both"/>
      </w:pPr>
      <w:r>
        <w:rPr>
          <w:rFonts w:ascii="Times New Roman" w:hAnsi="Times New Roman" w:eastAsia="Times New Roman"/>
          <w:b w:val="0"/>
          <w:i w:val="0"/>
          <w:sz w:val="24"/>
        </w:rPr>
        <w:t>Lung cancer remains a leading cause of cancer mortality worldwide. Low-dose CT screening increases early detection but produces many indeterminate pulmonary nodules that require risk stratification. Hand-crafted clinical models (e.g., Brock) ignore much of the volumetric imaging signal, while purely 2D CNN approaches discard 3D context. This project presents PulmoScan / LCP-CNN: a Stage-2 malignancy risk predictor that classifies nodule volumes of interest (VOIs) using a hybrid 3D convolutional neural network and Swin Transformer encoder.</w:t>
      </w:r>
    </w:p>
    <w:p>
      <w:pPr>
        <w:spacing w:after="160" w:before="0" w:line="360" w:lineRule="auto"/>
        <w:ind w:firstLine="567"/>
        <w:jc w:val="both"/>
      </w:pPr>
      <w:r>
        <w:rPr>
          <w:rFonts w:ascii="Times New Roman" w:hAnsi="Times New Roman" w:eastAsia="Times New Roman"/>
          <w:b w:val="0"/>
          <w:i w:val="0"/>
          <w:sz w:val="24"/>
        </w:rPr>
        <w:t>We build a reproducible preprocessing pipeline for LIDC-IDRI: DICOM CT series are converted to Hounsfield Units, resampled to 1×1×1 mm isotropic NIfTI, and linked to LIDC XML annotations. Reader marks are mapped to patient-space centroids using original DICOM geometry (critical for correct VOI placement), clustered into physical nodules, and labeled with the LIDC malignancy rule (≥4 malignant, ≤2 benign, 3 excluded). Patient-level train/validation/test splits prevent leakage.</w:t>
      </w:r>
    </w:p>
    <w:p>
      <w:pPr>
        <w:spacing w:after="160" w:before="0" w:line="360" w:lineRule="auto"/>
        <w:ind w:firstLine="567"/>
        <w:jc w:val="both"/>
      </w:pPr>
      <w:r>
        <w:rPr>
          <w:rFonts w:ascii="Times New Roman" w:hAnsi="Times New Roman" w:eastAsia="Times New Roman"/>
          <w:b w:val="0"/>
          <w:i w:val="0"/>
          <w:sz w:val="24"/>
        </w:rPr>
        <w:t>On a first serious batch of 153 annotated series (~199 labeled nodules after filtering), a 48³ VOI hybrid model trained on a Kubeflow A100 GPU achieved validation AUC ≈ 0.949 (early-stopped) and held-out test AUC ≈ 0.914, with AUPRC ≈ 0.958. The work focuses on Stage-2 classification; Stage-1 detection from raw unannotated CT is identified as future work. Research use only — not a medical device or clinical diagnosis.</w:t>
      </w:r>
    </w:p>
    <w:p>
      <w:pPr>
        <w:spacing w:after="160" w:before="0" w:line="360" w:lineRule="auto"/>
        <w:jc w:val="left"/>
      </w:pPr>
      <w:r>
        <w:rPr>
          <w:rFonts w:ascii="Times New Roman" w:hAnsi="Times New Roman" w:eastAsia="Times New Roman"/>
          <w:b w:val="0"/>
          <w:i/>
          <w:sz w:val="24"/>
        </w:rPr>
        <w:t>Keywords: LIDC-IDRI, pulmonary nodule, malignancy, 3D CNN, Swin Transformer, deep learning, CT</w:t>
      </w:r>
    </w:p>
    <w:p>
      <w:r>
        <w:br w:type="page"/>
      </w:r>
    </w:p>
    <w:p>
      <w:pPr>
        <w:spacing w:before="280" w:after="160"/>
        <w:jc w:val="left"/>
      </w:pPr>
      <w:r>
        <w:rPr>
          <w:rFonts w:ascii="Times New Roman" w:hAnsi="Times New Roman" w:eastAsia="Times New Roman"/>
          <w:b/>
          <w:i w:val="0"/>
          <w:sz w:val="32"/>
        </w:rPr>
        <w:t>TABLE OF CONTENTS</w:t>
      </w:r>
    </w:p>
    <w:p>
      <w:pPr>
        <w:spacing w:after="80" w:before="0" w:line="360" w:lineRule="auto"/>
        <w:jc w:val="left"/>
      </w:pPr>
      <w:r>
        <w:rPr>
          <w:rFonts w:ascii="Times New Roman" w:hAnsi="Times New Roman" w:eastAsia="Times New Roman"/>
          <w:b w:val="0"/>
          <w:i w:val="0"/>
          <w:sz w:val="24"/>
        </w:rPr>
        <w:t>Certificate</w:t>
      </w:r>
    </w:p>
    <w:p>
      <w:pPr>
        <w:spacing w:after="80" w:before="0" w:line="360" w:lineRule="auto"/>
        <w:jc w:val="left"/>
      </w:pPr>
      <w:r>
        <w:rPr>
          <w:rFonts w:ascii="Times New Roman" w:hAnsi="Times New Roman" w:eastAsia="Times New Roman"/>
          <w:b w:val="0"/>
          <w:i w:val="0"/>
          <w:sz w:val="24"/>
        </w:rPr>
        <w:t>Declaration</w:t>
      </w:r>
    </w:p>
    <w:p>
      <w:pPr>
        <w:spacing w:after="80" w:before="0" w:line="360" w:lineRule="auto"/>
        <w:jc w:val="left"/>
      </w:pPr>
      <w:r>
        <w:rPr>
          <w:rFonts w:ascii="Times New Roman" w:hAnsi="Times New Roman" w:eastAsia="Times New Roman"/>
          <w:b w:val="0"/>
          <w:i w:val="0"/>
          <w:sz w:val="24"/>
        </w:rPr>
        <w:t>Acknowledgement</w:t>
      </w:r>
    </w:p>
    <w:p>
      <w:pPr>
        <w:spacing w:after="80" w:before="0" w:line="360" w:lineRule="auto"/>
        <w:jc w:val="left"/>
      </w:pPr>
      <w:r>
        <w:rPr>
          <w:rFonts w:ascii="Times New Roman" w:hAnsi="Times New Roman" w:eastAsia="Times New Roman"/>
          <w:b w:val="0"/>
          <w:i w:val="0"/>
          <w:sz w:val="24"/>
        </w:rPr>
        <w:t>Abstract</w:t>
      </w:r>
    </w:p>
    <w:p>
      <w:pPr>
        <w:spacing w:after="80" w:before="0" w:line="360" w:lineRule="auto"/>
        <w:jc w:val="left"/>
      </w:pPr>
      <w:r>
        <w:rPr>
          <w:rFonts w:ascii="Times New Roman" w:hAnsi="Times New Roman" w:eastAsia="Times New Roman"/>
          <w:b w:val="0"/>
          <w:i w:val="0"/>
          <w:sz w:val="24"/>
        </w:rPr>
        <w:t>List of Figures</w:t>
      </w:r>
    </w:p>
    <w:p>
      <w:pPr>
        <w:spacing w:after="80" w:before="0" w:line="360" w:lineRule="auto"/>
        <w:jc w:val="left"/>
      </w:pPr>
      <w:r>
        <w:rPr>
          <w:rFonts w:ascii="Times New Roman" w:hAnsi="Times New Roman" w:eastAsia="Times New Roman"/>
          <w:b w:val="0"/>
          <w:i w:val="0"/>
          <w:sz w:val="24"/>
        </w:rPr>
        <w:t>List of Tables</w:t>
      </w:r>
    </w:p>
    <w:p>
      <w:pPr>
        <w:spacing w:after="80" w:before="0" w:line="360" w:lineRule="auto"/>
        <w:jc w:val="left"/>
      </w:pPr>
      <w:r>
        <w:rPr>
          <w:rFonts w:ascii="Times New Roman" w:hAnsi="Times New Roman" w:eastAsia="Times New Roman"/>
          <w:b w:val="0"/>
          <w:i w:val="0"/>
          <w:sz w:val="24"/>
        </w:rPr>
        <w:t>Chapter 1  Introduction</w:t>
      </w:r>
    </w:p>
    <w:p>
      <w:pPr>
        <w:spacing w:after="80" w:before="0" w:line="360" w:lineRule="auto"/>
        <w:jc w:val="left"/>
      </w:pPr>
      <w:r>
        <w:rPr>
          <w:rFonts w:ascii="Times New Roman" w:hAnsi="Times New Roman" w:eastAsia="Times New Roman"/>
          <w:b w:val="0"/>
          <w:i w:val="0"/>
          <w:sz w:val="24"/>
        </w:rPr>
        <w:t>Chapter 2  Literature Survey</w:t>
      </w:r>
    </w:p>
    <w:p>
      <w:pPr>
        <w:spacing w:after="80" w:before="0" w:line="360" w:lineRule="auto"/>
        <w:jc w:val="left"/>
      </w:pPr>
      <w:r>
        <w:rPr>
          <w:rFonts w:ascii="Times New Roman" w:hAnsi="Times New Roman" w:eastAsia="Times New Roman"/>
          <w:b w:val="0"/>
          <w:i w:val="0"/>
          <w:sz w:val="24"/>
        </w:rPr>
        <w:t>Chapter 3  System Requirements &amp; Analysis</w:t>
      </w:r>
    </w:p>
    <w:p>
      <w:pPr>
        <w:spacing w:after="80" w:before="0" w:line="360" w:lineRule="auto"/>
        <w:jc w:val="left"/>
      </w:pPr>
      <w:r>
        <w:rPr>
          <w:rFonts w:ascii="Times New Roman" w:hAnsi="Times New Roman" w:eastAsia="Times New Roman"/>
          <w:b w:val="0"/>
          <w:i w:val="0"/>
          <w:sz w:val="24"/>
        </w:rPr>
        <w:t>Chapter 4  System Design</w:t>
      </w:r>
    </w:p>
    <w:p>
      <w:pPr>
        <w:spacing w:after="80" w:before="0" w:line="360" w:lineRule="auto"/>
        <w:jc w:val="left"/>
      </w:pPr>
      <w:r>
        <w:rPr>
          <w:rFonts w:ascii="Times New Roman" w:hAnsi="Times New Roman" w:eastAsia="Times New Roman"/>
          <w:b w:val="0"/>
          <w:i w:val="0"/>
          <w:sz w:val="24"/>
        </w:rPr>
        <w:t>Chapter 5  Implementation</w:t>
      </w:r>
    </w:p>
    <w:p>
      <w:pPr>
        <w:spacing w:after="80" w:before="0" w:line="360" w:lineRule="auto"/>
        <w:jc w:val="left"/>
      </w:pPr>
      <w:r>
        <w:rPr>
          <w:rFonts w:ascii="Times New Roman" w:hAnsi="Times New Roman" w:eastAsia="Times New Roman"/>
          <w:b w:val="0"/>
          <w:i w:val="0"/>
          <w:sz w:val="24"/>
        </w:rPr>
        <w:t>Chapter 6  Results &amp; Discussion</w:t>
      </w:r>
    </w:p>
    <w:p>
      <w:pPr>
        <w:spacing w:after="80" w:before="0" w:line="360" w:lineRule="auto"/>
        <w:jc w:val="left"/>
      </w:pPr>
      <w:r>
        <w:rPr>
          <w:rFonts w:ascii="Times New Roman" w:hAnsi="Times New Roman" w:eastAsia="Times New Roman"/>
          <w:b w:val="0"/>
          <w:i w:val="0"/>
          <w:sz w:val="24"/>
        </w:rPr>
        <w:t>Chapter 7  Conclusion &amp; Future Work</w:t>
      </w:r>
    </w:p>
    <w:p>
      <w:pPr>
        <w:spacing w:after="80" w:before="0" w:line="360" w:lineRule="auto"/>
        <w:jc w:val="left"/>
      </w:pPr>
      <w:r>
        <w:rPr>
          <w:rFonts w:ascii="Times New Roman" w:hAnsi="Times New Roman" w:eastAsia="Times New Roman"/>
          <w:b w:val="0"/>
          <w:i w:val="0"/>
          <w:sz w:val="24"/>
        </w:rPr>
        <w:t>References</w:t>
      </w:r>
    </w:p>
    <w:p>
      <w:pPr>
        <w:spacing w:after="80" w:before="0" w:line="360" w:lineRule="auto"/>
        <w:jc w:val="left"/>
      </w:pPr>
      <w:r>
        <w:rPr>
          <w:rFonts w:ascii="Times New Roman" w:hAnsi="Times New Roman" w:eastAsia="Times New Roman"/>
          <w:b w:val="0"/>
          <w:i w:val="0"/>
          <w:sz w:val="24"/>
        </w:rPr>
        <w:t>Appendix A  Commands &amp; Reproducibility</w:t>
      </w:r>
    </w:p>
    <w:p>
      <w:pPr>
        <w:spacing w:before="280" w:after="160"/>
        <w:jc w:val="left"/>
      </w:pPr>
      <w:r>
        <w:rPr>
          <w:rFonts w:ascii="Times New Roman" w:hAnsi="Times New Roman" w:eastAsia="Times New Roman"/>
          <w:b/>
          <w:i w:val="0"/>
          <w:sz w:val="32"/>
        </w:rPr>
        <w:t>LIST OF FIGURES</w:t>
      </w:r>
    </w:p>
    <w:p>
      <w:pPr>
        <w:spacing w:after="80" w:before="0" w:line="360" w:lineRule="auto"/>
        <w:jc w:val="left"/>
      </w:pPr>
      <w:r>
        <w:rPr>
          <w:rFonts w:ascii="Times New Roman" w:hAnsi="Times New Roman" w:eastAsia="Times New Roman"/>
          <w:b w:val="0"/>
          <w:i w:val="0"/>
          <w:sz w:val="24"/>
        </w:rPr>
        <w:t>Figure 1. End-to-End System Overview (Stage-2 Malignancy Scoring)</w:t>
      </w:r>
    </w:p>
    <w:p>
      <w:pPr>
        <w:spacing w:after="80" w:before="0" w:line="360" w:lineRule="auto"/>
        <w:jc w:val="left"/>
      </w:pPr>
      <w:r>
        <w:rPr>
          <w:rFonts w:ascii="Times New Roman" w:hAnsi="Times New Roman" w:eastAsia="Times New Roman"/>
          <w:b w:val="0"/>
          <w:i w:val="0"/>
          <w:sz w:val="24"/>
        </w:rPr>
        <w:t>Figure 2. Preprocessing Pipeline (CPU)</w:t>
      </w:r>
    </w:p>
    <w:p>
      <w:pPr>
        <w:spacing w:after="80" w:before="0" w:line="360" w:lineRule="auto"/>
        <w:jc w:val="left"/>
      </w:pPr>
      <w:r>
        <w:rPr>
          <w:rFonts w:ascii="Times New Roman" w:hAnsi="Times New Roman" w:eastAsia="Times New Roman"/>
          <w:b w:val="0"/>
          <w:i w:val="0"/>
          <w:sz w:val="24"/>
        </w:rPr>
        <w:t>Figure 3. Hybrid 3D CNN–Swin Architecture</w:t>
      </w:r>
    </w:p>
    <w:p>
      <w:pPr>
        <w:spacing w:after="80" w:before="0" w:line="360" w:lineRule="auto"/>
        <w:jc w:val="left"/>
      </w:pPr>
      <w:r>
        <w:rPr>
          <w:rFonts w:ascii="Times New Roman" w:hAnsi="Times New Roman" w:eastAsia="Times New Roman"/>
          <w:b w:val="0"/>
          <w:i w:val="0"/>
          <w:sz w:val="24"/>
        </w:rPr>
        <w:t>Figure 4. Training &amp; Evaluation Flow (Kubeflow GPU)</w:t>
      </w:r>
    </w:p>
    <w:p>
      <w:pPr>
        <w:spacing w:after="80" w:before="0" w:line="360" w:lineRule="auto"/>
        <w:jc w:val="left"/>
      </w:pPr>
      <w:r>
        <w:rPr>
          <w:rFonts w:ascii="Times New Roman" w:hAnsi="Times New Roman" w:eastAsia="Times New Roman"/>
          <w:b w:val="0"/>
          <w:i w:val="0"/>
          <w:sz w:val="24"/>
        </w:rPr>
        <w:t>Figure 5. Stage-1 vs Stage-2 Scope</w:t>
      </w:r>
    </w:p>
    <w:p>
      <w:pPr>
        <w:spacing w:before="280" w:after="160"/>
        <w:jc w:val="left"/>
      </w:pPr>
      <w:r>
        <w:rPr>
          <w:rFonts w:ascii="Times New Roman" w:hAnsi="Times New Roman" w:eastAsia="Times New Roman"/>
          <w:b/>
          <w:i w:val="0"/>
          <w:sz w:val="32"/>
        </w:rPr>
        <w:t>LIST OF TABLES</w:t>
      </w:r>
    </w:p>
    <w:p>
      <w:pPr>
        <w:spacing w:after="80" w:before="0" w:line="360" w:lineRule="auto"/>
        <w:jc w:val="left"/>
      </w:pPr>
      <w:r>
        <w:rPr>
          <w:rFonts w:ascii="Times New Roman" w:hAnsi="Times New Roman" w:eastAsia="Times New Roman"/>
          <w:b w:val="0"/>
          <w:i w:val="0"/>
          <w:sz w:val="24"/>
        </w:rPr>
        <w:t>Table 1. Hardware &amp; Software Environment</w:t>
      </w:r>
    </w:p>
    <w:p>
      <w:pPr>
        <w:spacing w:after="80" w:before="0" w:line="360" w:lineRule="auto"/>
        <w:jc w:val="left"/>
      </w:pPr>
      <w:r>
        <w:rPr>
          <w:rFonts w:ascii="Times New Roman" w:hAnsi="Times New Roman" w:eastAsia="Times New Roman"/>
          <w:b w:val="0"/>
          <w:i w:val="0"/>
          <w:sz w:val="24"/>
        </w:rPr>
        <w:t>Table 2. Dataset Split Summary (processed_v3)</w:t>
      </w:r>
    </w:p>
    <w:p>
      <w:pPr>
        <w:spacing w:after="80" w:before="0" w:line="360" w:lineRule="auto"/>
        <w:jc w:val="left"/>
      </w:pPr>
      <w:r>
        <w:rPr>
          <w:rFonts w:ascii="Times New Roman" w:hAnsi="Times New Roman" w:eastAsia="Times New Roman"/>
          <w:b w:val="0"/>
          <w:i w:val="0"/>
          <w:sz w:val="24"/>
        </w:rPr>
        <w:t>Table 3. Labeling Rule (LIDC Malignancy)</w:t>
      </w:r>
    </w:p>
    <w:p>
      <w:pPr>
        <w:spacing w:after="80" w:before="0" w:line="360" w:lineRule="auto"/>
        <w:jc w:val="left"/>
      </w:pPr>
      <w:r>
        <w:rPr>
          <w:rFonts w:ascii="Times New Roman" w:hAnsi="Times New Roman" w:eastAsia="Times New Roman"/>
          <w:b w:val="0"/>
          <w:i w:val="0"/>
          <w:sz w:val="24"/>
        </w:rPr>
        <w:t>Table 4. Training Configuration</w:t>
      </w:r>
    </w:p>
    <w:p>
      <w:pPr>
        <w:spacing w:after="80" w:before="0" w:line="360" w:lineRule="auto"/>
        <w:jc w:val="left"/>
      </w:pPr>
      <w:r>
        <w:rPr>
          <w:rFonts w:ascii="Times New Roman" w:hAnsi="Times New Roman" w:eastAsia="Times New Roman"/>
          <w:b w:val="0"/>
          <w:i w:val="0"/>
          <w:sz w:val="24"/>
        </w:rPr>
        <w:t>Table 5. Validation Training Trajectory (selected epochs)</w:t>
      </w:r>
    </w:p>
    <w:p>
      <w:pPr>
        <w:spacing w:after="80" w:before="0" w:line="360" w:lineRule="auto"/>
        <w:jc w:val="left"/>
      </w:pPr>
      <w:r>
        <w:rPr>
          <w:rFonts w:ascii="Times New Roman" w:hAnsi="Times New Roman" w:eastAsia="Times New Roman"/>
          <w:b w:val="0"/>
          <w:i w:val="0"/>
          <w:sz w:val="24"/>
        </w:rPr>
        <w:t>Table 6. Held-out Test Metrics</w:t>
      </w:r>
    </w:p>
    <w:p>
      <w:r>
        <w:br w:type="page"/>
      </w:r>
    </w:p>
    <w:p>
      <w:pPr>
        <w:spacing w:before="280" w:after="160"/>
        <w:jc w:val="left"/>
      </w:pPr>
      <w:r>
        <w:rPr>
          <w:rFonts w:ascii="Times New Roman" w:hAnsi="Times New Roman" w:eastAsia="Times New Roman"/>
          <w:b/>
          <w:i w:val="0"/>
          <w:sz w:val="32"/>
        </w:rPr>
        <w:t>CHAPTER 1 — INTRODUCTION</w:t>
      </w:r>
    </w:p>
    <w:p>
      <w:pPr>
        <w:spacing w:before="280" w:after="160"/>
        <w:jc w:val="left"/>
      </w:pPr>
      <w:r>
        <w:rPr>
          <w:rFonts w:ascii="Times New Roman" w:hAnsi="Times New Roman" w:eastAsia="Times New Roman"/>
          <w:b/>
          <w:i w:val="0"/>
          <w:sz w:val="28"/>
        </w:rPr>
        <w:t>1.1 Overview</w:t>
      </w:r>
    </w:p>
    <w:p>
      <w:pPr>
        <w:spacing w:after="160" w:before="0" w:line="360" w:lineRule="auto"/>
        <w:ind w:firstLine="567"/>
        <w:jc w:val="both"/>
      </w:pPr>
      <w:r>
        <w:rPr>
          <w:rFonts w:ascii="Times New Roman" w:hAnsi="Times New Roman" w:eastAsia="Times New Roman"/>
          <w:b w:val="0"/>
          <w:i w:val="0"/>
          <w:sz w:val="24"/>
        </w:rPr>
        <w:t>Computed tomography (CT) is central to lung cancer screening and incidental nodule management. Many detected nodules are benign, yet uncertainty drives repeat imaging, PET, or biopsy—each with cost and risk. An image-native malignancy probability that uses the full 3D nodule context can support radiologists as a research decision-support signal (not a replacement for clinical judgment).</w:t>
      </w:r>
    </w:p>
    <w:p>
      <w:pPr>
        <w:spacing w:before="280" w:after="160"/>
        <w:jc w:val="left"/>
      </w:pPr>
      <w:r>
        <w:rPr>
          <w:rFonts w:ascii="Times New Roman" w:hAnsi="Times New Roman" w:eastAsia="Times New Roman"/>
          <w:b/>
          <w:i w:val="0"/>
          <w:sz w:val="28"/>
        </w:rPr>
        <w:t>1.2 Problem Statement</w:t>
      </w:r>
    </w:p>
    <w:p>
      <w:pPr>
        <w:spacing w:after="160" w:before="0" w:line="360" w:lineRule="auto"/>
        <w:ind w:firstLine="567"/>
        <w:jc w:val="both"/>
      </w:pPr>
      <w:r>
        <w:rPr>
          <w:rFonts w:ascii="Times New Roman" w:hAnsi="Times New Roman" w:eastAsia="Times New Roman"/>
          <w:b w:val="0"/>
          <w:i w:val="0"/>
          <w:sz w:val="24"/>
        </w:rPr>
        <w:t>Given a pulmonary nodule volume of interest extracted from chest CT, predict the probability that the nodule is malignant according to LIDC radiologist malignancy characteristics, under a strict patient-level evaluation protocol with no train/test patient leakage.</w:t>
      </w:r>
    </w:p>
    <w:p>
      <w:pPr>
        <w:spacing w:before="280" w:after="160"/>
        <w:jc w:val="left"/>
      </w:pPr>
      <w:r>
        <w:rPr>
          <w:rFonts w:ascii="Times New Roman" w:hAnsi="Times New Roman" w:eastAsia="Times New Roman"/>
          <w:b/>
          <w:i w:val="0"/>
          <w:sz w:val="28"/>
        </w:rPr>
        <w:t>1.3 Objectives</w:t>
      </w:r>
    </w:p>
    <w:p>
      <w:pPr>
        <w:spacing w:after="80" w:before="0" w:line="360" w:lineRule="auto"/>
        <w:jc w:val="left"/>
      </w:pPr>
      <w:r>
        <w:rPr>
          <w:rFonts w:ascii="Times New Roman" w:hAnsi="Times New Roman" w:eastAsia="Times New Roman"/>
          <w:b w:val="0"/>
          <w:i w:val="0"/>
          <w:sz w:val="24"/>
        </w:rPr>
        <w:t>• Design a hybrid 3D CNN + Swin Transformer classifier for nodule VOIs.</w:t>
      </w:r>
    </w:p>
    <w:p>
      <w:pPr>
        <w:spacing w:after="80" w:before="0" w:line="360" w:lineRule="auto"/>
        <w:jc w:val="left"/>
      </w:pPr>
      <w:r>
        <w:rPr>
          <w:rFonts w:ascii="Times New Roman" w:hAnsi="Times New Roman" w:eastAsia="Times New Roman"/>
          <w:b w:val="0"/>
          <w:i w:val="0"/>
          <w:sz w:val="24"/>
        </w:rPr>
        <w:t>• Implement a reproducible LIDC-IDRI preprocessing pipeline (DICOM/XML → processed tree).</w:t>
      </w:r>
    </w:p>
    <w:p>
      <w:pPr>
        <w:spacing w:after="80" w:before="0" w:line="360" w:lineRule="auto"/>
        <w:jc w:val="left"/>
      </w:pPr>
      <w:r>
        <w:rPr>
          <w:rFonts w:ascii="Times New Roman" w:hAnsi="Times New Roman" w:eastAsia="Times New Roman"/>
          <w:b w:val="0"/>
          <w:i w:val="0"/>
          <w:sz w:val="24"/>
        </w:rPr>
        <w:t>• Train and evaluate on patient-level splits; report AUC, sensitivity, specificity, and related metrics.</w:t>
      </w:r>
    </w:p>
    <w:p>
      <w:pPr>
        <w:spacing w:after="80" w:before="0" w:line="360" w:lineRule="auto"/>
        <w:jc w:val="left"/>
      </w:pPr>
      <w:r>
        <w:rPr>
          <w:rFonts w:ascii="Times New Roman" w:hAnsi="Times New Roman" w:eastAsia="Times New Roman"/>
          <w:b w:val="0"/>
          <w:i w:val="0"/>
          <w:sz w:val="24"/>
        </w:rPr>
        <w:t>• Document limitations (Stage-2 scope, label subjectivity) and a roadmap for Stage-1 detection.</w:t>
      </w:r>
    </w:p>
    <w:p>
      <w:pPr>
        <w:spacing w:before="280" w:after="160"/>
        <w:jc w:val="left"/>
      </w:pPr>
      <w:r>
        <w:rPr>
          <w:rFonts w:ascii="Times New Roman" w:hAnsi="Times New Roman" w:eastAsia="Times New Roman"/>
          <w:b/>
          <w:i w:val="0"/>
          <w:sz w:val="28"/>
        </w:rPr>
        <w:t>1.4 Scope</w:t>
      </w:r>
    </w:p>
    <w:p>
      <w:pPr>
        <w:spacing w:after="160" w:before="0" w:line="360" w:lineRule="auto"/>
        <w:ind w:firstLine="567"/>
        <w:jc w:val="both"/>
      </w:pPr>
      <w:r>
        <w:rPr>
          <w:rFonts w:ascii="Times New Roman" w:hAnsi="Times New Roman" w:eastAsia="Times New Roman"/>
          <w:b w:val="0"/>
          <w:i w:val="0"/>
          <w:sz w:val="24"/>
        </w:rPr>
        <w:t>In scope: Stage-2 malignancy scoring on LIDC-annotated nodules; preprocessing; training on GPU; metrics and checkpoint export. Out of scope for this phase: automatic nodule detection on arbitrary raw CTs (Stage-1), multi-center clinical deployment, and regulatory clearance.</w:t>
      </w:r>
    </w:p>
    <w:p>
      <w:pPr>
        <w:spacing w:before="280" w:after="160"/>
        <w:jc w:val="left"/>
      </w:pPr>
      <w:r>
        <w:rPr>
          <w:rFonts w:ascii="Times New Roman" w:hAnsi="Times New Roman" w:eastAsia="Times New Roman"/>
          <w:b/>
          <w:i w:val="0"/>
          <w:sz w:val="28"/>
        </w:rPr>
        <w:t>1.5 Organization of the Report</w:t>
      </w:r>
    </w:p>
    <w:p>
      <w:pPr>
        <w:spacing w:after="160" w:before="0" w:line="360" w:lineRule="auto"/>
        <w:ind w:firstLine="567"/>
        <w:jc w:val="both"/>
      </w:pPr>
      <w:r>
        <w:rPr>
          <w:rFonts w:ascii="Times New Roman" w:hAnsi="Times New Roman" w:eastAsia="Times New Roman"/>
          <w:b w:val="0"/>
          <w:i w:val="0"/>
          <w:sz w:val="24"/>
        </w:rPr>
        <w:t>Chapter 2 reviews related work. Chapter 3 states requirements. Chapter 4 presents design and diagrams. Chapter 5 describes implementation. Chapter 6 reports experiments and results. Chapter 7 concludes.</w:t>
      </w:r>
    </w:p>
    <w:p>
      <w:r>
        <w:br w:type="page"/>
      </w:r>
    </w:p>
    <w:p>
      <w:pPr>
        <w:spacing w:before="280" w:after="160"/>
        <w:jc w:val="left"/>
      </w:pPr>
      <w:r>
        <w:rPr>
          <w:rFonts w:ascii="Times New Roman" w:hAnsi="Times New Roman" w:eastAsia="Times New Roman"/>
          <w:b/>
          <w:i w:val="0"/>
          <w:sz w:val="32"/>
        </w:rPr>
        <w:t>CHAPTER 2 — LITERATURE SURVEY</w:t>
      </w:r>
    </w:p>
    <w:p>
      <w:pPr>
        <w:spacing w:before="280" w:after="160"/>
        <w:jc w:val="left"/>
      </w:pPr>
      <w:r>
        <w:rPr>
          <w:rFonts w:ascii="Times New Roman" w:hAnsi="Times New Roman" w:eastAsia="Times New Roman"/>
          <w:b/>
          <w:i w:val="0"/>
          <w:sz w:val="28"/>
        </w:rPr>
        <w:t>2.1 Clinical Risk Models</w:t>
      </w:r>
    </w:p>
    <w:p>
      <w:pPr>
        <w:spacing w:after="160" w:before="0" w:line="360" w:lineRule="auto"/>
        <w:ind w:firstLine="567"/>
        <w:jc w:val="both"/>
      </w:pPr>
      <w:r>
        <w:rPr>
          <w:rFonts w:ascii="Times New Roman" w:hAnsi="Times New Roman" w:eastAsia="Times New Roman"/>
          <w:b w:val="0"/>
          <w:i w:val="0"/>
          <w:sz w:val="24"/>
        </w:rPr>
        <w:t>Models such as Brock (PanCan) estimate malignancy from clinical and simple imaging covariates. They are interpretable but underuse voxel-level appearance (texture, spiculation patterns, volumetric morphology).</w:t>
      </w:r>
    </w:p>
    <w:p>
      <w:pPr>
        <w:spacing w:before="280" w:after="160"/>
        <w:jc w:val="left"/>
      </w:pPr>
      <w:r>
        <w:rPr>
          <w:rFonts w:ascii="Times New Roman" w:hAnsi="Times New Roman" w:eastAsia="Times New Roman"/>
          <w:b/>
          <w:i w:val="0"/>
          <w:sz w:val="28"/>
        </w:rPr>
        <w:t>2.2 Deep Learning on LIDC / LUNA</w:t>
      </w:r>
    </w:p>
    <w:p>
      <w:pPr>
        <w:spacing w:after="160" w:before="0" w:line="360" w:lineRule="auto"/>
        <w:ind w:firstLine="567"/>
        <w:jc w:val="both"/>
      </w:pPr>
      <w:r>
        <w:rPr>
          <w:rFonts w:ascii="Times New Roman" w:hAnsi="Times New Roman" w:eastAsia="Times New Roman"/>
          <w:b w:val="0"/>
          <w:i w:val="0"/>
          <w:sz w:val="24"/>
        </w:rPr>
        <w:t>LIDC-IDRI provides multi-reader nodule annotations including malignancy ratings (1–5). LUNA16 focuses on detection benchmarks derived from LIDC. Prior work uses 2D/2.5D/3D CNNs for classification and U-Nets for segmentation. Transformers and hybrid CNN–attention models improve long-range context on volumetric patches.</w:t>
      </w:r>
    </w:p>
    <w:p>
      <w:pPr>
        <w:spacing w:before="280" w:after="160"/>
        <w:jc w:val="left"/>
      </w:pPr>
      <w:r>
        <w:rPr>
          <w:rFonts w:ascii="Times New Roman" w:hAnsi="Times New Roman" w:eastAsia="Times New Roman"/>
          <w:b/>
          <w:i w:val="0"/>
          <w:sz w:val="28"/>
        </w:rPr>
        <w:t>2.3 Motivation for a Hybrid CNN–Swin Design</w:t>
      </w:r>
    </w:p>
    <w:p>
      <w:pPr>
        <w:spacing w:after="160" w:before="0" w:line="360" w:lineRule="auto"/>
        <w:ind w:firstLine="567"/>
        <w:jc w:val="both"/>
      </w:pPr>
      <w:r>
        <w:rPr>
          <w:rFonts w:ascii="Times New Roman" w:hAnsi="Times New Roman" w:eastAsia="Times New Roman"/>
          <w:b w:val="0"/>
          <w:i w:val="0"/>
          <w:sz w:val="24"/>
        </w:rPr>
        <w:t>3D CNNs capture local morphology efficiently; Swin-style shifted-window attention models broader spatial relationships within the VOI with manageable compute. A CNN backbone producing a feature volume fed to a Swin encoder with a [CLS] token yields both a probability and an attention map for explainability.</w:t>
      </w:r>
    </w:p>
    <w:p>
      <w:r>
        <w:br w:type="page"/>
      </w:r>
    </w:p>
    <w:p>
      <w:pPr>
        <w:spacing w:before="280" w:after="160"/>
        <w:jc w:val="left"/>
      </w:pPr>
      <w:r>
        <w:rPr>
          <w:rFonts w:ascii="Times New Roman" w:hAnsi="Times New Roman" w:eastAsia="Times New Roman"/>
          <w:b/>
          <w:i w:val="0"/>
          <w:sz w:val="32"/>
        </w:rPr>
        <w:t>CHAPTER 3 — SYSTEM REQUIREMENTS &amp; ANALYSIS</w:t>
      </w:r>
    </w:p>
    <w:p>
      <w:pPr>
        <w:spacing w:before="280" w:after="160"/>
        <w:jc w:val="left"/>
      </w:pPr>
      <w:r>
        <w:rPr>
          <w:rFonts w:ascii="Times New Roman" w:hAnsi="Times New Roman" w:eastAsia="Times New Roman"/>
          <w:b/>
          <w:i w:val="0"/>
          <w:sz w:val="28"/>
        </w:rPr>
        <w:t>3.1 Functional Requirements</w:t>
      </w:r>
    </w:p>
    <w:p>
      <w:pPr>
        <w:spacing w:after="80" w:before="0" w:line="360" w:lineRule="auto"/>
        <w:jc w:val="left"/>
      </w:pPr>
      <w:r>
        <w:rPr>
          <w:rFonts w:ascii="Times New Roman" w:hAnsi="Times New Roman" w:eastAsia="Times New Roman"/>
          <w:b w:val="0"/>
          <w:i w:val="0"/>
          <w:sz w:val="24"/>
        </w:rPr>
        <w:t>• Ingest LIDC DICOM CT and XML annotations.</w:t>
      </w:r>
    </w:p>
    <w:p>
      <w:pPr>
        <w:spacing w:after="80" w:before="0" w:line="360" w:lineRule="auto"/>
        <w:jc w:val="left"/>
      </w:pPr>
      <w:r>
        <w:rPr>
          <w:rFonts w:ascii="Times New Roman" w:hAnsi="Times New Roman" w:eastAsia="Times New Roman"/>
          <w:b w:val="0"/>
          <w:i w:val="0"/>
          <w:sz w:val="24"/>
        </w:rPr>
        <w:t>• Produce isotropic NIfTI volumes and physical-nodule metadata.</w:t>
      </w:r>
    </w:p>
    <w:p>
      <w:pPr>
        <w:spacing w:after="80" w:before="0" w:line="360" w:lineRule="auto"/>
        <w:jc w:val="left"/>
      </w:pPr>
      <w:r>
        <w:rPr>
          <w:rFonts w:ascii="Times New Roman" w:hAnsi="Times New Roman" w:eastAsia="Times New Roman"/>
          <w:b w:val="0"/>
          <w:i w:val="0"/>
          <w:sz w:val="24"/>
        </w:rPr>
        <w:t>• Train hybrid classifier with AMP on GPU.</w:t>
      </w:r>
    </w:p>
    <w:p>
      <w:pPr>
        <w:spacing w:after="80" w:before="0" w:line="360" w:lineRule="auto"/>
        <w:jc w:val="left"/>
      </w:pPr>
      <w:r>
        <w:rPr>
          <w:rFonts w:ascii="Times New Roman" w:hAnsi="Times New Roman" w:eastAsia="Times New Roman"/>
          <w:b w:val="0"/>
          <w:i w:val="0"/>
          <w:sz w:val="24"/>
        </w:rPr>
        <w:t>• Evaluate patient-level test metrics (AUC, etc.).</w:t>
      </w:r>
    </w:p>
    <w:p>
      <w:pPr>
        <w:spacing w:after="80" w:before="0" w:line="360" w:lineRule="auto"/>
        <w:jc w:val="left"/>
      </w:pPr>
      <w:r>
        <w:rPr>
          <w:rFonts w:ascii="Times New Roman" w:hAnsi="Times New Roman" w:eastAsia="Times New Roman"/>
          <w:b w:val="0"/>
          <w:i w:val="0"/>
          <w:sz w:val="24"/>
        </w:rPr>
        <w:t>• Export best checkpoint for inference/demo.</w:t>
      </w:r>
    </w:p>
    <w:p>
      <w:pPr>
        <w:spacing w:before="280" w:after="160"/>
        <w:jc w:val="left"/>
      </w:pPr>
      <w:r>
        <w:rPr>
          <w:rFonts w:ascii="Times New Roman" w:hAnsi="Times New Roman" w:eastAsia="Times New Roman"/>
          <w:b/>
          <w:i w:val="0"/>
          <w:sz w:val="28"/>
        </w:rPr>
        <w:t>3.2 Non-Functional Requirements</w:t>
      </w:r>
    </w:p>
    <w:p>
      <w:pPr>
        <w:spacing w:after="160" w:before="0" w:line="360" w:lineRule="auto"/>
        <w:ind w:firstLine="567"/>
        <w:jc w:val="both"/>
      </w:pPr>
      <w:r>
        <w:rPr>
          <w:rFonts w:ascii="Times New Roman" w:hAnsi="Times New Roman" w:eastAsia="Times New Roman"/>
          <w:b w:val="0"/>
          <w:i w:val="0"/>
          <w:sz w:val="24"/>
        </w:rPr>
        <w:t>Reproducibility (configs + manifests), memory-safe data loading (lazy mmap, num_workers=0 on constrained hosts), and clear research-only disclaimers.</w:t>
      </w:r>
    </w:p>
    <w:p>
      <w:pPr>
        <w:spacing w:before="280" w:after="160"/>
        <w:jc w:val="left"/>
      </w:pPr>
      <w:r>
        <w:rPr>
          <w:rFonts w:ascii="Times New Roman" w:hAnsi="Times New Roman" w:eastAsia="Times New Roman"/>
          <w:b/>
          <w:i w:val="0"/>
          <w:sz w:val="28"/>
        </w:rPr>
        <w:t>3.3 Environment</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eastAsia="Times New Roman"/>
                <w:b/>
                <w:i w:val="0"/>
                <w:sz w:val="22"/>
              </w:rPr>
              <w:t>Component</w:t>
            </w:r>
          </w:p>
        </w:tc>
        <w:tc>
          <w:tcPr>
            <w:tcW w:type="dxa" w:w="4703"/>
          </w:tcPr>
          <w:p>
            <w:pPr>
              <w:jc w:val="center"/>
            </w:pPr>
            <w:r/>
            <w:r>
              <w:rPr>
                <w:rFonts w:ascii="Times New Roman" w:hAnsi="Times New Roman" w:eastAsia="Times New Roman"/>
                <w:b/>
                <w:i w:val="0"/>
                <w:sz w:val="22"/>
              </w:rPr>
              <w:t>Details</w:t>
            </w:r>
          </w:p>
        </w:tc>
      </w:tr>
      <w:tr>
        <w:tc>
          <w:tcPr>
            <w:tcW w:type="dxa" w:w="4703"/>
          </w:tcPr>
          <w:p>
            <w:r/>
            <w:r>
              <w:rPr>
                <w:rFonts w:ascii="Times New Roman" w:hAnsi="Times New Roman" w:eastAsia="Times New Roman"/>
                <w:b w:val="0"/>
                <w:i w:val="0"/>
                <w:sz w:val="22"/>
              </w:rPr>
              <w:t>Preprocess host</w:t>
            </w:r>
          </w:p>
        </w:tc>
        <w:tc>
          <w:tcPr>
            <w:tcW w:type="dxa" w:w="4703"/>
          </w:tcPr>
          <w:p>
            <w:r/>
            <w:r>
              <w:rPr>
                <w:rFonts w:ascii="Times New Roman" w:hAnsi="Times New Roman" w:eastAsia="Times New Roman"/>
                <w:b w:val="0"/>
                <w:i w:val="0"/>
                <w:sz w:val="22"/>
              </w:rPr>
              <w:t>Windows / WSL2, CPU, pydicom + SimpleITK</w:t>
            </w:r>
          </w:p>
        </w:tc>
      </w:tr>
      <w:tr>
        <w:tc>
          <w:tcPr>
            <w:tcW w:type="dxa" w:w="4703"/>
          </w:tcPr>
          <w:p>
            <w:r/>
            <w:r>
              <w:rPr>
                <w:rFonts w:ascii="Times New Roman" w:hAnsi="Times New Roman" w:eastAsia="Times New Roman"/>
                <w:b w:val="0"/>
                <w:i w:val="0"/>
                <w:sz w:val="22"/>
              </w:rPr>
              <w:t>Training host</w:t>
            </w:r>
          </w:p>
        </w:tc>
        <w:tc>
          <w:tcPr>
            <w:tcW w:type="dxa" w:w="4703"/>
          </w:tcPr>
          <w:p>
            <w:r/>
            <w:r>
              <w:rPr>
                <w:rFonts w:ascii="Times New Roman" w:hAnsi="Times New Roman" w:eastAsia="Times New Roman"/>
                <w:b w:val="0"/>
                <w:i w:val="0"/>
                <w:sz w:val="22"/>
              </w:rPr>
              <w:t>Kubeflow GPU notebook (NVIDIA A100 MIG ~21 GB)</w:t>
            </w:r>
          </w:p>
        </w:tc>
      </w:tr>
      <w:tr>
        <w:tc>
          <w:tcPr>
            <w:tcW w:type="dxa" w:w="4703"/>
          </w:tcPr>
          <w:p>
            <w:r/>
            <w:r>
              <w:rPr>
                <w:rFonts w:ascii="Times New Roman" w:hAnsi="Times New Roman" w:eastAsia="Times New Roman"/>
                <w:b w:val="0"/>
                <w:i w:val="0"/>
                <w:sz w:val="22"/>
              </w:rPr>
              <w:t>Python</w:t>
            </w:r>
          </w:p>
        </w:tc>
        <w:tc>
          <w:tcPr>
            <w:tcW w:type="dxa" w:w="4703"/>
          </w:tcPr>
          <w:p>
            <w:r/>
            <w:r>
              <w:rPr>
                <w:rFonts w:ascii="Times New Roman" w:hAnsi="Times New Roman" w:eastAsia="Times New Roman"/>
                <w:b w:val="0"/>
                <w:i w:val="0"/>
                <w:sz w:val="22"/>
              </w:rPr>
              <w:t>Conda env pulmo, Python 3.10</w:t>
            </w:r>
          </w:p>
        </w:tc>
      </w:tr>
      <w:tr>
        <w:tc>
          <w:tcPr>
            <w:tcW w:type="dxa" w:w="4703"/>
          </w:tcPr>
          <w:p>
            <w:r/>
            <w:r>
              <w:rPr>
                <w:rFonts w:ascii="Times New Roman" w:hAnsi="Times New Roman" w:eastAsia="Times New Roman"/>
                <w:b w:val="0"/>
                <w:i w:val="0"/>
                <w:sz w:val="22"/>
              </w:rPr>
              <w:t>Deep learning</w:t>
            </w:r>
          </w:p>
        </w:tc>
        <w:tc>
          <w:tcPr>
            <w:tcW w:type="dxa" w:w="4703"/>
          </w:tcPr>
          <w:p>
            <w:r/>
            <w:r>
              <w:rPr>
                <w:rFonts w:ascii="Times New Roman" w:hAnsi="Times New Roman" w:eastAsia="Times New Roman"/>
                <w:b w:val="0"/>
                <w:i w:val="0"/>
                <w:sz w:val="22"/>
              </w:rPr>
              <w:t>PyTorch 2.1.2+cu118 (driver-matched)</w:t>
            </w:r>
          </w:p>
        </w:tc>
      </w:tr>
      <w:tr>
        <w:tc>
          <w:tcPr>
            <w:tcW w:type="dxa" w:w="4703"/>
          </w:tcPr>
          <w:p>
            <w:r/>
            <w:r>
              <w:rPr>
                <w:rFonts w:ascii="Times New Roman" w:hAnsi="Times New Roman" w:eastAsia="Times New Roman"/>
                <w:b w:val="0"/>
                <w:i w:val="0"/>
                <w:sz w:val="22"/>
              </w:rPr>
              <w:t>Data source</w:t>
            </w:r>
          </w:p>
        </w:tc>
        <w:tc>
          <w:tcPr>
            <w:tcW w:type="dxa" w:w="4703"/>
          </w:tcPr>
          <w:p>
            <w:r/>
            <w:r>
              <w:rPr>
                <w:rFonts w:ascii="Times New Roman" w:hAnsi="Times New Roman" w:eastAsia="Times New Roman"/>
                <w:b w:val="0"/>
                <w:i w:val="0"/>
                <w:sz w:val="22"/>
              </w:rPr>
              <w:t>TCIA LIDC-IDRI (~303 series first batch → 153 selected)</w:t>
            </w:r>
          </w:p>
        </w:tc>
      </w:tr>
      <w:tr>
        <w:tc>
          <w:tcPr>
            <w:tcW w:type="dxa" w:w="4703"/>
          </w:tcPr>
          <w:p>
            <w:r/>
            <w:r>
              <w:rPr>
                <w:rFonts w:ascii="Times New Roman" w:hAnsi="Times New Roman" w:eastAsia="Times New Roman"/>
                <w:b w:val="0"/>
                <w:i w:val="0"/>
                <w:sz w:val="22"/>
              </w:rPr>
              <w:t>Code</w:t>
            </w:r>
          </w:p>
        </w:tc>
        <w:tc>
          <w:tcPr>
            <w:tcW w:type="dxa" w:w="4703"/>
          </w:tcPr>
          <w:p>
            <w:r/>
            <w:r>
              <w:rPr>
                <w:rFonts w:ascii="Times New Roman" w:hAnsi="Times New Roman" w:eastAsia="Times New Roman"/>
                <w:b w:val="0"/>
                <w:i w:val="0"/>
                <w:sz w:val="22"/>
              </w:rPr>
              <w:t>lcp-cnn repository, branch cursor/lidc-fresh-preprocess-1296</w:t>
            </w:r>
          </w:p>
        </w:tc>
      </w:tr>
    </w:tbl>
    <w:p/>
    <w:p>
      <w:pPr>
        <w:spacing w:after="160" w:before="0" w:line="360" w:lineRule="auto"/>
        <w:jc w:val="center"/>
      </w:pPr>
      <w:r>
        <w:rPr>
          <w:rFonts w:ascii="Times New Roman" w:hAnsi="Times New Roman" w:eastAsia="Times New Roman"/>
          <w:b w:val="0"/>
          <w:i/>
          <w:sz w:val="24"/>
        </w:rPr>
        <w:t>Table 1. Hardware &amp; Software Environment</w:t>
      </w:r>
    </w:p>
    <w:p>
      <w:r>
        <w:br w:type="page"/>
      </w:r>
    </w:p>
    <w:p>
      <w:pPr>
        <w:spacing w:before="280" w:after="160"/>
        <w:jc w:val="left"/>
      </w:pPr>
      <w:r>
        <w:rPr>
          <w:rFonts w:ascii="Times New Roman" w:hAnsi="Times New Roman" w:eastAsia="Times New Roman"/>
          <w:b/>
          <w:i w:val="0"/>
          <w:sz w:val="32"/>
        </w:rPr>
        <w:t>CHAPTER 4 — SYSTEM DESIGN</w:t>
      </w:r>
    </w:p>
    <w:p>
      <w:pPr>
        <w:spacing w:before="280" w:after="160"/>
        <w:jc w:val="left"/>
      </w:pPr>
      <w:r>
        <w:rPr>
          <w:rFonts w:ascii="Times New Roman" w:hAnsi="Times New Roman" w:eastAsia="Times New Roman"/>
          <w:b/>
          <w:i w:val="0"/>
          <w:sz w:val="28"/>
        </w:rPr>
        <w:t>4.1 Overall Architecture</w:t>
      </w:r>
    </w:p>
    <w:p>
      <w:pPr>
        <w:spacing w:after="160" w:before="0" w:line="360" w:lineRule="auto"/>
        <w:ind w:firstLine="567"/>
        <w:jc w:val="both"/>
      </w:pPr>
      <w:r>
        <w:rPr>
          <w:rFonts w:ascii="Times New Roman" w:hAnsi="Times New Roman" w:eastAsia="Times New Roman"/>
          <w:b w:val="0"/>
          <w:i w:val="0"/>
          <w:sz w:val="24"/>
        </w:rPr>
        <w:t>The system separates CPU preprocessing from GPU training. Preprocessing writes a stable processed/ tree. Training lazily crops VOIs around centroids and optimizes binary malignancy probability.</w:t>
      </w:r>
    </w:p>
    <w:p>
      <w:pPr>
        <w:jc w:val="center"/>
      </w:pPr>
      <w:r>
        <w:drawing>
          <wp:inline xmlns:a="http://schemas.openxmlformats.org/drawingml/2006/main" xmlns:pic="http://schemas.openxmlformats.org/drawingml/2006/picture">
            <wp:extent cx="5669280" cy="1775229"/>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669280" cy="1775229"/>
                    </a:xfrm>
                    <a:prstGeom prst="rect"/>
                  </pic:spPr>
                </pic:pic>
              </a:graphicData>
            </a:graphic>
          </wp:inline>
        </w:drawing>
      </w:r>
    </w:p>
    <w:p>
      <w:pPr>
        <w:spacing w:before="280" w:after="160"/>
        <w:jc w:val="left"/>
      </w:pPr>
      <w:r>
        <w:rPr>
          <w:rFonts w:ascii="Times New Roman" w:hAnsi="Times New Roman" w:eastAsia="Times New Roman"/>
          <w:b/>
          <w:i w:val="0"/>
          <w:sz w:val="28"/>
        </w:rPr>
        <w:t>4.2 Preprocessing Design</w:t>
      </w:r>
    </w:p>
    <w:p>
      <w:pPr>
        <w:spacing w:after="160" w:before="0" w:line="360" w:lineRule="auto"/>
        <w:ind w:firstLine="567"/>
        <w:jc w:val="both"/>
      </w:pPr>
      <w:r>
        <w:rPr>
          <w:rFonts w:ascii="Times New Roman" w:hAnsi="Times New Roman" w:eastAsia="Times New Roman"/>
          <w:b w:val="0"/>
          <w:i w:val="0"/>
          <w:sz w:val="24"/>
        </w:rPr>
        <w:t>TCIA downloads often include multiple series per patient (e.g., chest vs angio). We keep CT series with matching LIDC XML, prefer non-angio series, and one series per patient. A critical design choice is mapping LIDC edgeMap xCoord/yCoord using the original DICOM SimpleITK geometry before 1 mm resampling; treating those indices as 1 mm voxels misplaces VOIs and collapses AUC (observed in an earlier processed_v2 experiment).</w:t>
      </w:r>
    </w:p>
    <w:p>
      <w:pPr>
        <w:jc w:val="center"/>
      </w:pPr>
      <w:r>
        <w:drawing>
          <wp:inline xmlns:a="http://schemas.openxmlformats.org/drawingml/2006/main" xmlns:pic="http://schemas.openxmlformats.org/drawingml/2006/picture">
            <wp:extent cx="5394960" cy="2927053"/>
            <wp:docPr id="2" name="Picture 2"/>
            <wp:cNvGraphicFramePr>
              <a:graphicFrameLocks noChangeAspect="1"/>
            </wp:cNvGraphicFramePr>
            <a:graphic>
              <a:graphicData uri="http://schemas.openxmlformats.org/drawingml/2006/picture">
                <pic:pic>
                  <pic:nvPicPr>
                    <pic:cNvPr id="0" name="fig2_preprocess.png"/>
                    <pic:cNvPicPr/>
                  </pic:nvPicPr>
                  <pic:blipFill>
                    <a:blip r:embed="rId10"/>
                    <a:stretch>
                      <a:fillRect/>
                    </a:stretch>
                  </pic:blipFill>
                  <pic:spPr>
                    <a:xfrm>
                      <a:off x="0" y="0"/>
                      <a:ext cx="5394960" cy="2927053"/>
                    </a:xfrm>
                    <a:prstGeom prst="rect"/>
                  </pic:spPr>
                </pic:pic>
              </a:graphicData>
            </a:graphic>
          </wp:inline>
        </w:drawing>
      </w:r>
    </w:p>
    <w:p>
      <w:pPr>
        <w:spacing w:before="280" w:after="160"/>
        <w:jc w:val="left"/>
      </w:pPr>
      <w:r>
        <w:rPr>
          <w:rFonts w:ascii="Times New Roman" w:hAnsi="Times New Roman" w:eastAsia="Times New Roman"/>
          <w:b/>
          <w:i w:val="0"/>
          <w:sz w:val="28"/>
        </w:rPr>
        <w:t>4.3 Model Design</w:t>
      </w:r>
    </w:p>
    <w:p>
      <w:pPr>
        <w:spacing w:after="160" w:before="0" w:line="360" w:lineRule="auto"/>
        <w:ind w:firstLine="567"/>
        <w:jc w:val="both"/>
      </w:pPr>
      <w:r>
        <w:rPr>
          <w:rFonts w:ascii="Times New Roman" w:hAnsi="Times New Roman" w:eastAsia="Times New Roman"/>
          <w:b w:val="0"/>
          <w:i w:val="0"/>
          <w:sz w:val="24"/>
        </w:rPr>
        <w:t>Input VOI shape is 1×D×H×W (default 48³ for the primary experiment). A ResNet-style 3D CNN backbone emits a feature map; a Swin3D encoder with [CLS] pooling feeds an MLP head and sigmoid. Attention from [CLS] to spatial tokens supports qualitative explanation overlays.</w:t>
      </w:r>
    </w:p>
    <w:p>
      <w:pPr>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fig3_model.png"/>
                    <pic:cNvPicPr/>
                  </pic:nvPicPr>
                  <pic:blipFill>
                    <a:blip r:embed="rId11"/>
                    <a:stretch>
                      <a:fillRect/>
                    </a:stretch>
                  </pic:blipFill>
                  <pic:spPr>
                    <a:xfrm>
                      <a:off x="0" y="0"/>
                      <a:ext cx="5669280" cy="1889760"/>
                    </a:xfrm>
                    <a:prstGeom prst="rect"/>
                  </pic:spPr>
                </pic:pic>
              </a:graphicData>
            </a:graphic>
          </wp:inline>
        </w:drawing>
      </w:r>
    </w:p>
    <w:p>
      <w:pPr>
        <w:spacing w:before="280" w:after="160"/>
        <w:jc w:val="left"/>
      </w:pPr>
      <w:r>
        <w:rPr>
          <w:rFonts w:ascii="Times New Roman" w:hAnsi="Times New Roman" w:eastAsia="Times New Roman"/>
          <w:b/>
          <w:i w:val="0"/>
          <w:sz w:val="28"/>
        </w:rPr>
        <w:t>4.4 Training &amp; Evaluation Design</w:t>
      </w:r>
    </w:p>
    <w:p>
      <w:pPr>
        <w:jc w:val="center"/>
      </w:pPr>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fig4_train.png"/>
                    <pic:cNvPicPr/>
                  </pic:nvPicPr>
                  <pic:blipFill>
                    <a:blip r:embed="rId12"/>
                    <a:stretch>
                      <a:fillRect/>
                    </a:stretch>
                  </pic:blipFill>
                  <pic:spPr>
                    <a:xfrm>
                      <a:off x="0" y="0"/>
                      <a:ext cx="5394960" cy="2697480"/>
                    </a:xfrm>
                    <a:prstGeom prst="rect"/>
                  </pic:spPr>
                </pic:pic>
              </a:graphicData>
            </a:graphic>
          </wp:inline>
        </w:drawing>
      </w:r>
    </w:p>
    <w:p>
      <w:pPr>
        <w:spacing w:before="280" w:after="160"/>
        <w:jc w:val="left"/>
      </w:pPr>
      <w:r>
        <w:rPr>
          <w:rFonts w:ascii="Times New Roman" w:hAnsi="Times New Roman" w:eastAsia="Times New Roman"/>
          <w:b/>
          <w:i w:val="0"/>
          <w:sz w:val="28"/>
        </w:rPr>
        <w:t>4.5 Stage Scope</w:t>
      </w:r>
    </w:p>
    <w:p>
      <w:pPr>
        <w:jc w:val="center"/>
      </w:pPr>
      <w:r>
        <w:drawing>
          <wp:inline xmlns:a="http://schemas.openxmlformats.org/drawingml/2006/main" xmlns:pic="http://schemas.openxmlformats.org/drawingml/2006/picture">
            <wp:extent cx="5394960" cy="1779189"/>
            <wp:docPr id="5" name="Picture 5"/>
            <wp:cNvGraphicFramePr>
              <a:graphicFrameLocks noChangeAspect="1"/>
            </wp:cNvGraphicFramePr>
            <a:graphic>
              <a:graphicData uri="http://schemas.openxmlformats.org/drawingml/2006/picture">
                <pic:pic>
                  <pic:nvPicPr>
                    <pic:cNvPr id="0" name="fig5_stages.png"/>
                    <pic:cNvPicPr/>
                  </pic:nvPicPr>
                  <pic:blipFill>
                    <a:blip r:embed="rId13"/>
                    <a:stretch>
                      <a:fillRect/>
                    </a:stretch>
                  </pic:blipFill>
                  <pic:spPr>
                    <a:xfrm>
                      <a:off x="0" y="0"/>
                      <a:ext cx="5394960" cy="1779189"/>
                    </a:xfrm>
                    <a:prstGeom prst="rect"/>
                  </pic:spPr>
                </pic:pic>
              </a:graphicData>
            </a:graphic>
          </wp:inline>
        </w:drawing>
      </w:r>
    </w:p>
    <w:p>
      <w:pPr>
        <w:spacing w:before="280" w:after="160"/>
        <w:jc w:val="left"/>
      </w:pPr>
      <w:r>
        <w:rPr>
          <w:rFonts w:ascii="Times New Roman" w:hAnsi="Times New Roman" w:eastAsia="Times New Roman"/>
          <w:b/>
          <w:i w:val="0"/>
          <w:sz w:val="28"/>
        </w:rPr>
        <w:t>4.6 Data Schema (processed/)</w:t>
      </w:r>
    </w:p>
    <w:p>
      <w:pPr>
        <w:spacing w:after="160" w:before="0" w:line="360" w:lineRule="auto"/>
        <w:ind w:firstLine="567"/>
        <w:jc w:val="both"/>
      </w:pPr>
      <w:r>
        <w:rPr>
          <w:rFonts w:ascii="Times New Roman" w:hAnsi="Times New Roman" w:eastAsia="Times New Roman"/>
          <w:b w:val="0"/>
          <w:i w:val="0"/>
          <w:sz w:val="24"/>
        </w:rPr>
        <w:t>volumes/&lt;SeriesUID&gt;.nii.gz; metadata/lidc/; metadata/physical_nodules/; manifests/dataset_manifest.json; manifests/patient_splits.json. Training reads manifests and crops using patient-mm centroids transformed through the NIfTI affine.</w:t>
      </w:r>
    </w:p>
    <w:p>
      <w:r>
        <w:br w:type="page"/>
      </w:r>
    </w:p>
    <w:p>
      <w:pPr>
        <w:spacing w:before="280" w:after="160"/>
        <w:jc w:val="left"/>
      </w:pPr>
      <w:r>
        <w:rPr>
          <w:rFonts w:ascii="Times New Roman" w:hAnsi="Times New Roman" w:eastAsia="Times New Roman"/>
          <w:b/>
          <w:i w:val="0"/>
          <w:sz w:val="32"/>
        </w:rPr>
        <w:t>CHAPTER 5 — IMPLEMENTATION</w:t>
      </w:r>
    </w:p>
    <w:p>
      <w:pPr>
        <w:spacing w:before="280" w:after="160"/>
        <w:jc w:val="left"/>
      </w:pPr>
      <w:r>
        <w:rPr>
          <w:rFonts w:ascii="Times New Roman" w:hAnsi="Times New Roman" w:eastAsia="Times New Roman"/>
          <w:b/>
          <w:i w:val="0"/>
          <w:sz w:val="28"/>
        </w:rPr>
        <w:t>5.1 Repository Layout</w:t>
      </w:r>
    </w:p>
    <w:p>
      <w:pPr>
        <w:spacing w:after="160" w:before="0" w:line="360" w:lineRule="auto"/>
        <w:ind w:firstLine="567"/>
        <w:jc w:val="both"/>
      </w:pPr>
      <w:r>
        <w:rPr>
          <w:rFonts w:ascii="Times New Roman" w:hAnsi="Times New Roman" w:eastAsia="Times New Roman"/>
          <w:b w:val="0"/>
          <w:i w:val="0"/>
          <w:sz w:val="24"/>
        </w:rPr>
        <w:t>Package pulmoscan under src/: data (io, labels, dataset, preprocess_lidc), classification (backbone, swin3d, model, losses, train), evaluation, inference, xai. Configs live under configs/model|data|train. Scripts include run_local.py and report generation helpers.</w:t>
      </w:r>
    </w:p>
    <w:p>
      <w:pPr>
        <w:spacing w:before="280" w:after="160"/>
        <w:jc w:val="left"/>
      </w:pPr>
      <w:r>
        <w:rPr>
          <w:rFonts w:ascii="Times New Roman" w:hAnsi="Times New Roman" w:eastAsia="Times New Roman"/>
          <w:b/>
          <w:i w:val="0"/>
          <w:sz w:val="28"/>
        </w:rPr>
        <w:t>5.2 Labeling Rule</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eastAsia="Times New Roman"/>
                <w:b/>
                <w:i w:val="0"/>
                <w:sz w:val="22"/>
              </w:rPr>
              <w:t>Condition (mean LIDC malignancy)</w:t>
            </w:r>
          </w:p>
        </w:tc>
        <w:tc>
          <w:tcPr>
            <w:tcW w:type="dxa" w:w="4703"/>
          </w:tcPr>
          <w:p>
            <w:pPr>
              <w:jc w:val="center"/>
            </w:pPr>
            <w:r/>
            <w:r>
              <w:rPr>
                <w:rFonts w:ascii="Times New Roman" w:hAnsi="Times New Roman" w:eastAsia="Times New Roman"/>
                <w:b/>
                <w:i w:val="0"/>
                <w:sz w:val="22"/>
              </w:rPr>
              <w:t>Label</w:t>
            </w:r>
          </w:p>
        </w:tc>
      </w:tr>
      <w:tr>
        <w:tc>
          <w:tcPr>
            <w:tcW w:type="dxa" w:w="4703"/>
          </w:tcPr>
          <w:p>
            <w:r/>
            <w:r>
              <w:rPr>
                <w:rFonts w:ascii="Times New Roman" w:hAnsi="Times New Roman" w:eastAsia="Times New Roman"/>
                <w:b w:val="0"/>
                <w:i w:val="0"/>
                <w:sz w:val="22"/>
              </w:rPr>
              <w:t>≥ 4.0</w:t>
            </w:r>
          </w:p>
        </w:tc>
        <w:tc>
          <w:tcPr>
            <w:tcW w:type="dxa" w:w="4703"/>
          </w:tcPr>
          <w:p>
            <w:r/>
            <w:r>
              <w:rPr>
                <w:rFonts w:ascii="Times New Roman" w:hAnsi="Times New Roman" w:eastAsia="Times New Roman"/>
                <w:b w:val="0"/>
                <w:i w:val="0"/>
                <w:sz w:val="22"/>
              </w:rPr>
              <w:t>Malignant (1)</w:t>
            </w:r>
          </w:p>
        </w:tc>
      </w:tr>
      <w:tr>
        <w:tc>
          <w:tcPr>
            <w:tcW w:type="dxa" w:w="4703"/>
          </w:tcPr>
          <w:p>
            <w:r/>
            <w:r>
              <w:rPr>
                <w:rFonts w:ascii="Times New Roman" w:hAnsi="Times New Roman" w:eastAsia="Times New Roman"/>
                <w:b w:val="0"/>
                <w:i w:val="0"/>
                <w:sz w:val="22"/>
              </w:rPr>
              <w:t>≤ 2.0</w:t>
            </w:r>
          </w:p>
        </w:tc>
        <w:tc>
          <w:tcPr>
            <w:tcW w:type="dxa" w:w="4703"/>
          </w:tcPr>
          <w:p>
            <w:r/>
            <w:r>
              <w:rPr>
                <w:rFonts w:ascii="Times New Roman" w:hAnsi="Times New Roman" w:eastAsia="Times New Roman"/>
                <w:b w:val="0"/>
                <w:i w:val="0"/>
                <w:sz w:val="22"/>
              </w:rPr>
              <w:t>Benign (0)</w:t>
            </w:r>
          </w:p>
        </w:tc>
      </w:tr>
      <w:tr>
        <w:tc>
          <w:tcPr>
            <w:tcW w:type="dxa" w:w="4703"/>
          </w:tcPr>
          <w:p>
            <w:r/>
            <w:r>
              <w:rPr>
                <w:rFonts w:ascii="Times New Roman" w:hAnsi="Times New Roman" w:eastAsia="Times New Roman"/>
                <w:b w:val="0"/>
                <w:i w:val="0"/>
                <w:sz w:val="22"/>
              </w:rPr>
              <w:t>Otherwise (e.g., ~3)</w:t>
            </w:r>
          </w:p>
        </w:tc>
        <w:tc>
          <w:tcPr>
            <w:tcW w:type="dxa" w:w="4703"/>
          </w:tcPr>
          <w:p>
            <w:r/>
            <w:r>
              <w:rPr>
                <w:rFonts w:ascii="Times New Roman" w:hAnsi="Times New Roman" w:eastAsia="Times New Roman"/>
                <w:b w:val="0"/>
                <w:i w:val="0"/>
                <w:sz w:val="22"/>
              </w:rPr>
              <w:t>Excluded (uncertain)</w:t>
            </w:r>
          </w:p>
        </w:tc>
      </w:tr>
    </w:tbl>
    <w:p/>
    <w:p>
      <w:pPr>
        <w:spacing w:after="160" w:before="0" w:line="360" w:lineRule="auto"/>
        <w:jc w:val="center"/>
      </w:pPr>
      <w:r>
        <w:rPr>
          <w:rFonts w:ascii="Times New Roman" w:hAnsi="Times New Roman" w:eastAsia="Times New Roman"/>
          <w:b w:val="0"/>
          <w:i/>
          <w:sz w:val="24"/>
        </w:rPr>
        <w:t>Table 3. Labeling Rule (LIDC Malignancy)</w:t>
      </w:r>
    </w:p>
    <w:p>
      <w:pPr>
        <w:spacing w:before="280" w:after="160"/>
        <w:jc w:val="left"/>
      </w:pPr>
      <w:r>
        <w:rPr>
          <w:rFonts w:ascii="Times New Roman" w:hAnsi="Times New Roman" w:eastAsia="Times New Roman"/>
          <w:b/>
          <w:i w:val="0"/>
          <w:sz w:val="28"/>
        </w:rPr>
        <w:t>5.3 Training Implementation Details</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eastAsia="Times New Roman"/>
                <w:b/>
                <w:i w:val="0"/>
                <w:sz w:val="22"/>
              </w:rPr>
              <w:t>Hyperparameter</w:t>
            </w:r>
          </w:p>
        </w:tc>
        <w:tc>
          <w:tcPr>
            <w:tcW w:type="dxa" w:w="4703"/>
          </w:tcPr>
          <w:p>
            <w:pPr>
              <w:jc w:val="center"/>
            </w:pPr>
            <w:r/>
            <w:r>
              <w:rPr>
                <w:rFonts w:ascii="Times New Roman" w:hAnsi="Times New Roman" w:eastAsia="Times New Roman"/>
                <w:b/>
                <w:i w:val="0"/>
                <w:sz w:val="22"/>
              </w:rPr>
              <w:t>Primary run (v3 / 48³)</w:t>
            </w:r>
          </w:p>
        </w:tc>
      </w:tr>
      <w:tr>
        <w:tc>
          <w:tcPr>
            <w:tcW w:type="dxa" w:w="4703"/>
          </w:tcPr>
          <w:p>
            <w:r/>
            <w:r>
              <w:rPr>
                <w:rFonts w:ascii="Times New Roman" w:hAnsi="Times New Roman" w:eastAsia="Times New Roman"/>
                <w:b w:val="0"/>
                <w:i w:val="0"/>
                <w:sz w:val="22"/>
              </w:rPr>
              <w:t>VOI size</w:t>
            </w:r>
          </w:p>
        </w:tc>
        <w:tc>
          <w:tcPr>
            <w:tcW w:type="dxa" w:w="4703"/>
          </w:tcPr>
          <w:p>
            <w:r/>
            <w:r>
              <w:rPr>
                <w:rFonts w:ascii="Times New Roman" w:hAnsi="Times New Roman" w:eastAsia="Times New Roman"/>
                <w:b w:val="0"/>
                <w:i w:val="0"/>
                <w:sz w:val="22"/>
              </w:rPr>
              <w:t>48 × 48 × 48</w:t>
            </w:r>
          </w:p>
        </w:tc>
      </w:tr>
      <w:tr>
        <w:tc>
          <w:tcPr>
            <w:tcW w:type="dxa" w:w="4703"/>
          </w:tcPr>
          <w:p>
            <w:r/>
            <w:r>
              <w:rPr>
                <w:rFonts w:ascii="Times New Roman" w:hAnsi="Times New Roman" w:eastAsia="Times New Roman"/>
                <w:b w:val="0"/>
                <w:i w:val="0"/>
                <w:sz w:val="22"/>
              </w:rPr>
              <w:t>Batch size</w:t>
            </w:r>
          </w:p>
        </w:tc>
        <w:tc>
          <w:tcPr>
            <w:tcW w:type="dxa" w:w="4703"/>
          </w:tcPr>
          <w:p>
            <w:r/>
            <w:r>
              <w:rPr>
                <w:rFonts w:ascii="Times New Roman" w:hAnsi="Times New Roman" w:eastAsia="Times New Roman"/>
                <w:b w:val="0"/>
                <w:i w:val="0"/>
                <w:sz w:val="22"/>
              </w:rPr>
              <w:t>2</w:t>
            </w:r>
          </w:p>
        </w:tc>
      </w:tr>
      <w:tr>
        <w:tc>
          <w:tcPr>
            <w:tcW w:type="dxa" w:w="4703"/>
          </w:tcPr>
          <w:p>
            <w:r/>
            <w:r>
              <w:rPr>
                <w:rFonts w:ascii="Times New Roman" w:hAnsi="Times New Roman" w:eastAsia="Times New Roman"/>
                <w:b w:val="0"/>
                <w:i w:val="0"/>
                <w:sz w:val="22"/>
              </w:rPr>
              <w:t>Optimizer</w:t>
            </w:r>
          </w:p>
        </w:tc>
        <w:tc>
          <w:tcPr>
            <w:tcW w:type="dxa" w:w="4703"/>
          </w:tcPr>
          <w:p>
            <w:r/>
            <w:r>
              <w:rPr>
                <w:rFonts w:ascii="Times New Roman" w:hAnsi="Times New Roman" w:eastAsia="Times New Roman"/>
                <w:b w:val="0"/>
                <w:i w:val="0"/>
                <w:sz w:val="22"/>
              </w:rPr>
              <w:t>AdamW (lr 1e-4, weight decay 1e-4)</w:t>
            </w:r>
          </w:p>
        </w:tc>
      </w:tr>
      <w:tr>
        <w:tc>
          <w:tcPr>
            <w:tcW w:type="dxa" w:w="4703"/>
          </w:tcPr>
          <w:p>
            <w:r/>
            <w:r>
              <w:rPr>
                <w:rFonts w:ascii="Times New Roman" w:hAnsi="Times New Roman" w:eastAsia="Times New Roman"/>
                <w:b w:val="0"/>
                <w:i w:val="0"/>
                <w:sz w:val="22"/>
              </w:rPr>
              <w:t>Loss</w:t>
            </w:r>
          </w:p>
        </w:tc>
        <w:tc>
          <w:tcPr>
            <w:tcW w:type="dxa" w:w="4703"/>
          </w:tcPr>
          <w:p>
            <w:r/>
            <w:r>
              <w:rPr>
                <w:rFonts w:ascii="Times New Roman" w:hAnsi="Times New Roman" w:eastAsia="Times New Roman"/>
                <w:b w:val="0"/>
                <w:i w:val="0"/>
                <w:sz w:val="22"/>
              </w:rPr>
              <w:t>Weighted BCE (pos_weight from train counts)</w:t>
            </w:r>
          </w:p>
        </w:tc>
      </w:tr>
      <w:tr>
        <w:tc>
          <w:tcPr>
            <w:tcW w:type="dxa" w:w="4703"/>
          </w:tcPr>
          <w:p>
            <w:r/>
            <w:r>
              <w:rPr>
                <w:rFonts w:ascii="Times New Roman" w:hAnsi="Times New Roman" w:eastAsia="Times New Roman"/>
                <w:b w:val="0"/>
                <w:i w:val="0"/>
                <w:sz w:val="22"/>
              </w:rPr>
              <w:t>AMP</w:t>
            </w:r>
          </w:p>
        </w:tc>
        <w:tc>
          <w:tcPr>
            <w:tcW w:type="dxa" w:w="4703"/>
          </w:tcPr>
          <w:p>
            <w:r/>
            <w:r>
              <w:rPr>
                <w:rFonts w:ascii="Times New Roman" w:hAnsi="Times New Roman" w:eastAsia="Times New Roman"/>
                <w:b w:val="0"/>
                <w:i w:val="0"/>
                <w:sz w:val="22"/>
              </w:rPr>
              <w:t>Enabled (torch.cuda.amp on torch 2.1)</w:t>
            </w:r>
          </w:p>
        </w:tc>
      </w:tr>
      <w:tr>
        <w:tc>
          <w:tcPr>
            <w:tcW w:type="dxa" w:w="4703"/>
          </w:tcPr>
          <w:p>
            <w:r/>
            <w:r>
              <w:rPr>
                <w:rFonts w:ascii="Times New Roman" w:hAnsi="Times New Roman" w:eastAsia="Times New Roman"/>
                <w:b w:val="0"/>
                <w:i w:val="0"/>
                <w:sz w:val="22"/>
              </w:rPr>
              <w:t>Epochs / early stop</w:t>
            </w:r>
          </w:p>
        </w:tc>
        <w:tc>
          <w:tcPr>
            <w:tcW w:type="dxa" w:w="4703"/>
          </w:tcPr>
          <w:p>
            <w:r/>
            <w:r>
              <w:rPr>
                <w:rFonts w:ascii="Times New Roman" w:hAnsi="Times New Roman" w:eastAsia="Times New Roman"/>
                <w:b w:val="0"/>
                <w:i w:val="0"/>
                <w:sz w:val="22"/>
              </w:rPr>
              <w:t>Max 30 / patience 8 on val AUC</w:t>
            </w:r>
          </w:p>
        </w:tc>
      </w:tr>
      <w:tr>
        <w:tc>
          <w:tcPr>
            <w:tcW w:type="dxa" w:w="4703"/>
          </w:tcPr>
          <w:p>
            <w:r/>
            <w:r>
              <w:rPr>
                <w:rFonts w:ascii="Times New Roman" w:hAnsi="Times New Roman" w:eastAsia="Times New Roman"/>
                <w:b w:val="0"/>
                <w:i w:val="0"/>
                <w:sz w:val="22"/>
              </w:rPr>
              <w:t>Params</w:t>
            </w:r>
          </w:p>
        </w:tc>
        <w:tc>
          <w:tcPr>
            <w:tcW w:type="dxa" w:w="4703"/>
          </w:tcPr>
          <w:p>
            <w:r/>
            <w:r>
              <w:rPr>
                <w:rFonts w:ascii="Times New Roman" w:hAnsi="Times New Roman" w:eastAsia="Times New Roman"/>
                <w:b w:val="0"/>
                <w:i w:val="0"/>
                <w:sz w:val="22"/>
              </w:rPr>
              <w:t>~12.16 M</w:t>
            </w:r>
          </w:p>
        </w:tc>
      </w:tr>
    </w:tbl>
    <w:p/>
    <w:p>
      <w:pPr>
        <w:spacing w:after="160" w:before="0" w:line="360" w:lineRule="auto"/>
        <w:jc w:val="center"/>
      </w:pPr>
      <w:r>
        <w:rPr>
          <w:rFonts w:ascii="Times New Roman" w:hAnsi="Times New Roman" w:eastAsia="Times New Roman"/>
          <w:b w:val="0"/>
          <w:i/>
          <w:sz w:val="24"/>
        </w:rPr>
        <w:t>Table 4. Training Configuration</w:t>
      </w:r>
    </w:p>
    <w:p>
      <w:pPr>
        <w:spacing w:before="280" w:after="160"/>
        <w:jc w:val="left"/>
      </w:pPr>
      <w:r>
        <w:rPr>
          <w:rFonts w:ascii="Times New Roman" w:hAnsi="Times New Roman" w:eastAsia="Times New Roman"/>
          <w:b/>
          <w:i w:val="0"/>
          <w:sz w:val="28"/>
        </w:rPr>
        <w:t>5.4 Engineering Challenges &amp; Fixes</w:t>
      </w:r>
    </w:p>
    <w:p>
      <w:pPr>
        <w:spacing w:after="80" w:before="0" w:line="360" w:lineRule="auto"/>
        <w:jc w:val="left"/>
      </w:pPr>
      <w:r>
        <w:rPr>
          <w:rFonts w:ascii="Times New Roman" w:hAnsi="Times New Roman" w:eastAsia="Times New Roman"/>
          <w:b w:val="0"/>
          <w:i w:val="0"/>
          <w:sz w:val="24"/>
        </w:rPr>
        <w:t>• WSL venv missing ensurepip — install python3-venv.</w:t>
      </w:r>
    </w:p>
    <w:p>
      <w:pPr>
        <w:spacing w:after="80" w:before="0" w:line="360" w:lineRule="auto"/>
        <w:jc w:val="left"/>
      </w:pPr>
      <w:r>
        <w:rPr>
          <w:rFonts w:ascii="Times New Roman" w:hAnsi="Times New Roman" w:eastAsia="Times New Roman"/>
          <w:b w:val="0"/>
          <w:i w:val="0"/>
          <w:sz w:val="24"/>
        </w:rPr>
        <w:t>• Kubeflow base Python 3.8 incompatible — conda env pulmo with Python 3.10.</w:t>
      </w:r>
    </w:p>
    <w:p>
      <w:pPr>
        <w:spacing w:after="80" w:before="0" w:line="360" w:lineRule="auto"/>
        <w:jc w:val="left"/>
      </w:pPr>
      <w:r>
        <w:rPr>
          <w:rFonts w:ascii="Times New Roman" w:hAnsi="Times New Roman" w:eastAsia="Times New Roman"/>
          <w:b w:val="0"/>
          <w:i w:val="0"/>
          <w:sz w:val="24"/>
        </w:rPr>
        <w:t>• Default pip torch (CUDA 13) incompatible with driver 11.4 — install torch 2.1.2+cu118.</w:t>
      </w:r>
    </w:p>
    <w:p>
      <w:pPr>
        <w:spacing w:after="80" w:before="0" w:line="360" w:lineRule="auto"/>
        <w:jc w:val="left"/>
      </w:pPr>
      <w:r>
        <w:rPr>
          <w:rFonts w:ascii="Times New Roman" w:hAnsi="Times New Roman" w:eastAsia="Times New Roman"/>
          <w:b w:val="0"/>
          <w:i w:val="0"/>
          <w:sz w:val="24"/>
        </w:rPr>
        <w:t>• torch.amp.GradScaler API mismatch on 2.1 — use torch.cuda.amp fallbacks.</w:t>
      </w:r>
    </w:p>
    <w:p>
      <w:pPr>
        <w:spacing w:after="80" w:before="0" w:line="360" w:lineRule="auto"/>
        <w:jc w:val="left"/>
      </w:pPr>
      <w:r>
        <w:rPr>
          <w:rFonts w:ascii="Times New Roman" w:hAnsi="Times New Roman" w:eastAsia="Times New Roman"/>
          <w:b w:val="0"/>
          <w:i w:val="0"/>
          <w:sz w:val="24"/>
        </w:rPr>
        <w:t>• Wrong VOI centroids in v2 — remap LIDC pixels via original DICOM geometry; rebuild processed_v3.</w:t>
      </w:r>
    </w:p>
    <w:p>
      <w:pPr>
        <w:spacing w:after="80" w:before="0" w:line="360" w:lineRule="auto"/>
        <w:jc w:val="left"/>
      </w:pPr>
      <w:r>
        <w:rPr>
          <w:rFonts w:ascii="Times New Roman" w:hAnsi="Times New Roman" w:eastAsia="Times New Roman"/>
          <w:b w:val="0"/>
          <w:i w:val="0"/>
          <w:sz w:val="24"/>
        </w:rPr>
        <w:t>• Jupyter download root is /workspace — copy artifacts there for FileLink/browser download.</w:t>
      </w:r>
    </w:p>
    <w:p>
      <w:r>
        <w:br w:type="page"/>
      </w:r>
    </w:p>
    <w:p>
      <w:pPr>
        <w:spacing w:before="280" w:after="160"/>
        <w:jc w:val="left"/>
      </w:pPr>
      <w:r>
        <w:rPr>
          <w:rFonts w:ascii="Times New Roman" w:hAnsi="Times New Roman" w:eastAsia="Times New Roman"/>
          <w:b/>
          <w:i w:val="0"/>
          <w:sz w:val="32"/>
        </w:rPr>
        <w:t>CHAPTER 6 — RESULTS &amp; DISCUSSION</w:t>
      </w:r>
    </w:p>
    <w:p>
      <w:pPr>
        <w:spacing w:before="280" w:after="160"/>
        <w:jc w:val="left"/>
      </w:pPr>
      <w:r>
        <w:rPr>
          <w:rFonts w:ascii="Times New Roman" w:hAnsi="Times New Roman" w:eastAsia="Times New Roman"/>
          <w:b/>
          <w:i w:val="0"/>
          <w:sz w:val="28"/>
        </w:rPr>
        <w:t>6.1 Dataset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Times New Roman"/>
                <w:b/>
                <w:i w:val="0"/>
                <w:sz w:val="22"/>
              </w:rPr>
              <w:t>Split</w:t>
            </w:r>
          </w:p>
        </w:tc>
        <w:tc>
          <w:tcPr>
            <w:tcW w:type="dxa" w:w="2351"/>
          </w:tcPr>
          <w:p>
            <w:pPr>
              <w:jc w:val="center"/>
            </w:pPr>
            <w:r/>
            <w:r>
              <w:rPr>
                <w:rFonts w:ascii="Times New Roman" w:hAnsi="Times New Roman" w:eastAsia="Times New Roman"/>
                <w:b/>
                <w:i w:val="0"/>
                <w:sz w:val="22"/>
              </w:rPr>
              <w:t>Nodules (n)</w:t>
            </w:r>
          </w:p>
        </w:tc>
        <w:tc>
          <w:tcPr>
            <w:tcW w:type="dxa" w:w="2351"/>
          </w:tcPr>
          <w:p>
            <w:pPr>
              <w:jc w:val="center"/>
            </w:pPr>
            <w:r/>
            <w:r>
              <w:rPr>
                <w:rFonts w:ascii="Times New Roman" w:hAnsi="Times New Roman" w:eastAsia="Times New Roman"/>
                <w:b/>
                <w:i w:val="0"/>
                <w:sz w:val="22"/>
              </w:rPr>
              <w:t>Malignant</w:t>
            </w:r>
          </w:p>
        </w:tc>
        <w:tc>
          <w:tcPr>
            <w:tcW w:type="dxa" w:w="2351"/>
          </w:tcPr>
          <w:p>
            <w:pPr>
              <w:jc w:val="center"/>
            </w:pPr>
            <w:r/>
            <w:r>
              <w:rPr>
                <w:rFonts w:ascii="Times New Roman" w:hAnsi="Times New Roman" w:eastAsia="Times New Roman"/>
                <w:b/>
                <w:i w:val="0"/>
                <w:sz w:val="22"/>
              </w:rPr>
              <w:t>Benign</w:t>
            </w:r>
          </w:p>
        </w:tc>
      </w:tr>
      <w:tr>
        <w:tc>
          <w:tcPr>
            <w:tcW w:type="dxa" w:w="2351"/>
          </w:tcPr>
          <w:p>
            <w:r/>
            <w:r>
              <w:rPr>
                <w:rFonts w:ascii="Times New Roman" w:hAnsi="Times New Roman" w:eastAsia="Times New Roman"/>
                <w:b w:val="0"/>
                <w:i w:val="0"/>
                <w:sz w:val="22"/>
              </w:rPr>
              <w:t>Train</w:t>
            </w:r>
          </w:p>
        </w:tc>
        <w:tc>
          <w:tcPr>
            <w:tcW w:type="dxa" w:w="2351"/>
          </w:tcPr>
          <w:p>
            <w:r/>
            <w:r>
              <w:rPr>
                <w:rFonts w:ascii="Times New Roman" w:hAnsi="Times New Roman" w:eastAsia="Times New Roman"/>
                <w:b w:val="0"/>
                <w:i w:val="0"/>
                <w:sz w:val="22"/>
              </w:rPr>
              <w:t>132</w:t>
            </w:r>
          </w:p>
        </w:tc>
        <w:tc>
          <w:tcPr>
            <w:tcW w:type="dxa" w:w="2351"/>
          </w:tcPr>
          <w:p>
            <w:r/>
            <w:r>
              <w:rPr>
                <w:rFonts w:ascii="Times New Roman" w:hAnsi="Times New Roman" w:eastAsia="Times New Roman"/>
                <w:b w:val="0"/>
                <w:i w:val="0"/>
                <w:sz w:val="22"/>
              </w:rPr>
              <w:t>45</w:t>
            </w:r>
          </w:p>
        </w:tc>
        <w:tc>
          <w:tcPr>
            <w:tcW w:type="dxa" w:w="2351"/>
          </w:tcPr>
          <w:p>
            <w:r/>
            <w:r>
              <w:rPr>
                <w:rFonts w:ascii="Times New Roman" w:hAnsi="Times New Roman" w:eastAsia="Times New Roman"/>
                <w:b w:val="0"/>
                <w:i w:val="0"/>
                <w:sz w:val="22"/>
              </w:rPr>
              <w:t>87</w:t>
            </w:r>
          </w:p>
        </w:tc>
      </w:tr>
      <w:tr>
        <w:tc>
          <w:tcPr>
            <w:tcW w:type="dxa" w:w="2351"/>
          </w:tcPr>
          <w:p>
            <w:r/>
            <w:r>
              <w:rPr>
                <w:rFonts w:ascii="Times New Roman" w:hAnsi="Times New Roman" w:eastAsia="Times New Roman"/>
                <w:b w:val="0"/>
                <w:i w:val="0"/>
                <w:sz w:val="22"/>
              </w:rPr>
              <w:t>Validation</w:t>
            </w:r>
          </w:p>
        </w:tc>
        <w:tc>
          <w:tcPr>
            <w:tcW w:type="dxa" w:w="2351"/>
          </w:tcPr>
          <w:p>
            <w:r/>
            <w:r>
              <w:rPr>
                <w:rFonts w:ascii="Times New Roman" w:hAnsi="Times New Roman" w:eastAsia="Times New Roman"/>
                <w:b w:val="0"/>
                <w:i w:val="0"/>
                <w:sz w:val="22"/>
              </w:rPr>
              <w:t>35</w:t>
            </w:r>
          </w:p>
        </w:tc>
        <w:tc>
          <w:tcPr>
            <w:tcW w:type="dxa" w:w="2351"/>
          </w:tcPr>
          <w:p>
            <w:r/>
            <w:r>
              <w:rPr>
                <w:rFonts w:ascii="Times New Roman" w:hAnsi="Times New Roman" w:eastAsia="Times New Roman"/>
                <w:b w:val="0"/>
                <w:i w:val="0"/>
                <w:sz w:val="22"/>
              </w:rPr>
              <w:t>12</w:t>
            </w:r>
          </w:p>
        </w:tc>
        <w:tc>
          <w:tcPr>
            <w:tcW w:type="dxa" w:w="2351"/>
          </w:tcPr>
          <w:p>
            <w:r/>
            <w:r>
              <w:rPr>
                <w:rFonts w:ascii="Times New Roman" w:hAnsi="Times New Roman" w:eastAsia="Times New Roman"/>
                <w:b w:val="0"/>
                <w:i w:val="0"/>
                <w:sz w:val="22"/>
              </w:rPr>
              <w:t>23</w:t>
            </w:r>
          </w:p>
        </w:tc>
      </w:tr>
      <w:tr>
        <w:tc>
          <w:tcPr>
            <w:tcW w:type="dxa" w:w="2351"/>
          </w:tcPr>
          <w:p>
            <w:r/>
            <w:r>
              <w:rPr>
                <w:rFonts w:ascii="Times New Roman" w:hAnsi="Times New Roman" w:eastAsia="Times New Roman"/>
                <w:b w:val="0"/>
                <w:i w:val="0"/>
                <w:sz w:val="22"/>
              </w:rPr>
              <w:t>Test</w:t>
            </w:r>
          </w:p>
        </w:tc>
        <w:tc>
          <w:tcPr>
            <w:tcW w:type="dxa" w:w="2351"/>
          </w:tcPr>
          <w:p>
            <w:r/>
            <w:r>
              <w:rPr>
                <w:rFonts w:ascii="Times New Roman" w:hAnsi="Times New Roman" w:eastAsia="Times New Roman"/>
                <w:b w:val="0"/>
                <w:i w:val="0"/>
                <w:sz w:val="22"/>
              </w:rPr>
              <w:t>29</w:t>
            </w:r>
          </w:p>
        </w:tc>
        <w:tc>
          <w:tcPr>
            <w:tcW w:type="dxa" w:w="2351"/>
          </w:tcPr>
          <w:p>
            <w:r/>
            <w:r>
              <w:rPr>
                <w:rFonts w:ascii="Times New Roman" w:hAnsi="Times New Roman" w:eastAsia="Times New Roman"/>
                <w:b w:val="0"/>
                <w:i w:val="0"/>
                <w:sz w:val="22"/>
              </w:rPr>
              <w:t>20</w:t>
            </w:r>
          </w:p>
        </w:tc>
        <w:tc>
          <w:tcPr>
            <w:tcW w:type="dxa" w:w="2351"/>
          </w:tcPr>
          <w:p>
            <w:r/>
            <w:r>
              <w:rPr>
                <w:rFonts w:ascii="Times New Roman" w:hAnsi="Times New Roman" w:eastAsia="Times New Roman"/>
                <w:b w:val="0"/>
                <w:i w:val="0"/>
                <w:sz w:val="22"/>
              </w:rPr>
              <w:t>9</w:t>
            </w:r>
          </w:p>
        </w:tc>
      </w:tr>
      <w:tr>
        <w:tc>
          <w:tcPr>
            <w:tcW w:type="dxa" w:w="2351"/>
          </w:tcPr>
          <w:p>
            <w:r/>
            <w:r>
              <w:rPr>
                <w:rFonts w:ascii="Times New Roman" w:hAnsi="Times New Roman" w:eastAsia="Times New Roman"/>
                <w:b w:val="0"/>
                <w:i w:val="0"/>
                <w:sz w:val="22"/>
              </w:rPr>
              <w:t>Total labeled</w:t>
            </w:r>
          </w:p>
        </w:tc>
        <w:tc>
          <w:tcPr>
            <w:tcW w:type="dxa" w:w="2351"/>
          </w:tcPr>
          <w:p>
            <w:r/>
            <w:r>
              <w:rPr>
                <w:rFonts w:ascii="Times New Roman" w:hAnsi="Times New Roman" w:eastAsia="Times New Roman"/>
                <w:b w:val="0"/>
                <w:i w:val="0"/>
                <w:sz w:val="22"/>
              </w:rPr>
              <w:t>196</w:t>
            </w:r>
          </w:p>
        </w:tc>
        <w:tc>
          <w:tcPr>
            <w:tcW w:type="dxa" w:w="2351"/>
          </w:tcPr>
          <w:p>
            <w:r/>
            <w:r>
              <w:rPr>
                <w:rFonts w:ascii="Times New Roman" w:hAnsi="Times New Roman" w:eastAsia="Times New Roman"/>
                <w:b w:val="0"/>
                <w:i w:val="0"/>
                <w:sz w:val="22"/>
              </w:rPr>
              <w:t>—</w:t>
            </w:r>
          </w:p>
        </w:tc>
        <w:tc>
          <w:tcPr>
            <w:tcW w:type="dxa" w:w="2351"/>
          </w:tcPr>
          <w:p>
            <w:r/>
            <w:r>
              <w:rPr>
                <w:rFonts w:ascii="Times New Roman" w:hAnsi="Times New Roman" w:eastAsia="Times New Roman"/>
                <w:b w:val="0"/>
                <w:i w:val="0"/>
                <w:sz w:val="22"/>
              </w:rPr>
              <w:t>—</w:t>
            </w:r>
          </w:p>
        </w:tc>
      </w:tr>
    </w:tbl>
    <w:p/>
    <w:p>
      <w:pPr>
        <w:spacing w:after="160" w:before="0" w:line="360" w:lineRule="auto"/>
        <w:jc w:val="center"/>
      </w:pPr>
      <w:r>
        <w:rPr>
          <w:rFonts w:ascii="Times New Roman" w:hAnsi="Times New Roman" w:eastAsia="Times New Roman"/>
          <w:b w:val="0"/>
          <w:i/>
          <w:sz w:val="24"/>
        </w:rPr>
        <w:t>Table 2. Dataset Split Summary (processed_v3 verify/train summary)</w:t>
      </w:r>
    </w:p>
    <w:p>
      <w:pPr>
        <w:spacing w:after="160" w:before="0" w:line="360" w:lineRule="auto"/>
        <w:ind w:firstLine="567"/>
        <w:jc w:val="both"/>
      </w:pPr>
      <w:r>
        <w:rPr>
          <w:rFonts w:ascii="Times New Roman" w:hAnsi="Times New Roman" w:eastAsia="Times New Roman"/>
          <w:b w:val="0"/>
          <w:i w:val="0"/>
          <w:sz w:val="24"/>
        </w:rPr>
        <w:t>Series selected for preprocessing: 153 (from ~303 TCIA completed items / multi-series patients). Uncertain malignancy scores were excluded by design.</w:t>
      </w:r>
    </w:p>
    <w:p>
      <w:pPr>
        <w:spacing w:before="280" w:after="160"/>
        <w:jc w:val="left"/>
      </w:pPr>
      <w:r>
        <w:rPr>
          <w:rFonts w:ascii="Times New Roman" w:hAnsi="Times New Roman" w:eastAsia="Times New Roman"/>
          <w:b/>
          <w:i w:val="0"/>
          <w:sz w:val="28"/>
        </w:rPr>
        <w:t>6.2 Training Trajectory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Times New Roman"/>
                <w:b/>
                <w:i w:val="0"/>
                <w:sz w:val="22"/>
              </w:rPr>
              <w:t>Epoch</w:t>
            </w:r>
          </w:p>
        </w:tc>
        <w:tc>
          <w:tcPr>
            <w:tcW w:type="dxa" w:w="2351"/>
          </w:tcPr>
          <w:p>
            <w:pPr>
              <w:jc w:val="center"/>
            </w:pPr>
            <w:r/>
            <w:r>
              <w:rPr>
                <w:rFonts w:ascii="Times New Roman" w:hAnsi="Times New Roman" w:eastAsia="Times New Roman"/>
                <w:b/>
                <w:i w:val="0"/>
                <w:sz w:val="22"/>
              </w:rPr>
              <w:t>Train loss</w:t>
            </w:r>
          </w:p>
        </w:tc>
        <w:tc>
          <w:tcPr>
            <w:tcW w:type="dxa" w:w="2351"/>
          </w:tcPr>
          <w:p>
            <w:pPr>
              <w:jc w:val="center"/>
            </w:pPr>
            <w:r/>
            <w:r>
              <w:rPr>
                <w:rFonts w:ascii="Times New Roman" w:hAnsi="Times New Roman" w:eastAsia="Times New Roman"/>
                <w:b/>
                <w:i w:val="0"/>
                <w:sz w:val="22"/>
              </w:rPr>
              <w:t>Val AUC</w:t>
            </w:r>
          </w:p>
        </w:tc>
        <w:tc>
          <w:tcPr>
            <w:tcW w:type="dxa" w:w="2351"/>
          </w:tcPr>
          <w:p>
            <w:pPr>
              <w:jc w:val="center"/>
            </w:pPr>
            <w:r/>
            <w:r>
              <w:rPr>
                <w:rFonts w:ascii="Times New Roman" w:hAnsi="Times New Roman" w:eastAsia="Times New Roman"/>
                <w:b/>
                <w:i w:val="0"/>
                <w:sz w:val="22"/>
              </w:rPr>
              <w:t>Val Acc</w:t>
            </w:r>
          </w:p>
        </w:tc>
      </w:tr>
      <w:tr>
        <w:tc>
          <w:tcPr>
            <w:tcW w:type="dxa" w:w="2351"/>
          </w:tcPr>
          <w:p>
            <w:r/>
            <w:r>
              <w:rPr>
                <w:rFonts w:ascii="Times New Roman" w:hAnsi="Times New Roman" w:eastAsia="Times New Roman"/>
                <w:b w:val="0"/>
                <w:i w:val="0"/>
                <w:sz w:val="22"/>
              </w:rPr>
              <w:t>1</w:t>
            </w:r>
          </w:p>
        </w:tc>
        <w:tc>
          <w:tcPr>
            <w:tcW w:type="dxa" w:w="2351"/>
          </w:tcPr>
          <w:p>
            <w:r/>
            <w:r>
              <w:rPr>
                <w:rFonts w:ascii="Times New Roman" w:hAnsi="Times New Roman" w:eastAsia="Times New Roman"/>
                <w:b w:val="0"/>
                <w:i w:val="0"/>
                <w:sz w:val="22"/>
              </w:rPr>
              <w:t>0.997</w:t>
            </w:r>
          </w:p>
        </w:tc>
        <w:tc>
          <w:tcPr>
            <w:tcW w:type="dxa" w:w="2351"/>
          </w:tcPr>
          <w:p>
            <w:r/>
            <w:r>
              <w:rPr>
                <w:rFonts w:ascii="Times New Roman" w:hAnsi="Times New Roman" w:eastAsia="Times New Roman"/>
                <w:b w:val="0"/>
                <w:i w:val="0"/>
                <w:sz w:val="22"/>
              </w:rPr>
              <w:t>0.574</w:t>
            </w:r>
          </w:p>
        </w:tc>
        <w:tc>
          <w:tcPr>
            <w:tcW w:type="dxa" w:w="2351"/>
          </w:tcPr>
          <w:p>
            <w:r/>
            <w:r>
              <w:rPr>
                <w:rFonts w:ascii="Times New Roman" w:hAnsi="Times New Roman" w:eastAsia="Times New Roman"/>
                <w:b w:val="0"/>
                <w:i w:val="0"/>
                <w:sz w:val="22"/>
              </w:rPr>
              <w:t>0.657</w:t>
            </w:r>
          </w:p>
        </w:tc>
      </w:tr>
      <w:tr>
        <w:tc>
          <w:tcPr>
            <w:tcW w:type="dxa" w:w="2351"/>
          </w:tcPr>
          <w:p>
            <w:r/>
            <w:r>
              <w:rPr>
                <w:rFonts w:ascii="Times New Roman" w:hAnsi="Times New Roman" w:eastAsia="Times New Roman"/>
                <w:b w:val="0"/>
                <w:i w:val="0"/>
                <w:sz w:val="22"/>
              </w:rPr>
              <w:t>2</w:t>
            </w:r>
          </w:p>
        </w:tc>
        <w:tc>
          <w:tcPr>
            <w:tcW w:type="dxa" w:w="2351"/>
          </w:tcPr>
          <w:p>
            <w:r/>
            <w:r>
              <w:rPr>
                <w:rFonts w:ascii="Times New Roman" w:hAnsi="Times New Roman" w:eastAsia="Times New Roman"/>
                <w:b w:val="0"/>
                <w:i w:val="0"/>
                <w:sz w:val="22"/>
              </w:rPr>
              <w:t>0.847</w:t>
            </w:r>
          </w:p>
        </w:tc>
        <w:tc>
          <w:tcPr>
            <w:tcW w:type="dxa" w:w="2351"/>
          </w:tcPr>
          <w:p>
            <w:r/>
            <w:r>
              <w:rPr>
                <w:rFonts w:ascii="Times New Roman" w:hAnsi="Times New Roman" w:eastAsia="Times New Roman"/>
                <w:b w:val="0"/>
                <w:i w:val="0"/>
                <w:sz w:val="22"/>
              </w:rPr>
              <w:t>0.743</w:t>
            </w:r>
          </w:p>
        </w:tc>
        <w:tc>
          <w:tcPr>
            <w:tcW w:type="dxa" w:w="2351"/>
          </w:tcPr>
          <w:p>
            <w:r/>
            <w:r>
              <w:rPr>
                <w:rFonts w:ascii="Times New Roman" w:hAnsi="Times New Roman" w:eastAsia="Times New Roman"/>
                <w:b w:val="0"/>
                <w:i w:val="0"/>
                <w:sz w:val="22"/>
              </w:rPr>
              <w:t>0.771</w:t>
            </w:r>
          </w:p>
        </w:tc>
      </w:tr>
      <w:tr>
        <w:tc>
          <w:tcPr>
            <w:tcW w:type="dxa" w:w="2351"/>
          </w:tcPr>
          <w:p>
            <w:r/>
            <w:r>
              <w:rPr>
                <w:rFonts w:ascii="Times New Roman" w:hAnsi="Times New Roman" w:eastAsia="Times New Roman"/>
                <w:b w:val="0"/>
                <w:i w:val="0"/>
                <w:sz w:val="22"/>
              </w:rPr>
              <w:t>4</w:t>
            </w:r>
          </w:p>
        </w:tc>
        <w:tc>
          <w:tcPr>
            <w:tcW w:type="dxa" w:w="2351"/>
          </w:tcPr>
          <w:p>
            <w:r/>
            <w:r>
              <w:rPr>
                <w:rFonts w:ascii="Times New Roman" w:hAnsi="Times New Roman" w:eastAsia="Times New Roman"/>
                <w:b w:val="0"/>
                <w:i w:val="0"/>
                <w:sz w:val="22"/>
              </w:rPr>
              <w:t>0.868</w:t>
            </w:r>
          </w:p>
        </w:tc>
        <w:tc>
          <w:tcPr>
            <w:tcW w:type="dxa" w:w="2351"/>
          </w:tcPr>
          <w:p>
            <w:r/>
            <w:r>
              <w:rPr>
                <w:rFonts w:ascii="Times New Roman" w:hAnsi="Times New Roman" w:eastAsia="Times New Roman"/>
                <w:b w:val="0"/>
                <w:i w:val="0"/>
                <w:sz w:val="22"/>
              </w:rPr>
              <w:t>0.835</w:t>
            </w:r>
          </w:p>
        </w:tc>
        <w:tc>
          <w:tcPr>
            <w:tcW w:type="dxa" w:w="2351"/>
          </w:tcPr>
          <w:p>
            <w:r/>
            <w:r>
              <w:rPr>
                <w:rFonts w:ascii="Times New Roman" w:hAnsi="Times New Roman" w:eastAsia="Times New Roman"/>
                <w:b w:val="0"/>
                <w:i w:val="0"/>
                <w:sz w:val="22"/>
              </w:rPr>
              <w:t>0.800</w:t>
            </w:r>
          </w:p>
        </w:tc>
      </w:tr>
      <w:tr>
        <w:tc>
          <w:tcPr>
            <w:tcW w:type="dxa" w:w="2351"/>
          </w:tcPr>
          <w:p>
            <w:r/>
            <w:r>
              <w:rPr>
                <w:rFonts w:ascii="Times New Roman" w:hAnsi="Times New Roman" w:eastAsia="Times New Roman"/>
                <w:b w:val="0"/>
                <w:i w:val="0"/>
                <w:sz w:val="22"/>
              </w:rPr>
              <w:t>6</w:t>
            </w:r>
          </w:p>
        </w:tc>
        <w:tc>
          <w:tcPr>
            <w:tcW w:type="dxa" w:w="2351"/>
          </w:tcPr>
          <w:p>
            <w:r/>
            <w:r>
              <w:rPr>
                <w:rFonts w:ascii="Times New Roman" w:hAnsi="Times New Roman" w:eastAsia="Times New Roman"/>
                <w:b w:val="0"/>
                <w:i w:val="0"/>
                <w:sz w:val="22"/>
              </w:rPr>
              <w:t>0.787</w:t>
            </w:r>
          </w:p>
        </w:tc>
        <w:tc>
          <w:tcPr>
            <w:tcW w:type="dxa" w:w="2351"/>
          </w:tcPr>
          <w:p>
            <w:r/>
            <w:r>
              <w:rPr>
                <w:rFonts w:ascii="Times New Roman" w:hAnsi="Times New Roman" w:eastAsia="Times New Roman"/>
                <w:b w:val="0"/>
                <w:i w:val="0"/>
                <w:sz w:val="22"/>
              </w:rPr>
              <w:t>0.853</w:t>
            </w:r>
          </w:p>
        </w:tc>
        <w:tc>
          <w:tcPr>
            <w:tcW w:type="dxa" w:w="2351"/>
          </w:tcPr>
          <w:p>
            <w:r/>
            <w:r>
              <w:rPr>
                <w:rFonts w:ascii="Times New Roman" w:hAnsi="Times New Roman" w:eastAsia="Times New Roman"/>
                <w:b w:val="0"/>
                <w:i w:val="0"/>
                <w:sz w:val="22"/>
              </w:rPr>
              <w:t>0.800</w:t>
            </w:r>
          </w:p>
        </w:tc>
      </w:tr>
      <w:tr>
        <w:tc>
          <w:tcPr>
            <w:tcW w:type="dxa" w:w="2351"/>
          </w:tcPr>
          <w:p>
            <w:r/>
            <w:r>
              <w:rPr>
                <w:rFonts w:ascii="Times New Roman" w:hAnsi="Times New Roman" w:eastAsia="Times New Roman"/>
                <w:b w:val="0"/>
                <w:i w:val="0"/>
                <w:sz w:val="22"/>
              </w:rPr>
              <w:t>9</w:t>
            </w:r>
          </w:p>
        </w:tc>
        <w:tc>
          <w:tcPr>
            <w:tcW w:type="dxa" w:w="2351"/>
          </w:tcPr>
          <w:p>
            <w:r/>
            <w:r>
              <w:rPr>
                <w:rFonts w:ascii="Times New Roman" w:hAnsi="Times New Roman" w:eastAsia="Times New Roman"/>
                <w:b w:val="0"/>
                <w:i w:val="0"/>
                <w:sz w:val="22"/>
              </w:rPr>
              <w:t>0.654</w:t>
            </w:r>
          </w:p>
        </w:tc>
        <w:tc>
          <w:tcPr>
            <w:tcW w:type="dxa" w:w="2351"/>
          </w:tcPr>
          <w:p>
            <w:r/>
            <w:r>
              <w:rPr>
                <w:rFonts w:ascii="Times New Roman" w:hAnsi="Times New Roman" w:eastAsia="Times New Roman"/>
                <w:b w:val="0"/>
                <w:i w:val="0"/>
                <w:sz w:val="22"/>
              </w:rPr>
              <w:t>0.920</w:t>
            </w:r>
          </w:p>
        </w:tc>
        <w:tc>
          <w:tcPr>
            <w:tcW w:type="dxa" w:w="2351"/>
          </w:tcPr>
          <w:p>
            <w:r/>
            <w:r>
              <w:rPr>
                <w:rFonts w:ascii="Times New Roman" w:hAnsi="Times New Roman" w:eastAsia="Times New Roman"/>
                <w:b w:val="0"/>
                <w:i w:val="0"/>
                <w:sz w:val="22"/>
              </w:rPr>
              <w:t>0.771</w:t>
            </w:r>
          </w:p>
        </w:tc>
      </w:tr>
      <w:tr>
        <w:tc>
          <w:tcPr>
            <w:tcW w:type="dxa" w:w="2351"/>
          </w:tcPr>
          <w:p>
            <w:r/>
            <w:r>
              <w:rPr>
                <w:rFonts w:ascii="Times New Roman" w:hAnsi="Times New Roman" w:eastAsia="Times New Roman"/>
                <w:b w:val="0"/>
                <w:i w:val="0"/>
                <w:sz w:val="22"/>
              </w:rPr>
              <w:t>12</w:t>
            </w:r>
          </w:p>
        </w:tc>
        <w:tc>
          <w:tcPr>
            <w:tcW w:type="dxa" w:w="2351"/>
          </w:tcPr>
          <w:p>
            <w:r/>
            <w:r>
              <w:rPr>
                <w:rFonts w:ascii="Times New Roman" w:hAnsi="Times New Roman" w:eastAsia="Times New Roman"/>
                <w:b w:val="0"/>
                <w:i w:val="0"/>
                <w:sz w:val="22"/>
              </w:rPr>
              <w:t>0.359</w:t>
            </w:r>
          </w:p>
        </w:tc>
        <w:tc>
          <w:tcPr>
            <w:tcW w:type="dxa" w:w="2351"/>
          </w:tcPr>
          <w:p>
            <w:r/>
            <w:r>
              <w:rPr>
                <w:rFonts w:ascii="Times New Roman" w:hAnsi="Times New Roman" w:eastAsia="Times New Roman"/>
                <w:b w:val="0"/>
                <w:i w:val="0"/>
                <w:sz w:val="22"/>
              </w:rPr>
              <w:t>0.931</w:t>
            </w:r>
          </w:p>
        </w:tc>
        <w:tc>
          <w:tcPr>
            <w:tcW w:type="dxa" w:w="2351"/>
          </w:tcPr>
          <w:p>
            <w:r/>
            <w:r>
              <w:rPr>
                <w:rFonts w:ascii="Times New Roman" w:hAnsi="Times New Roman" w:eastAsia="Times New Roman"/>
                <w:b w:val="0"/>
                <w:i w:val="0"/>
                <w:sz w:val="22"/>
              </w:rPr>
              <w:t>0.886</w:t>
            </w:r>
          </w:p>
        </w:tc>
      </w:tr>
      <w:tr>
        <w:tc>
          <w:tcPr>
            <w:tcW w:type="dxa" w:w="2351"/>
          </w:tcPr>
          <w:p>
            <w:r/>
            <w:r>
              <w:rPr>
                <w:rFonts w:ascii="Times New Roman" w:hAnsi="Times New Roman" w:eastAsia="Times New Roman"/>
                <w:b w:val="0"/>
                <w:i w:val="0"/>
                <w:sz w:val="22"/>
              </w:rPr>
              <w:t>20</w:t>
            </w:r>
          </w:p>
        </w:tc>
        <w:tc>
          <w:tcPr>
            <w:tcW w:type="dxa" w:w="2351"/>
          </w:tcPr>
          <w:p>
            <w:r/>
            <w:r>
              <w:rPr>
                <w:rFonts w:ascii="Times New Roman" w:hAnsi="Times New Roman" w:eastAsia="Times New Roman"/>
                <w:b w:val="0"/>
                <w:i w:val="0"/>
                <w:sz w:val="22"/>
              </w:rPr>
              <w:t>0.521</w:t>
            </w:r>
          </w:p>
        </w:tc>
        <w:tc>
          <w:tcPr>
            <w:tcW w:type="dxa" w:w="2351"/>
          </w:tcPr>
          <w:p>
            <w:r/>
            <w:r>
              <w:rPr>
                <w:rFonts w:ascii="Times New Roman" w:hAnsi="Times New Roman" w:eastAsia="Times New Roman"/>
                <w:b w:val="0"/>
                <w:i w:val="0"/>
                <w:sz w:val="22"/>
              </w:rPr>
              <w:t>0.949</w:t>
            </w:r>
          </w:p>
        </w:tc>
        <w:tc>
          <w:tcPr>
            <w:tcW w:type="dxa" w:w="2351"/>
          </w:tcPr>
          <w:p>
            <w:r/>
            <w:r>
              <w:rPr>
                <w:rFonts w:ascii="Times New Roman" w:hAnsi="Times New Roman" w:eastAsia="Times New Roman"/>
                <w:b w:val="0"/>
                <w:i w:val="0"/>
                <w:sz w:val="22"/>
              </w:rPr>
              <w:t>0.943</w:t>
            </w:r>
          </w:p>
        </w:tc>
      </w:tr>
      <w:tr>
        <w:tc>
          <w:tcPr>
            <w:tcW w:type="dxa" w:w="2351"/>
          </w:tcPr>
          <w:p>
            <w:r/>
            <w:r>
              <w:rPr>
                <w:rFonts w:ascii="Times New Roman" w:hAnsi="Times New Roman" w:eastAsia="Times New Roman"/>
                <w:b w:val="0"/>
                <w:i w:val="0"/>
                <w:sz w:val="22"/>
              </w:rPr>
              <w:t>28 (early stop)</w:t>
            </w:r>
          </w:p>
        </w:tc>
        <w:tc>
          <w:tcPr>
            <w:tcW w:type="dxa" w:w="2351"/>
          </w:tcPr>
          <w:p>
            <w:r/>
            <w:r>
              <w:rPr>
                <w:rFonts w:ascii="Times New Roman" w:hAnsi="Times New Roman" w:eastAsia="Times New Roman"/>
                <w:b w:val="0"/>
                <w:i w:val="0"/>
                <w:sz w:val="22"/>
              </w:rPr>
              <w:t>0.006</w:t>
            </w:r>
          </w:p>
        </w:tc>
        <w:tc>
          <w:tcPr>
            <w:tcW w:type="dxa" w:w="2351"/>
          </w:tcPr>
          <w:p>
            <w:r/>
            <w:r>
              <w:rPr>
                <w:rFonts w:ascii="Times New Roman" w:hAnsi="Times New Roman" w:eastAsia="Times New Roman"/>
                <w:b w:val="0"/>
                <w:i w:val="0"/>
                <w:sz w:val="22"/>
              </w:rPr>
              <w:t>0.933</w:t>
            </w:r>
          </w:p>
        </w:tc>
        <w:tc>
          <w:tcPr>
            <w:tcW w:type="dxa" w:w="2351"/>
          </w:tcPr>
          <w:p>
            <w:r/>
            <w:r>
              <w:rPr>
                <w:rFonts w:ascii="Times New Roman" w:hAnsi="Times New Roman" w:eastAsia="Times New Roman"/>
                <w:b w:val="0"/>
                <w:i w:val="0"/>
                <w:sz w:val="22"/>
              </w:rPr>
              <w:t>0.886</w:t>
            </w:r>
          </w:p>
        </w:tc>
      </w:tr>
    </w:tbl>
    <w:p/>
    <w:p>
      <w:pPr>
        <w:spacing w:after="160" w:before="0" w:line="360" w:lineRule="auto"/>
        <w:jc w:val="center"/>
      </w:pPr>
      <w:r>
        <w:rPr>
          <w:rFonts w:ascii="Times New Roman" w:hAnsi="Times New Roman" w:eastAsia="Times New Roman"/>
          <w:b w:val="0"/>
          <w:i/>
          <w:sz w:val="24"/>
        </w:rPr>
        <w:t>Table 5. Validation Training Trajectory (selected epochs)</w:t>
      </w:r>
    </w:p>
    <w:p>
      <w:pPr>
        <w:spacing w:after="160" w:before="0" w:line="360" w:lineRule="auto"/>
        <w:ind w:firstLine="567"/>
        <w:jc w:val="both"/>
      </w:pPr>
      <w:r>
        <w:rPr>
          <w:rFonts w:ascii="Times New Roman" w:hAnsi="Times New Roman" w:eastAsia="Times New Roman"/>
          <w:b w:val="0"/>
          <w:i w:val="0"/>
          <w:sz w:val="24"/>
        </w:rPr>
        <w:t>Best validation AUC ≈ 0.949 at the checkpoint retained as best.pt. Early stopping halted at epoch 28. Validation n=35 is small, so epoch-to-epoch AUC noise is expected; held-out test is the primary reported figure.</w:t>
      </w:r>
    </w:p>
    <w:p>
      <w:pPr>
        <w:spacing w:before="280" w:after="160"/>
        <w:jc w:val="left"/>
      </w:pPr>
      <w:r>
        <w:rPr>
          <w:rFonts w:ascii="Times New Roman" w:hAnsi="Times New Roman" w:eastAsia="Times New Roman"/>
          <w:b/>
          <w:i w:val="0"/>
          <w:sz w:val="28"/>
        </w:rPr>
        <w:t>6.3 Held-out Test Results</w:t>
      </w:r>
    </w:p>
    <w:tbl>
      <w:tblPr>
        <w:tblStyle w:val="TableGrid"/>
        <w:tblW w:type="auto" w:w="0"/>
        <w:jc w:val="center"/>
        <w:tblLook w:firstColumn="1" w:firstRow="1" w:lastColumn="0" w:lastRow="0" w:noHBand="0" w:noVBand="1" w:val="04A0"/>
      </w:tblPr>
      <w:tblGrid>
        <w:gridCol w:w="4703"/>
        <w:gridCol w:w="4703"/>
      </w:tblGrid>
      <w:tr>
        <w:tc>
          <w:tcPr>
            <w:tcW w:type="dxa" w:w="4703"/>
          </w:tcPr>
          <w:p>
            <w:pPr>
              <w:jc w:val="center"/>
            </w:pPr>
            <w:r/>
            <w:r>
              <w:rPr>
                <w:rFonts w:ascii="Times New Roman" w:hAnsi="Times New Roman" w:eastAsia="Times New Roman"/>
                <w:b/>
                <w:i w:val="0"/>
                <w:sz w:val="22"/>
              </w:rPr>
              <w:t>Metric</w:t>
            </w:r>
          </w:p>
        </w:tc>
        <w:tc>
          <w:tcPr>
            <w:tcW w:type="dxa" w:w="4703"/>
          </w:tcPr>
          <w:p>
            <w:pPr>
              <w:jc w:val="center"/>
            </w:pPr>
            <w:r/>
            <w:r>
              <w:rPr>
                <w:rFonts w:ascii="Times New Roman" w:hAnsi="Times New Roman" w:eastAsia="Times New Roman"/>
                <w:b/>
                <w:i w:val="0"/>
                <w:sz w:val="22"/>
              </w:rPr>
              <w:t>Value</w:t>
            </w:r>
          </w:p>
        </w:tc>
      </w:tr>
      <w:tr>
        <w:tc>
          <w:tcPr>
            <w:tcW w:type="dxa" w:w="4703"/>
          </w:tcPr>
          <w:p>
            <w:r/>
            <w:r>
              <w:rPr>
                <w:rFonts w:ascii="Times New Roman" w:hAnsi="Times New Roman" w:eastAsia="Times New Roman"/>
                <w:b w:val="0"/>
                <w:i w:val="0"/>
                <w:sz w:val="22"/>
              </w:rPr>
              <w:t>AUC</w:t>
            </w:r>
          </w:p>
        </w:tc>
        <w:tc>
          <w:tcPr>
            <w:tcW w:type="dxa" w:w="4703"/>
          </w:tcPr>
          <w:p>
            <w:r/>
            <w:r>
              <w:rPr>
                <w:rFonts w:ascii="Times New Roman" w:hAnsi="Times New Roman" w:eastAsia="Times New Roman"/>
                <w:b w:val="0"/>
                <w:i w:val="0"/>
                <w:sz w:val="22"/>
              </w:rPr>
              <w:t>0.9139</w:t>
            </w:r>
          </w:p>
        </w:tc>
      </w:tr>
      <w:tr>
        <w:tc>
          <w:tcPr>
            <w:tcW w:type="dxa" w:w="4703"/>
          </w:tcPr>
          <w:p>
            <w:r/>
            <w:r>
              <w:rPr>
                <w:rFonts w:ascii="Times New Roman" w:hAnsi="Times New Roman" w:eastAsia="Times New Roman"/>
                <w:b w:val="0"/>
                <w:i w:val="0"/>
                <w:sz w:val="22"/>
              </w:rPr>
              <w:t>AUPRC</w:t>
            </w:r>
          </w:p>
        </w:tc>
        <w:tc>
          <w:tcPr>
            <w:tcW w:type="dxa" w:w="4703"/>
          </w:tcPr>
          <w:p>
            <w:r/>
            <w:r>
              <w:rPr>
                <w:rFonts w:ascii="Times New Roman" w:hAnsi="Times New Roman" w:eastAsia="Times New Roman"/>
                <w:b w:val="0"/>
                <w:i w:val="0"/>
                <w:sz w:val="22"/>
              </w:rPr>
              <w:t>0.9583</w:t>
            </w:r>
          </w:p>
        </w:tc>
      </w:tr>
      <w:tr>
        <w:tc>
          <w:tcPr>
            <w:tcW w:type="dxa" w:w="4703"/>
          </w:tcPr>
          <w:p>
            <w:r/>
            <w:r>
              <w:rPr>
                <w:rFonts w:ascii="Times New Roman" w:hAnsi="Times New Roman" w:eastAsia="Times New Roman"/>
                <w:b w:val="0"/>
                <w:i w:val="0"/>
                <w:sz w:val="22"/>
              </w:rPr>
              <w:t>Accuracy</w:t>
            </w:r>
          </w:p>
        </w:tc>
        <w:tc>
          <w:tcPr>
            <w:tcW w:type="dxa" w:w="4703"/>
          </w:tcPr>
          <w:p>
            <w:r/>
            <w:r>
              <w:rPr>
                <w:rFonts w:ascii="Times New Roman" w:hAnsi="Times New Roman" w:eastAsia="Times New Roman"/>
                <w:b w:val="0"/>
                <w:i w:val="0"/>
                <w:sz w:val="22"/>
              </w:rPr>
              <w:t>0.7586</w:t>
            </w:r>
          </w:p>
        </w:tc>
      </w:tr>
      <w:tr>
        <w:tc>
          <w:tcPr>
            <w:tcW w:type="dxa" w:w="4703"/>
          </w:tcPr>
          <w:p>
            <w:r/>
            <w:r>
              <w:rPr>
                <w:rFonts w:ascii="Times New Roman" w:hAnsi="Times New Roman" w:eastAsia="Times New Roman"/>
                <w:b w:val="0"/>
                <w:i w:val="0"/>
                <w:sz w:val="22"/>
              </w:rPr>
              <w:t>Sensitivity</w:t>
            </w:r>
          </w:p>
        </w:tc>
        <w:tc>
          <w:tcPr>
            <w:tcW w:type="dxa" w:w="4703"/>
          </w:tcPr>
          <w:p>
            <w:r/>
            <w:r>
              <w:rPr>
                <w:rFonts w:ascii="Times New Roman" w:hAnsi="Times New Roman" w:eastAsia="Times New Roman"/>
                <w:b w:val="0"/>
                <w:i w:val="0"/>
                <w:sz w:val="22"/>
              </w:rPr>
              <w:t>0.7000</w:t>
            </w:r>
          </w:p>
        </w:tc>
      </w:tr>
      <w:tr>
        <w:tc>
          <w:tcPr>
            <w:tcW w:type="dxa" w:w="4703"/>
          </w:tcPr>
          <w:p>
            <w:r/>
            <w:r>
              <w:rPr>
                <w:rFonts w:ascii="Times New Roman" w:hAnsi="Times New Roman" w:eastAsia="Times New Roman"/>
                <w:b w:val="0"/>
                <w:i w:val="0"/>
                <w:sz w:val="22"/>
              </w:rPr>
              <w:t>Specificity</w:t>
            </w:r>
          </w:p>
        </w:tc>
        <w:tc>
          <w:tcPr>
            <w:tcW w:type="dxa" w:w="4703"/>
          </w:tcPr>
          <w:p>
            <w:r/>
            <w:r>
              <w:rPr>
                <w:rFonts w:ascii="Times New Roman" w:hAnsi="Times New Roman" w:eastAsia="Times New Roman"/>
                <w:b w:val="0"/>
                <w:i w:val="0"/>
                <w:sz w:val="22"/>
              </w:rPr>
              <w:t>0.8889</w:t>
            </w:r>
          </w:p>
        </w:tc>
      </w:tr>
      <w:tr>
        <w:tc>
          <w:tcPr>
            <w:tcW w:type="dxa" w:w="4703"/>
          </w:tcPr>
          <w:p>
            <w:r/>
            <w:r>
              <w:rPr>
                <w:rFonts w:ascii="Times New Roman" w:hAnsi="Times New Roman" w:eastAsia="Times New Roman"/>
                <w:b w:val="0"/>
                <w:i w:val="0"/>
                <w:sz w:val="22"/>
              </w:rPr>
              <w:t>Precision</w:t>
            </w:r>
          </w:p>
        </w:tc>
        <w:tc>
          <w:tcPr>
            <w:tcW w:type="dxa" w:w="4703"/>
          </w:tcPr>
          <w:p>
            <w:r/>
            <w:r>
              <w:rPr>
                <w:rFonts w:ascii="Times New Roman" w:hAnsi="Times New Roman" w:eastAsia="Times New Roman"/>
                <w:b w:val="0"/>
                <w:i w:val="0"/>
                <w:sz w:val="22"/>
              </w:rPr>
              <w:t>0.9333</w:t>
            </w:r>
          </w:p>
        </w:tc>
      </w:tr>
      <w:tr>
        <w:tc>
          <w:tcPr>
            <w:tcW w:type="dxa" w:w="4703"/>
          </w:tcPr>
          <w:p>
            <w:r/>
            <w:r>
              <w:rPr>
                <w:rFonts w:ascii="Times New Roman" w:hAnsi="Times New Roman" w:eastAsia="Times New Roman"/>
                <w:b w:val="0"/>
                <w:i w:val="0"/>
                <w:sz w:val="22"/>
              </w:rPr>
              <w:t>Brier score</w:t>
            </w:r>
          </w:p>
        </w:tc>
        <w:tc>
          <w:tcPr>
            <w:tcW w:type="dxa" w:w="4703"/>
          </w:tcPr>
          <w:p>
            <w:r/>
            <w:r>
              <w:rPr>
                <w:rFonts w:ascii="Times New Roman" w:hAnsi="Times New Roman" w:eastAsia="Times New Roman"/>
                <w:b w:val="0"/>
                <w:i w:val="0"/>
                <w:sz w:val="22"/>
              </w:rPr>
              <w:t>0.2296</w:t>
            </w:r>
          </w:p>
        </w:tc>
      </w:tr>
      <w:tr>
        <w:tc>
          <w:tcPr>
            <w:tcW w:type="dxa" w:w="4703"/>
          </w:tcPr>
          <w:p>
            <w:r/>
            <w:r>
              <w:rPr>
                <w:rFonts w:ascii="Times New Roman" w:hAnsi="Times New Roman" w:eastAsia="Times New Roman"/>
                <w:b w:val="0"/>
                <w:i w:val="0"/>
                <w:sz w:val="22"/>
              </w:rPr>
              <w:t>Confusion (TP/TN/FP/FN)</w:t>
            </w:r>
          </w:p>
        </w:tc>
        <w:tc>
          <w:tcPr>
            <w:tcW w:type="dxa" w:w="4703"/>
          </w:tcPr>
          <w:p>
            <w:r/>
            <w:r>
              <w:rPr>
                <w:rFonts w:ascii="Times New Roman" w:hAnsi="Times New Roman" w:eastAsia="Times New Roman"/>
                <w:b w:val="0"/>
                <w:i w:val="0"/>
                <w:sz w:val="22"/>
              </w:rPr>
              <w:t>14 / 8 / 1 / 6</w:t>
            </w:r>
          </w:p>
        </w:tc>
      </w:tr>
    </w:tbl>
    <w:p/>
    <w:p>
      <w:pPr>
        <w:spacing w:after="160" w:before="0" w:line="360" w:lineRule="auto"/>
        <w:jc w:val="center"/>
      </w:pPr>
      <w:r>
        <w:rPr>
          <w:rFonts w:ascii="Times New Roman" w:hAnsi="Times New Roman" w:eastAsia="Times New Roman"/>
          <w:b w:val="0"/>
          <w:i/>
          <w:sz w:val="24"/>
        </w:rPr>
        <w:t>Table 6. Held-out Test Metrics (best.pt on test split)</w:t>
      </w:r>
    </w:p>
    <w:p>
      <w:pPr>
        <w:spacing w:before="280" w:after="160"/>
        <w:jc w:val="left"/>
      </w:pPr>
      <w:r>
        <w:rPr>
          <w:rFonts w:ascii="Times New Roman" w:hAnsi="Times New Roman" w:eastAsia="Times New Roman"/>
          <w:b/>
          <w:i w:val="0"/>
          <w:sz w:val="28"/>
        </w:rPr>
        <w:t>6.4 Discussion</w:t>
      </w:r>
    </w:p>
    <w:p>
      <w:pPr>
        <w:spacing w:after="160" w:before="0" w:line="360" w:lineRule="auto"/>
        <w:ind w:firstLine="567"/>
        <w:jc w:val="both"/>
      </w:pPr>
      <w:r>
        <w:rPr>
          <w:rFonts w:ascii="Times New Roman" w:hAnsi="Times New Roman" w:eastAsia="Times New Roman"/>
          <w:b w:val="0"/>
          <w:i w:val="0"/>
          <w:sz w:val="24"/>
        </w:rPr>
        <w:t>Test AUC ≈ 0.914 meets the project’s stretch target (≥0.85) on this batch. Accuracy is lower than AUC because the operating threshold optimizing a particular criterion can differ from 0.5, and the test set is malignancy-heavy (20 vs 9). Compared with an earlier 7-patient exploratory run (~0.76 AUC, unstable) and a failed processed_v2 run (val AUC collapsing near chance due to misplaced VOIs), processed_v3 + 48³ hybrid training is the strongest result obtained in this work.</w:t>
      </w:r>
    </w:p>
    <w:p>
      <w:pPr>
        <w:spacing w:after="160" w:before="0" w:line="360" w:lineRule="auto"/>
        <w:ind w:firstLine="567"/>
        <w:jc w:val="both"/>
      </w:pPr>
      <w:r>
        <w:rPr>
          <w:rFonts w:ascii="Times New Roman" w:hAnsi="Times New Roman" w:eastAsia="Times New Roman"/>
          <w:b w:val="0"/>
          <w:i w:val="0"/>
          <w:sz w:val="24"/>
        </w:rPr>
        <w:t>Limitations: LIDC malignancy is a radiologist characteristic, not histopathology; sample size remains modest; single-split evaluation without external cohort; Stage-1 detection not implemented. These limit clinical claims.</w:t>
      </w:r>
    </w:p>
    <w:p>
      <w:r>
        <w:br w:type="page"/>
      </w:r>
    </w:p>
    <w:p>
      <w:pPr>
        <w:spacing w:before="280" w:after="160"/>
        <w:jc w:val="left"/>
      </w:pPr>
      <w:r>
        <w:rPr>
          <w:rFonts w:ascii="Times New Roman" w:hAnsi="Times New Roman" w:eastAsia="Times New Roman"/>
          <w:b/>
          <w:i w:val="0"/>
          <w:sz w:val="32"/>
        </w:rPr>
        <w:t>CHAPTER 7 — CONCLUSION &amp; FUTURE WORK</w:t>
      </w:r>
    </w:p>
    <w:p>
      <w:pPr>
        <w:spacing w:before="280" w:after="160"/>
        <w:jc w:val="left"/>
      </w:pPr>
      <w:r>
        <w:rPr>
          <w:rFonts w:ascii="Times New Roman" w:hAnsi="Times New Roman" w:eastAsia="Times New Roman"/>
          <w:b/>
          <w:i w:val="0"/>
          <w:sz w:val="28"/>
        </w:rPr>
        <w:t>7.1 Conclusion</w:t>
      </w:r>
    </w:p>
    <w:p>
      <w:pPr>
        <w:spacing w:after="160" w:before="0" w:line="360" w:lineRule="auto"/>
        <w:ind w:firstLine="567"/>
        <w:jc w:val="both"/>
      </w:pPr>
      <w:r>
        <w:rPr>
          <w:rFonts w:ascii="Times New Roman" w:hAnsi="Times New Roman" w:eastAsia="Times New Roman"/>
          <w:b w:val="0"/>
          <w:i w:val="0"/>
          <w:sz w:val="24"/>
        </w:rPr>
        <w:t>This project delivered an end-to-end Stage-2 pipeline for pulmonary nodule malignancy risk prediction on LIDC-IDRI using a hybrid 3D CNN–Swin Transformer. Correct geometric linking of XML annotations to CT volumes proved essential. On processed_v3, the model achieved test AUC ≈ 0.914. The software artifacts (best.pt, metrics, configs, processed tree) support demonstration and further research. Research use only.</w:t>
      </w:r>
    </w:p>
    <w:p>
      <w:pPr>
        <w:spacing w:before="280" w:after="160"/>
        <w:jc w:val="left"/>
      </w:pPr>
      <w:r>
        <w:rPr>
          <w:rFonts w:ascii="Times New Roman" w:hAnsi="Times New Roman" w:eastAsia="Times New Roman"/>
          <w:b/>
          <w:i w:val="0"/>
          <w:sz w:val="28"/>
        </w:rPr>
        <w:t>7.2 Future Work</w:t>
      </w:r>
    </w:p>
    <w:p>
      <w:pPr>
        <w:spacing w:after="80" w:before="0" w:line="360" w:lineRule="auto"/>
        <w:jc w:val="left"/>
      </w:pPr>
      <w:r>
        <w:rPr>
          <w:rFonts w:ascii="Times New Roman" w:hAnsi="Times New Roman" w:eastAsia="Times New Roman"/>
          <w:b w:val="0"/>
          <w:i w:val="0"/>
          <w:sz w:val="24"/>
        </w:rPr>
        <w:t>• Scale dataset toward hundreds of patients; nested cross-validation / bootstrap CIs.</w:t>
      </w:r>
    </w:p>
    <w:p>
      <w:pPr>
        <w:spacing w:after="80" w:before="0" w:line="360" w:lineRule="auto"/>
        <w:jc w:val="left"/>
      </w:pPr>
      <w:r>
        <w:rPr>
          <w:rFonts w:ascii="Times New Roman" w:hAnsi="Times New Roman" w:eastAsia="Times New Roman"/>
          <w:b w:val="0"/>
          <w:i w:val="0"/>
          <w:sz w:val="24"/>
        </w:rPr>
        <w:t>• Implement Stage-1 3D detection/segmentation for raw-CT demos without XML.</w:t>
      </w:r>
    </w:p>
    <w:p>
      <w:pPr>
        <w:spacing w:after="80" w:before="0" w:line="360" w:lineRule="auto"/>
        <w:jc w:val="left"/>
      </w:pPr>
      <w:r>
        <w:rPr>
          <w:rFonts w:ascii="Times New Roman" w:hAnsi="Times New Roman" w:eastAsia="Times New Roman"/>
          <w:b w:val="0"/>
          <w:i w:val="0"/>
          <w:sz w:val="24"/>
        </w:rPr>
        <w:t>• Calibrate probabilities; compare against Brock/Lung-RADS baselines.</w:t>
      </w:r>
    </w:p>
    <w:p>
      <w:pPr>
        <w:spacing w:after="80" w:before="0" w:line="360" w:lineRule="auto"/>
        <w:jc w:val="left"/>
      </w:pPr>
      <w:r>
        <w:rPr>
          <w:rFonts w:ascii="Times New Roman" w:hAnsi="Times New Roman" w:eastAsia="Times New Roman"/>
          <w:b w:val="0"/>
          <w:i w:val="0"/>
          <w:sz w:val="24"/>
        </w:rPr>
        <w:t>• Richer XAI and clinician-facing UI; prospective reader studies (beyond this academic scope).</w:t>
      </w:r>
    </w:p>
    <w:p>
      <w:r>
        <w:br w:type="page"/>
      </w:r>
    </w:p>
    <w:p>
      <w:pPr>
        <w:spacing w:before="280" w:after="160"/>
        <w:jc w:val="left"/>
      </w:pPr>
      <w:r>
        <w:rPr>
          <w:rFonts w:ascii="Times New Roman" w:hAnsi="Times New Roman" w:eastAsia="Times New Roman"/>
          <w:b/>
          <w:i w:val="0"/>
          <w:sz w:val="32"/>
        </w:rPr>
        <w:t>REFERENCES</w:t>
      </w:r>
    </w:p>
    <w:p>
      <w:pPr>
        <w:spacing w:after="120" w:before="0" w:line="360" w:lineRule="auto"/>
        <w:jc w:val="left"/>
      </w:pPr>
      <w:r>
        <w:rPr>
          <w:rFonts w:ascii="Times New Roman" w:hAnsi="Times New Roman" w:eastAsia="Times New Roman"/>
          <w:b w:val="0"/>
          <w:i w:val="0"/>
          <w:sz w:val="24"/>
        </w:rPr>
        <w:t>[1] Armato III, S.G., et al. The Lung Image Database Consortium (LIDC) and Image Database Resource Initiative (IDRI): A completed reference database of lung nodules on CT scans. Medical Physics, 2011.</w:t>
      </w:r>
    </w:p>
    <w:p>
      <w:pPr>
        <w:spacing w:after="120" w:before="0" w:line="360" w:lineRule="auto"/>
        <w:jc w:val="left"/>
      </w:pPr>
      <w:r>
        <w:rPr>
          <w:rFonts w:ascii="Times New Roman" w:hAnsi="Times New Roman" w:eastAsia="Times New Roman"/>
          <w:b w:val="0"/>
          <w:i w:val="0"/>
          <w:sz w:val="24"/>
        </w:rPr>
        <w:t>[2] The Cancer Imaging Archive (TCIA): LIDC-IDRI collection. https://www.cancerimagingarchive.net/collection/lidc-idri/</w:t>
      </w:r>
    </w:p>
    <w:p>
      <w:pPr>
        <w:spacing w:after="120" w:before="0" w:line="360" w:lineRule="auto"/>
        <w:jc w:val="left"/>
      </w:pPr>
      <w:r>
        <w:rPr>
          <w:rFonts w:ascii="Times New Roman" w:hAnsi="Times New Roman" w:eastAsia="Times New Roman"/>
          <w:b w:val="0"/>
          <w:i w:val="0"/>
          <w:sz w:val="24"/>
        </w:rPr>
        <w:t>[3] Setio, A.A.A., et al. Validation, comparison, and combination of algorithms for automatic detection of pulmonary nodules in computed tomography images: The LUNA16 challenge. Medical Image Analysis, 2017.</w:t>
      </w:r>
    </w:p>
    <w:p>
      <w:pPr>
        <w:spacing w:after="120" w:before="0" w:line="360" w:lineRule="auto"/>
        <w:jc w:val="left"/>
      </w:pPr>
      <w:r>
        <w:rPr>
          <w:rFonts w:ascii="Times New Roman" w:hAnsi="Times New Roman" w:eastAsia="Times New Roman"/>
          <w:b w:val="0"/>
          <w:i w:val="0"/>
          <w:sz w:val="24"/>
        </w:rPr>
        <w:t>[4] Liu, Z., et al. Swin Transformer: Hierarchical Vision Transformer using Shifted Windows. ICCV, 2021.</w:t>
      </w:r>
    </w:p>
    <w:p>
      <w:pPr>
        <w:spacing w:after="120" w:before="0" w:line="360" w:lineRule="auto"/>
        <w:jc w:val="left"/>
      </w:pPr>
      <w:r>
        <w:rPr>
          <w:rFonts w:ascii="Times New Roman" w:hAnsi="Times New Roman" w:eastAsia="Times New Roman"/>
          <w:b w:val="0"/>
          <w:i w:val="0"/>
          <w:sz w:val="24"/>
        </w:rPr>
        <w:t>[5] McWilliams, A., et al. Probability of cancer in pulmonary nodules detected on first screening CT. NEJM, 2013 (Brock/PanCan model context).</w:t>
      </w:r>
    </w:p>
    <w:p>
      <w:pPr>
        <w:spacing w:after="120" w:before="0" w:line="360" w:lineRule="auto"/>
        <w:jc w:val="left"/>
      </w:pPr>
      <w:r>
        <w:rPr>
          <w:rFonts w:ascii="Times New Roman" w:hAnsi="Times New Roman" w:eastAsia="Times New Roman"/>
          <w:b w:val="0"/>
          <w:i w:val="0"/>
          <w:sz w:val="24"/>
        </w:rPr>
        <w:t>[6] PyTorch documentation; MONAI / SimpleITK / nibabel documentation for volumetric preprocessing and training.</w:t>
      </w:r>
    </w:p>
    <w:p>
      <w:r>
        <w:br w:type="page"/>
      </w:r>
    </w:p>
    <w:p>
      <w:pPr>
        <w:spacing w:before="280" w:after="160"/>
        <w:jc w:val="left"/>
      </w:pPr>
      <w:r>
        <w:rPr>
          <w:rFonts w:ascii="Times New Roman" w:hAnsi="Times New Roman" w:eastAsia="Times New Roman"/>
          <w:b/>
          <w:i w:val="0"/>
          <w:sz w:val="32"/>
        </w:rPr>
        <w:t>APPENDIX A — COMMANDS &amp; REPRODUCIBILITY</w:t>
      </w:r>
    </w:p>
    <w:p>
      <w:pPr>
        <w:spacing w:after="160" w:before="0" w:line="360" w:lineRule="auto"/>
        <w:jc w:val="left"/>
      </w:pPr>
      <w:r>
        <w:rPr>
          <w:rFonts w:ascii="Times New Roman" w:hAnsi="Times New Roman" w:eastAsia="Times New Roman"/>
          <w:b/>
          <w:i w:val="0"/>
          <w:sz w:val="24"/>
        </w:rPr>
        <w:t>Preprocess (WSL / CPU):</w:t>
      </w:r>
    </w:p>
    <w:p>
      <w:pPr>
        <w:spacing w:after="160" w:before="0" w:line="360" w:lineRule="auto"/>
        <w:jc w:val="left"/>
      </w:pPr>
      <w:r>
        <w:rPr>
          <w:rFonts w:ascii="Times New Roman" w:hAnsi="Times New Roman" w:eastAsia="Times New Roman"/>
          <w:b w:val="0"/>
          <w:i w:val="0"/>
          <w:sz w:val="20"/>
        </w:rPr>
        <w:t>python -m pulmoscan.data.preprocess_lidc --raw-root C:/lidc/raw --xml-root C:/lidc/tcia-lidc-xml --out C:/lidc/processed_v3 --fresh</w:t>
      </w:r>
    </w:p>
    <w:p>
      <w:pPr>
        <w:spacing w:after="160" w:before="0" w:line="360" w:lineRule="auto"/>
        <w:jc w:val="left"/>
      </w:pPr>
      <w:r>
        <w:rPr>
          <w:rFonts w:ascii="Times New Roman" w:hAnsi="Times New Roman" w:eastAsia="Times New Roman"/>
          <w:b/>
          <w:i w:val="0"/>
          <w:sz w:val="24"/>
        </w:rPr>
        <w:t>Train (Kubeflow GPU, 48³):</w:t>
      </w:r>
    </w:p>
    <w:p>
      <w:pPr>
        <w:spacing w:after="160" w:before="0" w:line="360" w:lineRule="auto"/>
        <w:jc w:val="left"/>
      </w:pPr>
      <w:r>
        <w:rPr>
          <w:rFonts w:ascii="Times New Roman" w:hAnsi="Times New Roman" w:eastAsia="Times New Roman"/>
          <w:b w:val="0"/>
          <w:i w:val="0"/>
          <w:sz w:val="20"/>
        </w:rPr>
        <w:t>python -m pulmoscan.classification.train --preset default --data-root /home/jovyan/data/processed_v3 --batch-size 2 --device cuda --output-dir /home/jovyan/artifacts/checkpoints_v3_48</w:t>
      </w:r>
    </w:p>
    <w:p>
      <w:pPr>
        <w:spacing w:after="160" w:before="0" w:line="360" w:lineRule="auto"/>
        <w:jc w:val="left"/>
      </w:pPr>
      <w:r>
        <w:rPr>
          <w:rFonts w:ascii="Times New Roman" w:hAnsi="Times New Roman" w:eastAsia="Times New Roman"/>
          <w:b/>
          <w:i w:val="0"/>
          <w:sz w:val="24"/>
        </w:rPr>
        <w:t>Evaluate test:</w:t>
      </w:r>
    </w:p>
    <w:p>
      <w:pPr>
        <w:spacing w:after="160" w:before="0" w:line="360" w:lineRule="auto"/>
        <w:jc w:val="left"/>
      </w:pPr>
      <w:r>
        <w:rPr>
          <w:rFonts w:ascii="Times New Roman" w:hAnsi="Times New Roman" w:eastAsia="Times New Roman"/>
          <w:b w:val="0"/>
          <w:i w:val="0"/>
          <w:sz w:val="20"/>
        </w:rPr>
        <w:t>python -m pulmoscan.evaluation.evaluate --data-root /home/jovyan/data/processed_v3 --checkpoint .../best.pt --split test --device cuda --out .../test_metrics.json</w:t>
      </w:r>
    </w:p>
    <w:p>
      <w:pPr>
        <w:spacing w:after="240" w:before="0" w:line="360" w:lineRule="auto"/>
        <w:jc w:val="left"/>
      </w:pPr>
      <w:r>
        <w:rPr>
          <w:rFonts w:ascii="Times New Roman" w:hAnsi="Times New Roman" w:eastAsia="Times New Roman"/>
          <w:b w:val="0"/>
          <w:i/>
          <w:sz w:val="24"/>
        </w:rPr>
        <w:t>Disclaimer: This project is for academic research and education only. It is not a certified medical device and must not be used as the sole basis for clinical diagnosis or treatment decisions.</w:t>
      </w:r>
    </w:p>
    <w:p>
      <w:pPr>
        <w:spacing w:after="160" w:before="0" w:line="360" w:lineRule="auto"/>
        <w:jc w:val="center"/>
      </w:pPr>
      <w:r>
        <w:rPr>
          <w:rFonts w:ascii="Times New Roman" w:hAnsi="Times New Roman" w:eastAsia="Times New Roman"/>
          <w:b/>
          <w:i w:val="0"/>
          <w:sz w:val="24"/>
        </w:rPr>
        <w:t>— End of Report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