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9A215E" w:rsidR="00C24542" w:rsidRPr="00E47DC1" w:rsidRDefault="00000000">
      <w:pPr>
        <w:pStyle w:val="Heading1"/>
        <w:spacing w:before="240" w:after="0"/>
        <w:ind w:firstLine="0"/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color w:val="2E75B5"/>
          <w:sz w:val="22"/>
          <w:szCs w:val="22"/>
        </w:rPr>
        <w:t xml:space="preserve">Measuring native plant diversity on private land </w:t>
      </w:r>
      <w:r w:rsidR="00E47DC1">
        <w:rPr>
          <w:rFonts w:ascii="Arial" w:eastAsia="Arial" w:hAnsi="Arial" w:cs="Arial"/>
          <w:color w:val="2E75B5"/>
          <w:sz w:val="22"/>
          <w:szCs w:val="22"/>
        </w:rPr>
        <w:t>across</w:t>
      </w:r>
      <w:r>
        <w:rPr>
          <w:rFonts w:ascii="Arial" w:eastAsia="Arial" w:hAnsi="Arial" w:cs="Arial"/>
          <w:color w:val="2E75B5"/>
          <w:sz w:val="22"/>
          <w:szCs w:val="22"/>
        </w:rPr>
        <w:t xml:space="preserve"> continental Australia.</w:t>
      </w:r>
      <w:r>
        <w:rPr>
          <w:rFonts w:ascii="Arial" w:eastAsia="Arial" w:hAnsi="Arial" w:cs="Arial"/>
          <w:color w:val="2E75B5"/>
          <w:sz w:val="22"/>
          <w:szCs w:val="22"/>
        </w:rPr>
        <w:br/>
      </w:r>
    </w:p>
    <w:p w14:paraId="00000003" w14:textId="0614E053" w:rsidR="00C24542" w:rsidRPr="00E47DC1" w:rsidRDefault="00000000">
      <w:pPr>
        <w:rPr>
          <w:rFonts w:ascii="Arial" w:eastAsia="Arial" w:hAnsi="Arial" w:cs="Arial"/>
          <w:color w:val="2E75B5"/>
        </w:rPr>
      </w:pPr>
      <w:r w:rsidRPr="00E47DC1">
        <w:rPr>
          <w:color w:val="0070C0"/>
        </w:rPr>
        <w:t xml:space="preserve">Alternative title: </w:t>
      </w:r>
      <w:r w:rsidRPr="00E47DC1">
        <w:rPr>
          <w:rFonts w:ascii="Arial" w:eastAsia="Arial" w:hAnsi="Arial" w:cs="Arial"/>
          <w:color w:val="0070C0"/>
        </w:rPr>
        <w:t>Native Australian plant diversity held on private land</w:t>
      </w:r>
      <w:r w:rsidRPr="00E47DC1">
        <w:rPr>
          <w:rFonts w:ascii="Arial" w:eastAsia="Arial" w:hAnsi="Arial" w:cs="Arial"/>
          <w:color w:val="0070C0"/>
        </w:rPr>
        <w:br/>
        <w:t>Burley H</w:t>
      </w:r>
      <w:r w:rsidR="00E47DC1" w:rsidRPr="00E47DC1">
        <w:rPr>
          <w:rFonts w:ascii="Arial" w:eastAsia="Arial" w:hAnsi="Arial" w:cs="Arial"/>
          <w:color w:val="0070C0"/>
          <w:vertAlign w:val="superscript"/>
        </w:rPr>
        <w:t>1</w:t>
      </w:r>
      <w:r w:rsidRPr="00E47DC1">
        <w:rPr>
          <w:rFonts w:ascii="Arial" w:eastAsia="Arial" w:hAnsi="Arial" w:cs="Arial"/>
          <w:color w:val="0070C0"/>
        </w:rPr>
        <w:t>, Laffan SW</w:t>
      </w:r>
      <w:r w:rsidR="00E47DC1" w:rsidRPr="00E47DC1">
        <w:rPr>
          <w:rFonts w:ascii="Arial" w:eastAsia="Arial" w:hAnsi="Arial" w:cs="Arial"/>
          <w:color w:val="0070C0"/>
          <w:vertAlign w:val="superscript"/>
        </w:rPr>
        <w:t>1</w:t>
      </w:r>
      <w:r w:rsidRPr="00E47DC1">
        <w:rPr>
          <w:rFonts w:ascii="Arial" w:eastAsia="Arial" w:hAnsi="Arial" w:cs="Arial"/>
          <w:color w:val="0070C0"/>
        </w:rPr>
        <w:t>, Thornhill, AH</w:t>
      </w:r>
      <w:r w:rsidR="00E47DC1" w:rsidRPr="00E47DC1">
        <w:rPr>
          <w:rFonts w:ascii="Arial" w:eastAsia="Arial" w:hAnsi="Arial" w:cs="Arial"/>
          <w:color w:val="0070C0"/>
          <w:vertAlign w:val="superscript"/>
        </w:rPr>
        <w:t>2</w:t>
      </w:r>
      <w:r w:rsidR="00E47DC1" w:rsidRPr="00E47DC1">
        <w:rPr>
          <w:rFonts w:ascii="Arial" w:eastAsia="Arial" w:hAnsi="Arial" w:cs="Arial"/>
          <w:color w:val="8EAADB" w:themeColor="accent1" w:themeTint="99"/>
          <w:vertAlign w:val="superscript"/>
        </w:rPr>
        <w:br/>
      </w:r>
      <w:r w:rsidR="00E47DC1">
        <w:rPr>
          <w:rFonts w:ascii="Arial" w:eastAsia="Arial" w:hAnsi="Arial" w:cs="Arial"/>
          <w:color w:val="2E75B5"/>
          <w:vertAlign w:val="superscript"/>
        </w:rPr>
        <w:br/>
      </w:r>
      <w:r w:rsidR="00E47DC1" w:rsidRPr="00E47DC1">
        <w:rPr>
          <w:rStyle w:val="NewparagraphChar"/>
          <w:rFonts w:ascii="Arial" w:eastAsia="Arial" w:hAnsi="Arial" w:cs="Arial"/>
        </w:rPr>
        <w:t>1). UNSW School of BEES. 2).</w:t>
      </w:r>
      <w:r w:rsidR="00E47DC1" w:rsidRPr="00E47DC1">
        <w:rPr>
          <w:rFonts w:ascii="Arial" w:eastAsia="Arial" w:hAnsi="Arial" w:cs="Arial"/>
        </w:rPr>
        <w:t xml:space="preserve"> Botanic gardens of South Australia</w:t>
      </w:r>
      <w:r w:rsidR="00E47DC1">
        <w:rPr>
          <w:rFonts w:ascii="Arial" w:eastAsia="Arial" w:hAnsi="Arial" w:cs="Arial"/>
          <w:color w:val="2E75B5"/>
        </w:rPr>
        <w:br/>
      </w:r>
    </w:p>
    <w:p w14:paraId="00000004" w14:textId="727D6880" w:rsidR="00C2454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Aim:</w:t>
      </w:r>
      <w:r>
        <w:rPr>
          <w:rFonts w:ascii="Arial" w:eastAsia="Arial" w:hAnsi="Arial" w:cs="Arial"/>
        </w:rPr>
        <w:t xml:space="preserve"> Over half of Australia is used to graze livestock under various land tenures.</w:t>
      </w:r>
      <w:r>
        <w:rPr>
          <w:rFonts w:ascii="Arial" w:eastAsia="Arial" w:hAnsi="Arial" w:cs="Arial"/>
        </w:rPr>
        <w:br/>
        <w:t>Some of Australia’s unique and diverse floral areas are protected by reserves (</w:t>
      </w:r>
      <w:proofErr w:type="gramStart"/>
      <w:r>
        <w:rPr>
          <w:rFonts w:ascii="Arial" w:eastAsia="Arial" w:hAnsi="Arial" w:cs="Arial"/>
        </w:rPr>
        <w:t>e.g.</w:t>
      </w:r>
      <w:proofErr w:type="gramEnd"/>
      <w:r>
        <w:rPr>
          <w:rFonts w:ascii="Arial" w:eastAsia="Arial" w:hAnsi="Arial" w:cs="Arial"/>
        </w:rPr>
        <w:t xml:space="preserve"> the Wet Tropics). However, diverse floristic areas that are not protected are effectively private</w:t>
      </w:r>
      <w:r w:rsidR="00BE40C2">
        <w:rPr>
          <w:rFonts w:ascii="Arial" w:eastAsia="Arial" w:hAnsi="Arial" w:cs="Arial"/>
        </w:rPr>
        <w:t>ly</w:t>
      </w:r>
      <w:r>
        <w:rPr>
          <w:rFonts w:ascii="Arial" w:eastAsia="Arial" w:hAnsi="Arial" w:cs="Arial"/>
        </w:rPr>
        <w:t xml:space="preserve"> manage</w:t>
      </w:r>
      <w:r w:rsidR="00E72C69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, and must co-exist with agricultural production (</w:t>
      </w:r>
      <w:proofErr w:type="gramStart"/>
      <w:r>
        <w:rPr>
          <w:rFonts w:ascii="Arial" w:eastAsia="Arial" w:hAnsi="Arial" w:cs="Arial"/>
        </w:rPr>
        <w:t>e.g.</w:t>
      </w:r>
      <w:proofErr w:type="gramEnd"/>
      <w:r>
        <w:rPr>
          <w:rFonts w:ascii="Arial" w:eastAsia="Arial" w:hAnsi="Arial" w:cs="Arial"/>
        </w:rPr>
        <w:t xml:space="preserve"> grazing of native vegetation by cattle, sheep, goats, etc). </w:t>
      </w:r>
      <w:proofErr w:type="gramStart"/>
      <w:r>
        <w:rPr>
          <w:rFonts w:ascii="Arial" w:eastAsia="Arial" w:hAnsi="Arial" w:cs="Arial"/>
        </w:rPr>
        <w:t>Thus</w:t>
      </w:r>
      <w:proofErr w:type="gramEnd"/>
      <w:r>
        <w:rPr>
          <w:rFonts w:ascii="Arial" w:eastAsia="Arial" w:hAnsi="Arial" w:cs="Arial"/>
        </w:rPr>
        <w:t xml:space="preserve"> it is important to determine the extent and concentration of native plant biodiversity that occurs on private land - including describing gaps in taxonomic and spatial sampling.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u w:val="single"/>
        </w:rPr>
        <w:t>Location:</w:t>
      </w:r>
      <w:r>
        <w:rPr>
          <w:rFonts w:ascii="Arial" w:eastAsia="Arial" w:hAnsi="Arial" w:cs="Arial"/>
        </w:rPr>
        <w:t xml:space="preserve"> Continental Australia</w:t>
      </w:r>
      <w:r w:rsidR="00BE40C2">
        <w:rPr>
          <w:rFonts w:ascii="Arial" w:eastAsia="Arial" w:hAnsi="Arial" w:cs="Arial"/>
        </w:rPr>
        <w:t>.</w:t>
      </w:r>
      <w:r w:rsidR="00BE40C2"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u w:val="single"/>
        </w:rPr>
        <w:t>Methods:</w:t>
      </w:r>
      <w:r>
        <w:rPr>
          <w:rFonts w:ascii="Arial" w:eastAsia="Arial" w:hAnsi="Arial" w:cs="Arial"/>
        </w:rPr>
        <w:t xml:space="preserve"> We use a published dataset of Australian angiosperms to determine where high concentrations of native plant diversity occur. The dataset combines over 3 million spatial records with a phylogeny of over 90% of native Australian angiosperm genera. Combining this dataset with </w:t>
      </w:r>
      <w:r w:rsidR="00BE40C2">
        <w:rPr>
          <w:rFonts w:ascii="Arial" w:eastAsia="Arial" w:hAnsi="Arial" w:cs="Arial"/>
        </w:rPr>
        <w:t xml:space="preserve">Australian </w:t>
      </w:r>
      <w:r>
        <w:rPr>
          <w:rFonts w:ascii="Arial" w:eastAsia="Arial" w:hAnsi="Arial" w:cs="Arial"/>
        </w:rPr>
        <w:t xml:space="preserve">land usage </w:t>
      </w:r>
      <w:r w:rsidR="00BE40C2">
        <w:rPr>
          <w:rFonts w:ascii="Arial" w:eastAsia="Arial" w:hAnsi="Arial" w:cs="Arial"/>
        </w:rPr>
        <w:t>boundaries,</w:t>
      </w:r>
      <w:r>
        <w:rPr>
          <w:rFonts w:ascii="Arial" w:eastAsia="Arial" w:hAnsi="Arial" w:cs="Arial"/>
        </w:rPr>
        <w:t xml:space="preserve"> we </w:t>
      </w:r>
      <w:r w:rsidR="00BE40C2">
        <w:rPr>
          <w:rFonts w:ascii="Arial" w:eastAsia="Arial" w:hAnsi="Arial" w:cs="Arial"/>
        </w:rPr>
        <w:t>ask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1).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What proportion</w:t>
      </w:r>
      <w:r>
        <w:rPr>
          <w:rFonts w:ascii="Arial" w:eastAsia="Arial" w:hAnsi="Arial" w:cs="Arial"/>
        </w:rPr>
        <w:t xml:space="preserve"> of unique and diverse locations (</w:t>
      </w:r>
      <w:proofErr w:type="gramStart"/>
      <w:r>
        <w:rPr>
          <w:rFonts w:ascii="Arial" w:eastAsia="Arial" w:hAnsi="Arial" w:cs="Arial"/>
        </w:rPr>
        <w:t>i.e.</w:t>
      </w:r>
      <w:proofErr w:type="gramEnd"/>
      <w:r>
        <w:rPr>
          <w:rFonts w:ascii="Arial" w:eastAsia="Arial" w:hAnsi="Arial" w:cs="Arial"/>
        </w:rPr>
        <w:t xml:space="preserve"> grid cells) occur on private land?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2).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Are there any plant genera</w:t>
      </w:r>
      <w:r>
        <w:rPr>
          <w:rFonts w:ascii="Arial" w:eastAsia="Arial" w:hAnsi="Arial" w:cs="Arial"/>
        </w:rPr>
        <w:t xml:space="preserve"> that have the majority of their diversity occurring on private land?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 w:rsidR="00BE40C2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>).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Where are the biggest gaps</w:t>
      </w:r>
      <w:r>
        <w:rPr>
          <w:rFonts w:ascii="Arial" w:eastAsia="Arial" w:hAnsi="Arial" w:cs="Arial"/>
        </w:rPr>
        <w:t xml:space="preserve"> in under-sampling across continental Australia?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Our analyses will provide valuable bas</w:t>
      </w:r>
      <w:r w:rsidR="00BE40C2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line information to assist private land managers in their ongoing stewardship of Australia’s biological diversity. By identifying priority areas for conservation that are privately held</w:t>
      </w:r>
      <w:r w:rsidR="00BE40C2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we can highlight </w:t>
      </w:r>
      <w:r w:rsidR="00BE40C2">
        <w:rPr>
          <w:rFonts w:ascii="Arial" w:eastAsia="Arial" w:hAnsi="Arial" w:cs="Arial"/>
        </w:rPr>
        <w:t>their uniqueness and aid resource allocation to increased sampling</w:t>
      </w:r>
      <w:r w:rsidR="001A2F43">
        <w:rPr>
          <w:rFonts w:ascii="Arial" w:eastAsia="Arial" w:hAnsi="Arial" w:cs="Arial"/>
        </w:rPr>
        <w:t xml:space="preserve"> within private/public partnerships</w:t>
      </w:r>
      <w:r>
        <w:rPr>
          <w:rFonts w:ascii="Arial" w:eastAsia="Arial" w:hAnsi="Arial" w:cs="Arial"/>
        </w:rPr>
        <w:t>.</w:t>
      </w:r>
    </w:p>
    <w:p w14:paraId="00000005" w14:textId="501EE458" w:rsidR="00C2454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sectPr w:rsidR="00C2454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542"/>
    <w:rsid w:val="001A2F43"/>
    <w:rsid w:val="00944B8B"/>
    <w:rsid w:val="00A37393"/>
    <w:rsid w:val="00A92EAC"/>
    <w:rsid w:val="00BE40C2"/>
    <w:rsid w:val="00C24542"/>
    <w:rsid w:val="00E47DC1"/>
    <w:rsid w:val="00E7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6D97"/>
  <w15:docId w15:val="{7193DF4A-75EF-454E-AD20-BE295B29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6D6"/>
    <w:pPr>
      <w:keepNext/>
      <w:keepLines/>
      <w:spacing w:before="480" w:after="120" w:line="360" w:lineRule="auto"/>
      <w:ind w:firstLine="720"/>
      <w:outlineLvl w:val="0"/>
    </w:pPr>
    <w:rPr>
      <w:rFonts w:ascii="Times New Roman" w:hAnsi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6D6"/>
    <w:pPr>
      <w:keepNext/>
      <w:keepLines/>
      <w:spacing w:before="280" w:after="80" w:line="360" w:lineRule="auto"/>
      <w:ind w:firstLine="720"/>
      <w:outlineLvl w:val="2"/>
    </w:pPr>
    <w:rPr>
      <w:rFonts w:ascii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416D6"/>
    <w:rPr>
      <w:rFonts w:ascii="Times New Roman" w:eastAsia="Calibri" w:hAnsi="Times New Roman" w:cs="Calibri"/>
      <w:b/>
      <w:sz w:val="48"/>
      <w:szCs w:val="4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416D6"/>
    <w:rPr>
      <w:rFonts w:ascii="Times New Roman" w:eastAsia="Calibri" w:hAnsi="Times New Roman" w:cs="Calibri"/>
      <w:b/>
      <w:sz w:val="28"/>
      <w:szCs w:val="28"/>
      <w:lang w:eastAsia="en-AU"/>
    </w:rPr>
  </w:style>
  <w:style w:type="paragraph" w:styleId="NormalWeb">
    <w:name w:val="Normal (Web)"/>
    <w:basedOn w:val="Normal"/>
    <w:uiPriority w:val="99"/>
    <w:unhideWhenUsed/>
    <w:qFormat/>
    <w:rsid w:val="00D416D6"/>
    <w:pPr>
      <w:spacing w:before="100" w:beforeAutospacing="1" w:after="100" w:afterAutospacing="1" w:line="240" w:lineRule="auto"/>
    </w:pPr>
    <w:rPr>
      <w:rFonts w:ascii="Arial" w:eastAsiaTheme="minorEastAsia" w:hAnsi="Arial" w:cs="Times New Roman"/>
      <w:sz w:val="16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416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6D6"/>
    <w:pPr>
      <w:spacing w:line="240" w:lineRule="auto"/>
      <w:ind w:firstLine="720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6D6"/>
    <w:rPr>
      <w:rFonts w:ascii="Times New Roman" w:eastAsia="Calibri" w:hAnsi="Times New Roman" w:cs="Calibri"/>
      <w:sz w:val="20"/>
      <w:szCs w:val="20"/>
      <w:lang w:eastAsia="en-AU"/>
    </w:rPr>
  </w:style>
  <w:style w:type="paragraph" w:customStyle="1" w:styleId="Newparagraph">
    <w:name w:val="New paragraph"/>
    <w:basedOn w:val="Normal"/>
    <w:link w:val="NewparagraphChar"/>
    <w:qFormat/>
    <w:rsid w:val="00D416D6"/>
    <w:pPr>
      <w:spacing w:before="240" w:after="0" w:line="360" w:lineRule="auto"/>
      <w:ind w:firstLine="720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NewparagraphChar">
    <w:name w:val="New paragraph Char"/>
    <w:basedOn w:val="DefaultParagraphFont"/>
    <w:link w:val="Newparagraph"/>
    <w:rsid w:val="00D416D6"/>
    <w:rPr>
      <w:rFonts w:ascii="Times New Roman" w:eastAsia="Times New Roman" w:hAnsi="Times New Roman" w:cs="Times New Roman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04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A7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25711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711"/>
    <w:pPr>
      <w:ind w:firstLine="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711"/>
    <w:rPr>
      <w:rFonts w:ascii="Times New Roman" w:eastAsia="Calibri" w:hAnsi="Times New Roman" w:cs="Calibri"/>
      <w:b/>
      <w:bCs/>
      <w:sz w:val="20"/>
      <w:szCs w:val="20"/>
      <w:lang w:eastAsia="en-A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JC5B/5pJDTZYRLKWmZkrf3g4NQ==">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Burley</dc:creator>
  <cp:lastModifiedBy>Hugh Burley</cp:lastModifiedBy>
  <cp:revision>3</cp:revision>
  <dcterms:created xsi:type="dcterms:W3CDTF">2022-08-01T23:33:00Z</dcterms:created>
  <dcterms:modified xsi:type="dcterms:W3CDTF">2022-08-01T23:35:00Z</dcterms:modified>
</cp:coreProperties>
</file>