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Teensy unit value.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only one of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columns for each measurement, whichever is appropriate to the instrument that you are using to measure. If you are using the</w:t>
      </w:r>
      <w:r>
        <w:t xml:space="preserve"> </w:t>
      </w:r>
      <w:r>
        <w:t xml:space="preserve">“Measured Output Voltage (Vpp)”</w:t>
      </w:r>
      <w:r>
        <w:t xml:space="preserve"> </w:t>
      </w:r>
      <w:r>
        <w:t xml:space="preserve">column, then also convert that measured voltage to an RMS value in the</w:t>
      </w:r>
      <w:r>
        <w:t xml:space="preserve"> </w:t>
      </w:r>
      <w:r>
        <w:t xml:space="preserve">“Converted Output Voltage (Vrms)”</w:t>
      </w:r>
      <w:r>
        <w:t xml:space="preserve"> </w:t>
      </w:r>
      <w:r>
        <w:t xml:space="preserve">column.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2025-02-21T19:52:38Z</dcterms:created>
  <dcterms:modified xsi:type="dcterms:W3CDTF">2025-02-21T19:52:38Z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