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 xml:space="preserve">Insert the schematic used to make your measurements here.</w:t>
            </w:r>
            <w:r>
              <w:t xml:space="preserve"> </w:t>
            </w:r>
            <w:r>
              <w:t xml:space="preserve">Note that your schematic should include any additional components needed to represent any output impedances of sources or input impedances of measurement devices.</w:t>
            </w:r>
          </w:p>
          <w:p>
            <w:pPr>
              <w:jc w:val="center"/>
            </w:pPr>
            <w:r>
              <w:t xml:space="preserve">Insert table here containing measurements across different resistance values</w:t>
            </w:r>
            <w:r>
              <w:t xml:space="preserve"> </w:t>
            </w:r>
            <w:r>
              <w:rPr>
                <w:i/>
                <w:iCs/>
              </w:rPr>
              <w:t xml:space="preserve">with the same instrument</w:t>
            </w:r>
            <w:r>
              <w:t xml:space="preserve">.</w:t>
            </w:r>
          </w:p>
          <w:p>
            <w:pPr>
              <w:jc w:val="center"/>
            </w:pPr>
            <w:r>
              <w:t xml:space="preserve">Text to explain what the table above means.</w:t>
            </w:r>
            <w:r>
              <w:t xml:space="preserve"> </w:t>
            </w:r>
            <w:r>
              <w:t xml:space="preserve">The text should address and highlight:</w:t>
            </w:r>
          </w:p>
          <w:p>
            <w:pPr>
              <w:pStyle w:val="Compact"/>
              <w:numPr>
                <w:ilvl w:val="0"/>
                <w:numId w:val="1001"/>
              </w:numPr>
              <w:jc w:val="center"/>
            </w:pPr>
            <w:r>
              <w:t xml:space="preserve">Trends in the data</w:t>
            </w:r>
          </w:p>
          <w:p>
            <w:pPr>
              <w:pStyle w:val="Compact"/>
              <w:numPr>
                <w:ilvl w:val="0"/>
                <w:numId w:val="1001"/>
              </w:numPr>
              <w:jc w:val="center"/>
            </w:pPr>
            <w:r>
              <w:t xml:space="preserve">Unexpected results</w:t>
            </w:r>
          </w:p>
          <w:p>
            <w:pPr>
              <w:pStyle w:val="Compact"/>
              <w:numPr>
                <w:ilvl w:val="0"/>
                <w:numId w:val="1001"/>
              </w:numPr>
              <w:jc w:val="center"/>
            </w:pPr>
            <w:r>
              <w:t xml:space="preserve">Conclusions to be drawn</w:t>
            </w:r>
          </w:p>
          <w:p>
            <w:pPr>
              <w:jc w:val="center"/>
            </w:pPr>
            <w:r>
              <w:t xml:space="preserve">Insert table here containing measurements across different instruments</w:t>
            </w:r>
            <w:r>
              <w:t xml:space="preserve"> </w:t>
            </w:r>
            <w:r>
              <w:rPr>
                <w:i/>
                <w:iCs/>
              </w:rPr>
              <w:t xml:space="preserve">with the same resistance values</w:t>
            </w:r>
            <w:r>
              <w:t xml:space="preserve">.</w:t>
            </w:r>
          </w:p>
          <w:p>
            <w:pPr>
              <w:jc w:val="center"/>
            </w:pPr>
            <w:r>
              <w:t xml:space="preserve">Text to explain what the table above means.</w:t>
            </w:r>
            <w:r>
              <w:t xml:space="preserve"> </w:t>
            </w:r>
            <w:r>
              <w:t xml:space="preserve">The text should address and highlight:</w:t>
            </w:r>
          </w:p>
          <w:p>
            <w:pPr>
              <w:pStyle w:val="Compact"/>
              <w:numPr>
                <w:ilvl w:val="0"/>
                <w:numId w:val="1002"/>
              </w:numPr>
              <w:jc w:val="center"/>
            </w:pPr>
            <w:r>
              <w:t xml:space="preserve">Trends in the data</w:t>
            </w:r>
          </w:p>
          <w:p>
            <w:pPr>
              <w:pStyle w:val="Compact"/>
              <w:numPr>
                <w:ilvl w:val="0"/>
                <w:numId w:val="1002"/>
              </w:numPr>
              <w:jc w:val="center"/>
            </w:pPr>
            <w:r>
              <w:t xml:space="preserve">Unexpected results</w:t>
            </w:r>
          </w:p>
          <w:p>
            <w:pPr>
              <w:pStyle w:val="Compact"/>
              <w:numPr>
                <w:ilvl w:val="0"/>
                <w:numId w:val="1002"/>
              </w:numPr>
              <w:jc w:val="center"/>
            </w:pPr>
            <w:r>
              <w:t xml:space="preserve">Conclusions to be drawn</w:t>
            </w:r>
          </w:p>
          <w:p>
            <w:pPr>
              <w:pStyle w:val="Compact"/>
              <w:numPr>
                <w:ilvl w:val="0"/>
                <w:numId w:val="1002"/>
              </w:numPr>
              <w:jc w:val="center"/>
            </w:pPr>
            <w:r>
              <w:t xml:space="preserve">How instrument loading influences the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2025-01-24T20:57:16Z</dcterms:created>
  <dcterms:modified xsi:type="dcterms:W3CDTF">2025-01-24T20:57:16Z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