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Steam Game Sales &amp; Trends Analysis</w:t>
      </w:r>
    </w:p>
    <w:p>
      <w:pPr>
        <w:spacing w:after="400"/>
      </w:pPr>
      <w:r>
        <w:rPr>
          <w:i/>
          <w:iCs/>
          <w:color w:val="666666"/>
          <w:sz w:val="24"/>
          <w:szCs w:val="24"/>
        </w:rPr>
        <w:t xml:space="preserve">Process Documentation &amp; Findings</w:t>
      </w:r>
    </w:p>
    <w:p>
      <w:pPr>
        <w:pBdr>
          <w:bottom w:val="single" w:color="333333" w:sz="10"/>
        </w:pBdr>
        <w:spacing w:after="200" w:before="200"/>
      </w:pPr>
      <w:r>
        <w:rPr>
          <w:b/>
          <w:bCs/>
          <w:sz w:val="28"/>
          <w:szCs w:val="28"/>
        </w:rPr>
        <w:t xml:space="preserve">Executive Summary</w:t>
      </w:r>
    </w:p>
    <w:p>
      <w:pPr>
        <w:spacing w:after="200"/>
      </w:pPr>
      <w:r>
        <w:rPr>
          <w:i/>
          <w:iCs/>
          <w:sz w:val="22"/>
          <w:szCs w:val="22"/>
        </w:rPr>
        <w:t xml:space="preserve">This analysis examines 34,154 Steam games released from 2023 onward, exploring how price, reviews, genre, and engagement relate to a game's estimated ownership. All relationships described below are correlational, not causal — the data shows what tends to appear together, not what directly causes what.</w:t>
      </w:r>
    </w:p>
    <w:p>
      <w:pPr>
        <w:spacing w:after="200"/>
      </w:pPr>
      <w:r>
        <w:rPr>
          <w:sz w:val="22"/>
          <w:szCs w:val="22"/>
        </w:rPr>
        <w:t xml:space="preserve">The central finding is that no single factor reliably predicts a game's commercial success. Price alone doesn't predict ownership — the highest-selling games in this dataset appear at multiple price points ($22, $40, $60), not just the cheapest end. Review scores alone don't predict ownership either — plenty of well-reviewed games have small audiences. But the two do interact in an important way: virtually no game with very high ownership has poor reviews, suggesting strong reviews function as a floor that enables massive success, without being a guarantee of it on their own.</w:t>
      </w:r>
    </w:p>
    <w:p>
      <w:pPr>
        <w:spacing w:after="200"/>
      </w:pPr>
      <w:r>
        <w:rPr>
          <w:sz w:val="22"/>
          <w:szCs w:val="22"/>
        </w:rPr>
        <w:t xml:space="preserve">The single cleanest relationship in the dataset is between average playtime and review sentiment (Finding 5): games that hold players' attention for thousands of hours are, almost without exception, rated 85% or higher positive. At the genre level, Action, Indie, and Adventure dominate total ownership by volume (Finding 7), while Sports, RPG, and Racing command the highest average prices (Finding 1) — Indie in particular achieves outsized total reach despite a modest average price, reflecting a high-volume, lower-price strategy that outperforms higher-priced genres in aggregate.</w:t>
      </w:r>
    </w:p>
    <w:p>
      <w:pPr>
        <w:spacing w:after="300"/>
      </w:pPr>
      <w:r>
        <w:rPr>
          <w:sz w:val="22"/>
          <w:szCs w:val="22"/>
        </w:rPr>
        <w:t xml:space="preserve">Beyond the findings themselves, this project surfaced a genuine data quality issue worth highlighting: a pre-calculated review-percentage field in the source dataset was silently incorrect for roughly half of all games. This was caught by spot-checking individual titles against their raw review counts, not by trusting the field at face value — a reminder that ready-made columns in any dataset deserve verification before being relied upon, particularly when a result looks surprising.</w:t>
      </w:r>
    </w:p>
    <w:p>
      <w:pPr>
        <w:pBdr>
          <w:bottom w:val="single" w:color="999999" w:sz="6"/>
        </w:pBdr>
        <w:spacing w:after="200" w:before="200"/>
      </w:pPr>
      <w:r>
        <w:rPr>
          <w:b/>
          <w:bCs/>
          <w:sz w:val="26"/>
          <w:szCs w:val="26"/>
        </w:rPr>
        <w:t xml:space="preserve">Project Overview</w:t>
      </w:r>
    </w:p>
    <w:p>
      <w:pPr>
        <w:spacing w:after="300"/>
      </w:pPr>
      <w:r>
        <w:rPr>
          <w:sz w:val="22"/>
          <w:szCs w:val="22"/>
        </w:rPr>
        <w:t xml:space="preserve">This project analyzes a Kaggle dataset of Steam games (games_march2025_cleaned) to identify trends in pricing, genre popularity, review sentiment, and estimated ownership. The dataset was filtered to games released in 2023 or later, cleaned in SQLite, and visualized in Tableau Public. The goal is to answer practical questions like: does game quality correlate with commercial success, which genres dominate by ownership, and how does pricing relate to player engagement.</w:t>
      </w:r>
    </w:p>
    <w:p>
      <w:pPr>
        <w:pBdr>
          <w:bottom w:val="single" w:color="999999" w:sz="6"/>
        </w:pBdr>
        <w:spacing w:after="200" w:before="200"/>
      </w:pPr>
      <w:r>
        <w:rPr>
          <w:b/>
          <w:bCs/>
          <w:sz w:val="26"/>
          <w:szCs w:val="26"/>
        </w:rPr>
        <w:t xml:space="preserve">Tools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shd w:fill="2c2c2c" w:val="clear"/>
          </w:tcPr>
          <w:p>
            <w:r>
              <w:rPr>
                <w:b/>
                <w:bCs/>
                <w:color w:val="FFFFFF"/>
                <w:sz w:val="20"/>
                <w:szCs w:val="20"/>
              </w:rPr>
              <w:t xml:space="preserve">Tool</w:t>
            </w:r>
          </w:p>
        </w:tc>
        <w:tc>
          <w:tcPr>
            <w:tcW w:type="dxa" w:w="6240"/>
            <w:shd w:fill="2c2c2c" w:val="clear"/>
          </w:tcPr>
          <w:p>
            <w:r>
              <w:rPr>
                <w:b/>
                <w:bCs/>
                <w:color w:val="FFFFFF"/>
                <w:sz w:val="20"/>
                <w:szCs w:val="20"/>
              </w:rPr>
              <w:t xml:space="preserve">Purpose</w:t>
            </w:r>
          </w:p>
        </w:tc>
      </w:tr>
      <w:tr>
        <w:tc>
          <w:tcPr>
            <w:tcW w:type="dxa" w:w="3120"/>
          </w:tcPr>
          <w:p>
            <w:r>
              <w:rPr>
                <w:sz w:val="20"/>
                <w:szCs w:val="20"/>
              </w:rPr>
              <w:t xml:space="preserve">DB Browser for SQLite</w:t>
            </w:r>
          </w:p>
        </w:tc>
        <w:tc>
          <w:tcPr>
            <w:tcW w:type="dxa" w:w="6240"/>
          </w:tcPr>
          <w:p>
            <w:r>
              <w:rPr>
                <w:sz w:val="20"/>
                <w:szCs w:val="20"/>
              </w:rPr>
              <w:t xml:space="preserve">Importing the raw CSV, cleaning columns, filtering by date, and splitting multi-value fields (genres, categories, tags)</w:t>
            </w:r>
          </w:p>
        </w:tc>
      </w:tr>
      <w:tr>
        <w:tc>
          <w:tcPr>
            <w:tcW w:type="dxa" w:w="3120"/>
          </w:tcPr>
          <w:p>
            <w:r>
              <w:rPr>
                <w:sz w:val="20"/>
                <w:szCs w:val="20"/>
              </w:rPr>
              <w:t xml:space="preserve">SQL (SQLite dialect)</w:t>
            </w:r>
          </w:p>
        </w:tc>
        <w:tc>
          <w:tcPr>
            <w:tcW w:type="dxa" w:w="6240"/>
          </w:tcPr>
          <w:p>
            <w:r>
              <w:rPr>
                <w:sz w:val="20"/>
                <w:szCs w:val="20"/>
              </w:rPr>
              <w:t xml:space="preserve">CREATE TABLE, recursive CTEs for string-splitting, data type casting, aggregation</w:t>
            </w:r>
          </w:p>
        </w:tc>
      </w:tr>
      <w:tr>
        <w:tc>
          <w:tcPr>
            <w:tcW w:type="dxa" w:w="3120"/>
          </w:tcPr>
          <w:p>
            <w:r>
              <w:rPr>
                <w:sz w:val="20"/>
                <w:szCs w:val="20"/>
              </w:rPr>
              <w:t xml:space="preserve">Tableau Public</w:t>
            </w:r>
          </w:p>
        </w:tc>
        <w:tc>
          <w:tcPr>
            <w:tcW w:type="dxa" w:w="6240"/>
          </w:tcPr>
          <w:p>
            <w:r>
              <w:rPr>
                <w:sz w:val="20"/>
                <w:szCs w:val="20"/>
              </w:rPr>
              <w:t xml:space="preserve">Connecting multiple related tables, building visualizations, exploring correlations</w:t>
            </w:r>
          </w:p>
        </w:tc>
      </w:tr>
    </w:tbl>
    <w:p>
      <w:pPr>
        <w:spacing w:after="300"/>
      </w:pPr>
    </w:p>
    <w:p>
      <w:pPr>
        <w:pBdr>
          <w:bottom w:val="single" w:color="999999" w:sz="6"/>
        </w:pBdr>
        <w:spacing w:after="200" w:before="200"/>
      </w:pPr>
      <w:r>
        <w:rPr>
          <w:b/>
          <w:bCs/>
          <w:sz w:val="26"/>
          <w:szCs w:val="26"/>
        </w:rPr>
        <w:t xml:space="preserve">Step 1 — Import &amp; Initial Cleanup</w:t>
      </w:r>
    </w:p>
    <w:p>
      <w:pPr>
        <w:spacing w:after="200"/>
      </w:pPr>
      <w:r>
        <w:rPr>
          <w:sz w:val="22"/>
          <w:szCs w:val="22"/>
        </w:rPr>
        <w:t xml:space="preserve">The raw dataset (games_march2025_cleaned) contained 89,618 rows and 47 columns, including many fields with no analytical value — image URLs, support links, and long text descriptions. A new table, games_clean, was created using a SELECT query that kept only 24 columns relevant to sales and engagement analysis (price, genres, review counts, playtime, ownership estimates, etc.) and dropped the rest.</w:t>
      </w:r>
    </w:p>
    <w:p>
      <w:pPr>
        <w:pBdr>
          <w:bottom w:val="single" w:color="999999" w:sz="6"/>
        </w:pBdr>
        <w:spacing w:after="200" w:before="200"/>
      </w:pPr>
      <w:r>
        <w:rPr>
          <w:b/>
          <w:bCs/>
          <w:sz w:val="26"/>
          <w:szCs w:val="26"/>
        </w:rPr>
        <w:t xml:space="preserve">Step 2 — Filtering to 2023+</w:t>
      </w:r>
    </w:p>
    <w:p>
      <w:pPr>
        <w:spacing w:after="200"/>
      </w:pPr>
      <w:r>
        <w:rPr>
          <w:sz w:val="22"/>
          <w:szCs w:val="22"/>
        </w:rPr>
        <w:t xml:space="preserve">To keep the analysis focused on recent, currently relevant games, a new table (games_2023) was created by filtering games_clean to release_date &gt;= '2023-01-01'. This reduced the dataset from 89,618 to 34,590 rows.</w:t>
      </w:r>
    </w:p>
    <w:p>
      <w:pPr>
        <w:pBdr>
          <w:bottom w:val="single" w:color="999999" w:sz="6"/>
        </w:pBdr>
        <w:spacing w:after="200" w:before="200"/>
      </w:pPr>
      <w:r>
        <w:rPr>
          <w:b/>
          <w:bCs/>
          <w:sz w:val="26"/>
          <w:szCs w:val="26"/>
        </w:rPr>
        <w:t xml:space="preserve">Step 3 — Fixing the Ownership Field</w:t>
      </w:r>
    </w:p>
    <w:p>
      <w:pPr>
        <w:spacing w:after="200"/>
      </w:pPr>
      <w:r>
        <w:rPr>
          <w:sz w:val="22"/>
          <w:szCs w:val="22"/>
        </w:rPr>
        <w:t xml:space="preserve">The estimated_owners field came formatted as a text range (e.g. "50000000 - 100000000"), which isn't usable for sorting or averaging. A new numeric column, owners_estimate, was added by parsing the two numbers out of each range and taking their midpoint (e.g. that range becomes 75,000,000).</w:t>
      </w:r>
    </w:p>
    <w:p>
      <w:pPr>
        <w:pBdr>
          <w:bottom w:val="single" w:color="999999" w:sz="6"/>
        </w:pBdr>
        <w:spacing w:after="200" w:before="200"/>
      </w:pPr>
      <w:r>
        <w:rPr>
          <w:b/>
          <w:bCs/>
          <w:sz w:val="26"/>
          <w:szCs w:val="26"/>
        </w:rPr>
        <w:t xml:space="preserve">Step 4 — Splitting Multi-Value Fields</w:t>
      </w:r>
    </w:p>
    <w:p>
      <w:pPr>
        <w:spacing w:after="200"/>
      </w:pPr>
      <w:r>
        <w:rPr>
          <w:sz w:val="22"/>
          <w:szCs w:val="22"/>
        </w:rPr>
        <w:t xml:space="preserve">Three fields — genres, categories, and tags — stored multiple values per game as Python-style list or dictionary strings (e.g. ['Action', 'Adventure', 'RPG']). These can't be analyzed properly while multiple values are crammed into a single cell, since a game tagged with three genres would otherwise only be counted as one combined label instead of three separate ones.</w:t>
      </w:r>
    </w:p>
    <w:p>
      <w:pPr>
        <w:spacing w:after="200"/>
      </w:pPr>
      <w:r>
        <w:rPr>
          <w:sz w:val="22"/>
          <w:szCs w:val="22"/>
        </w:rPr>
        <w:t xml:space="preserve">The initial plan was to handle this splitting inside Tableau using its column-split and pivot tools. This worked for splitting the combined strings into separate columns, but the version of Tableau Public used for this project did not expose a Pivot option for text-file data sources — a limitation discovered partway through the process. Rather than force a workaround inside Tableau, the splitting was moved back into SQL, where it could be done more reliably.</w:t>
      </w:r>
    </w:p>
    <w:p>
      <w:pPr>
        <w:spacing w:after="150"/>
      </w:pPr>
      <w:r>
        <w:rPr>
          <w:sz w:val="22"/>
          <w:szCs w:val="22"/>
        </w:rPr>
        <w:t xml:space="preserve">Using a recursive SQL query (a technique that repeatedly processes a string until nothing is left to split), three new junction tables were created:</w:t>
      </w:r>
    </w:p>
    <w:p>
      <w:pPr>
        <w:pStyle w:val="ListParagraph"/>
        <w:numPr>
          <w:ilvl w:val="0"/>
          <w:numId w:val="2"/>
        </w:numPr>
      </w:pPr>
      <w:r>
        <w:rPr>
          <w:sz w:val="22"/>
          <w:szCs w:val="22"/>
        </w:rPr>
        <w:t xml:space="preserve">game_genres — 101,392 rows, one row per game-genre pair</w:t>
      </w:r>
    </w:p>
    <w:p>
      <w:pPr>
        <w:pStyle w:val="ListParagraph"/>
        <w:numPr>
          <w:ilvl w:val="0"/>
          <w:numId w:val="2"/>
        </w:numPr>
      </w:pPr>
      <w:r>
        <w:rPr>
          <w:sz w:val="22"/>
          <w:szCs w:val="22"/>
        </w:rPr>
        <w:t xml:space="preserve">game_categories — 131,630 rows, one row per game-category pair</w:t>
      </w:r>
    </w:p>
    <w:p>
      <w:pPr>
        <w:pStyle w:val="ListParagraph"/>
        <w:numPr>
          <w:ilvl w:val="0"/>
          <w:numId w:val="2"/>
        </w:numPr>
      </w:pPr>
      <w:r>
        <w:rPr>
          <w:sz w:val="22"/>
          <w:szCs w:val="22"/>
        </w:rPr>
        <w:t xml:space="preserve">game_tags — 392,401 rows, one row per game-tag pair, including each tag's community vote count</w:t>
      </w:r>
    </w:p>
    <w:p>
      <w:pPr>
        <w:spacing w:after="100"/>
      </w:pPr>
    </w:p>
    <w:p>
      <w:pPr>
        <w:pBdr>
          <w:bottom w:val="single" w:color="999999" w:sz="6"/>
        </w:pBdr>
        <w:spacing w:after="200" w:before="200"/>
      </w:pPr>
      <w:r>
        <w:rPr>
          <w:b/>
          <w:bCs/>
          <w:sz w:val="26"/>
          <w:szCs w:val="26"/>
        </w:rPr>
        <w:t xml:space="preserve">Step 5 — Separating Games from Non-Game Software</w:t>
      </w:r>
    </w:p>
    <w:p>
      <w:pPr>
        <w:spacing w:after="200"/>
      </w:pPr>
      <w:r>
        <w:rPr>
          <w:sz w:val="22"/>
          <w:szCs w:val="22"/>
        </w:rPr>
        <w:t xml:space="preserve">Early genre exploration revealed that the dataset included non-game software tools mixed in alongside actual games — genres like Accounting, Audio Production, Video Production, and Web Publishing don't describe games at all. These 436 entries were split out into a separate non_game_software table, leaving a clean games_only table (34,154 rows) for the main analysis. This keeps genre and price comparisons accurate and avoids skewing results with unrelated software products.</w:t>
      </w:r>
    </w:p>
    <w:p>
      <w:pPr>
        <w:pBdr>
          <w:bottom w:val="single" w:color="999999" w:sz="6"/>
        </w:pBdr>
        <w:spacing w:after="200" w:before="200"/>
      </w:pPr>
      <w:r>
        <w:rPr>
          <w:b/>
          <w:bCs/>
          <w:sz w:val="26"/>
          <w:szCs w:val="26"/>
        </w:rPr>
        <w:t xml:space="preserve">Step 6 — Removing Unrealistic Price Outliers</w:t>
      </w:r>
    </w:p>
    <w:p>
      <w:pPr>
        <w:spacing w:after="200"/>
      </w:pPr>
      <w:r>
        <w:rPr>
          <w:sz w:val="22"/>
          <w:szCs w:val="22"/>
        </w:rPr>
        <w:t xml:space="preserve">While building a price-vs-ownership scatter plot, three extreme price outliers appeared at $200, $500, and $1000 — prices well outside what a typical consumer game or software product costs. Rather than research each title individually, a general rule was applied: prices above $100 are not representative of typical consumer pricing for this category of product, and were treated as data anomalies rather than legitimate pricing. This threshold was documented as a judgment call rather than a definitively proven cutoff. A table, games_final, was created by filtering games_only to price &lt;= 100, and this became the primary table used for all subsequent Tableau visualizations.</w:t>
      </w:r>
    </w:p>
    <w:p>
      <w:pPr>
        <w:pBdr>
          <w:bottom w:val="single" w:color="999999" w:sz="6"/>
        </w:pBdr>
        <w:spacing w:after="200" w:before="200"/>
      </w:pPr>
      <w:r>
        <w:rPr>
          <w:b/>
          <w:bCs/>
          <w:sz w:val="26"/>
          <w:szCs w:val="26"/>
        </w:rPr>
        <w:t xml:space="preserve">Step 7 — Discovering and Correcting a Source Data Bug</w:t>
      </w:r>
    </w:p>
    <w:p>
      <w:pPr>
        <w:spacing w:after="200"/>
      </w:pPr>
      <w:r>
        <w:rPr>
          <w:sz w:val="22"/>
          <w:szCs w:val="22"/>
        </w:rPr>
        <w:t xml:space="preserve">While investigating an unexpectedly low average positive-review percentage in a genre comparison chart, closer inspection revealed that the source field pct_pos_total contained a placeholder value of -1 for roughly 17,178 games — about half the dataset. Initial hypotheses (insufficient review volume, a null-review convention) did not hold up: spot-checking specific titles like Animal Jam showed the game had 2,626 positive and 1,392 negative reviews on record, yet both pct_pos_total and the related num_reviews_total field incorrectly showed -1. This confirmed the issue was a data quality bug in the original dataset's pre-calculated fields, not an artifact of any cleaning performed in this project.</w:t>
      </w:r>
    </w:p>
    <w:p>
      <w:pPr>
        <w:spacing w:after="200"/>
      </w:pPr>
      <w:r>
        <w:rPr>
          <w:sz w:val="22"/>
          <w:szCs w:val="22"/>
        </w:rPr>
        <w:t xml:space="preserve">Since the underlying positive and negative review counts were confirmed reliable, a new calculated field, pct_positive_calc, was added by computing the percentage directly: positive / (positive + negative) × 100, with games having zero total reviews set to NULL rather than a misleading placeholder. This produced a realistic 0-100 range with an average of 80.1% across games with at least one review, replacing all further review-percentage analysis in this project.</w:t>
      </w:r>
    </w:p>
    <w:p>
      <w:pPr>
        <w:pBdr>
          <w:bottom w:val="single" w:color="999999" w:sz="6"/>
        </w:pBdr>
        <w:spacing w:after="200" w:before="200"/>
      </w:pPr>
      <w:r>
        <w:rPr>
          <w:b/>
          <w:bCs/>
          <w:sz w:val="26"/>
          <w:szCs w:val="26"/>
        </w:rPr>
        <w:t xml:space="preserve">Step 8 — Connecting Tables in Tableau</w:t>
      </w:r>
    </w:p>
    <w:p>
      <w:pPr>
        <w:spacing w:after="300"/>
      </w:pPr>
      <w:r>
        <w:rPr>
          <w:sz w:val="22"/>
          <w:szCs w:val="22"/>
        </w:rPr>
        <w:t xml:space="preserve">Tableau Public does not include a native SQLite connector, so each table was exported from DB Browser as a separate CSV file (games_final.csv, game_genres.csv, game_categories.csv, game_tags.csv) and imported individually. Tableau's relationship feature was then used to connect all three junction tables back to the main games_final table using appid as the shared key, in a hub-and-spoke structure, allowing genre, category, and tag data to be analyzed alongside pricing, reviews, and ownership figures.</w:t>
      </w:r>
    </w:p>
    <w:p>
      <w:pPr>
        <w:pBdr>
          <w:bottom w:val="single" w:color="333333" w:sz="10"/>
        </w:pBdr>
        <w:spacing w:after="200" w:before="300"/>
      </w:pPr>
      <w:r>
        <w:rPr>
          <w:b/>
          <w:bCs/>
          <w:sz w:val="28"/>
          <w:szCs w:val="28"/>
        </w:rPr>
        <w:t xml:space="preserve">Findings</w:t>
      </w:r>
    </w:p>
    <w:p>
      <w:pPr>
        <w:spacing w:after="150" w:before="200"/>
      </w:pPr>
      <w:r>
        <w:rPr>
          <w:b/>
          <w:bCs/>
          <w:sz w:val="24"/>
          <w:szCs w:val="24"/>
        </w:rPr>
        <w:t xml:space="preserve">Finding 1 — Average Price by Genre</w:t>
      </w:r>
    </w:p>
    <w:p>
      <w:pPr>
        <w:spacing w:after="150"/>
      </w:pPr>
      <w:r>
        <w:rPr>
          <w:sz w:val="22"/>
          <w:szCs w:val="22"/>
        </w:rPr>
        <w:t xml:space="preserve">Comparing average price across genres (games only, software and price outliers excluded) shows clear pricing tiers. Sports and RPG carry the highest average prices (~$8.50), followed closely by Racing (~$7). This is consistent with these genres typically offering longer, more content-heavy experiences, or licensed franchise content, that can justify a higher price point. On the low end, Free to Play sits at essentially $0 as expected, while Casual and Massively Multiplayer games average lower prices than most other paid genres — likely reflecting shorter play sessions for casual titles and free-to-play-with-microtransactions models common in the MMO space.</w:t>
      </w:r>
    </w:p>
    <w:p>
      <w:pPr>
        <w:spacing w:after="250"/>
      </w:pPr>
      <w:r>
        <w:rPr>
          <w:b/>
          <w:bCs/>
          <w:i/>
          <w:iCs/>
          <w:color w:val="555555"/>
          <w:sz w:val="20"/>
          <w:szCs w:val="20"/>
        </w:rPr>
        <w:t xml:space="preserve">Data note: </w:t>
      </w:r>
      <w:r>
        <w:rPr>
          <w:i/>
          <w:iCs/>
          <w:color w:val="555555"/>
          <w:sz w:val="20"/>
          <w:szCs w:val="20"/>
        </w:rPr>
        <w:t xml:space="preserve">Free to Play averages a small non-zero price (~$0.07) rather than exactly $0. Investigation traced this to 49 games carrying the Free to Play genre tag alongside a real, non-zero price, ranging up to $19.99. This likely reflects Steam's tagging system describing an associated feature (e.g. a free trial or a free-to-play multiplayer mode) rather than certifying the entire game is free — genre tags in this dataset describe associated attributes rather than strict, mutually exclusive categories, and were interpreted accordingly rather than treated as an error to correct.</w:t>
      </w:r>
    </w:p>
    <w:p>
      <w:pPr>
        <w:spacing w:after="150" w:before="200"/>
      </w:pPr>
      <w:r>
        <w:rPr>
          <w:b/>
          <w:bCs/>
          <w:sz w:val="24"/>
          <w:szCs w:val="24"/>
        </w:rPr>
        <w:t xml:space="preserve">Finding 2 — Metacritic Score vs. Estimated Owners</w:t>
      </w:r>
    </w:p>
    <w:p>
      <w:pPr>
        <w:spacing w:after="250"/>
      </w:pPr>
      <w:r>
        <w:rPr>
          <w:sz w:val="22"/>
          <w:szCs w:val="22"/>
        </w:rPr>
        <w:t xml:space="preserve">Plotting each game's Metacritic score against its estimated ownership reveals a significant data coverage issue: a large share of games in the dataset — including some with very high ownership (one outlier reaches roughly 75 million estimated owners) — have no Metacritic score at all, clustering at a score of 0. Among the games that do have a score, there is only a weak upward trend between score and ownership; high scores do not reliably predict high ownership, and several highly-owned titles never received a Metacritic score in the first place. This suggests Metacritic coverage skews toward higher-profile titles and is not a reliable variable for ownership analysis across the full market, particularly for indie and smaller titles.</w:t>
      </w:r>
    </w:p>
    <w:p>
      <w:pPr>
        <w:spacing w:after="150" w:before="200"/>
      </w:pPr>
      <w:r>
        <w:rPr>
          <w:b/>
          <w:bCs/>
          <w:sz w:val="24"/>
          <w:szCs w:val="24"/>
        </w:rPr>
        <w:t xml:space="preserve">Finding 3 — Player Review % vs. Estimated Owners</w:t>
      </w:r>
    </w:p>
    <w:p>
      <w:pPr>
        <w:spacing w:after="250"/>
      </w:pPr>
      <w:r>
        <w:rPr>
          <w:sz w:val="22"/>
          <w:szCs w:val="22"/>
        </w:rPr>
        <w:t xml:space="preserve">Using the corrected pct_positive_calc field (see Step 7), games are spread across the full 0-100% review range with much better coverage than Metacritic. The overall relationship remains weak: the majority of games, regardless of review percentage, sit at low ownership levels. However, a more nuanced pattern emerges among the handful of highest-ownership outliers (35M-75M+ estimated owners) — every one of them sits in the 50-97% positive review range, and none of the top performers have poor reviews. This suggests positive reviews may function as a necessary but not sufficient condition for very large-scale success: strong reviews alone don't guarantee a large player base, but reaching an exceptionally large player base without at least reasonably positive reviews appears uncommon in this dataset.</w:t>
      </w:r>
    </w:p>
    <w:p>
      <w:pPr>
        <w:spacing w:after="150" w:before="200"/>
      </w:pPr>
      <w:r>
        <w:rPr>
          <w:b/>
          <w:bCs/>
          <w:sz w:val="24"/>
          <w:szCs w:val="24"/>
        </w:rPr>
        <w:t xml:space="preserve">Finding 4 — Price vs. Estimated Owners</w:t>
      </w:r>
    </w:p>
    <w:p>
      <w:pPr>
        <w:spacing w:after="250"/>
      </w:pPr>
      <w:r>
        <w:rPr>
          <w:sz w:val="22"/>
          <w:szCs w:val="22"/>
        </w:rPr>
        <w:t xml:space="preserve">An initial version of this chart showed three extreme price outliers ($200, $500, $1000) with near-zero ownership, which distorted the scale and hid the real pattern among legitimate games. After excluding entries priced above $100 (see Step 6), the corrected chart shows a more interesting result than expected: the highest-ownership outliers (~75 million estimated owners) appear at three distinct price points — roughly $22, $40, and $60 — rather than clustering only at the cheapest end. There is no hard ceiling where high ownership stops; a handful of games priced as high as $90-100 still show meaningful ownership. The bulk of overall activity is concentrated under $30, but the presence of high-ownership hits across a range of price points suggests that price alone is not a strong predictor of a game's ability to reach a very large audience — factors like genre, reviews, or marketing likely play a larger role than price positioning by itself.</w:t>
      </w:r>
    </w:p>
    <w:p>
      <w:pPr>
        <w:spacing w:after="150" w:before="200"/>
      </w:pPr>
      <w:r>
        <w:rPr>
          <w:b/>
          <w:bCs/>
          <w:sz w:val="24"/>
          <w:szCs w:val="24"/>
        </w:rPr>
        <w:t xml:space="preserve">Finding 5 — Average Playtime vs. Review %</w:t>
      </w:r>
    </w:p>
    <w:p>
      <w:pPr>
        <w:spacing w:after="250"/>
      </w:pPr>
      <w:r>
        <w:rPr>
          <w:sz w:val="22"/>
          <w:szCs w:val="22"/>
        </w:rPr>
        <w:t xml:space="preserve">This is one of the clearest relationships found in the dataset. While most games cluster at low average playtime with review scores scattered across the full range, games with very high average playtime (8,000-20,000+ hours) sit almost universally in the 85-97% positive range. No game with extremely high sustained playtime has a poor review score. This suggests that games capable of holding player attention for very long periods are, unsurprisingly, also the games players rate most positively — long-term engagement and satisfaction move together at the high end, even though playtime alone doesn't predict review score at lower levels.</w:t>
      </w:r>
    </w:p>
    <w:p>
      <w:pPr>
        <w:spacing w:after="150" w:before="200"/>
      </w:pPr>
      <w:r>
        <w:rPr>
          <w:b/>
          <w:bCs/>
          <w:sz w:val="24"/>
          <w:szCs w:val="24"/>
        </w:rPr>
        <w:t xml:space="preserve">Finding 6 — Achievements vs. Average Playtime</w:t>
      </w:r>
    </w:p>
    <w:p>
      <w:pPr>
        <w:spacing w:after="250"/>
      </w:pPr>
      <w:r>
        <w:rPr>
          <w:sz w:val="22"/>
          <w:szCs w:val="22"/>
        </w:rPr>
        <w:t xml:space="preserve">Somewhat counterintuitively, games with the highest achievement counts (1,000+) show near-zero average playtime, while the games with the highest average playtime (18,000-20,000+ hours) have relatively modest achievement counts (under 100). This suggests achievement count is not a meaningful driver of long-term engagement in this dataset — some games with very large achievement lists may be using achievement quantity as a design gimmick rather than a genuine engagement mechanic, while the games that actually retain players long-term rely on other factors entirely.</w:t>
      </w:r>
    </w:p>
    <w:p>
      <w:pPr>
        <w:spacing w:after="150" w:before="200"/>
      </w:pPr>
      <w:r>
        <w:rPr>
          <w:b/>
          <w:bCs/>
          <w:sz w:val="24"/>
          <w:szCs w:val="24"/>
        </w:rPr>
        <w:t xml:space="preserve">Finding 7 — Total Estimated Ownership by Genre</w:t>
      </w:r>
    </w:p>
    <w:p>
      <w:pPr>
        <w:spacing w:after="250"/>
      </w:pPr>
      <w:r>
        <w:rPr>
          <w:sz w:val="22"/>
          <w:szCs w:val="22"/>
        </w:rPr>
        <w:t xml:space="preserve">Looking at total (not average) estimated ownership by genre shows a very different picture than the price-by-genre comparison. Action dominates by a wide margin (~800M combined estimated owners), with Indie and Adventure close behind (~700M each), then RPG (~550M). Notably, Indie punches far above its weight here relative to its modest average price point from Finding 1 — high sales volume at a lower average price point compensates for, and even exceeds, the total ownership scale of higher-priced genres like Sports and Racing, which sit near the bottom of this ranking despite commanding some of the highest average prices.</w:t>
      </w:r>
    </w:p>
    <w:p>
      <w:pPr>
        <w:spacing w:after="150" w:before="200"/>
      </w:pPr>
      <w:r>
        <w:rPr>
          <w:b/>
          <w:bCs/>
          <w:sz w:val="24"/>
          <w:szCs w:val="24"/>
        </w:rPr>
        <w:t xml:space="preserve">Finding 8 — Average Review % by Genre</w:t>
      </w:r>
    </w:p>
    <w:p>
      <w:pPr>
        <w:spacing w:after="250"/>
      </w:pPr>
      <w:r>
        <w:rPr>
          <w:sz w:val="22"/>
          <w:szCs w:val="22"/>
        </w:rPr>
        <w:t xml:space="preserve">Using the corrected pct_positive_calc field, most genres cluster tightly in a realistic 75-85% average positive review range, suggesting genre alone has only a modest effect on how positively a game is typically received. The clear exception is Massively Multiplayer, which sits noticeably lower at roughly 65% — a meaningfully larger gap than any other genre shows from the pack. This is a genuinely interesting standalone finding: MMO titles may be more prone to lower review sentiment due to live-service pain points like server stability, balance changes, or monetization complaints that single-player and smaller multiplayer games are less exposed to.</w:t>
      </w:r>
    </w:p>
    <w:p>
      <w:pPr>
        <w:spacing w:after="150" w:before="200"/>
      </w:pPr>
      <w:r>
        <w:rPr>
          <w:b/>
          <w:bCs/>
          <w:sz w:val="24"/>
          <w:szCs w:val="24"/>
        </w:rPr>
        <w:t xml:space="preserve">Finding 9 — Discount vs. Estimated Owners</w:t>
      </w:r>
    </w:p>
    <w:p>
      <w:pPr>
        <w:spacing w:after="250"/>
      </w:pPr>
      <w:r>
        <w:rPr>
          <w:sz w:val="22"/>
          <w:szCs w:val="22"/>
        </w:rPr>
        <w:t xml:space="preserve">The highest-ownership outliers (75M and 35M estimated owners) sit almost entirely at 0% discount, suggesting the biggest commercial hits in this dataset generally are not being discounted. This points toward discounting functioning more as a tool to boost sales on already-underperforming titles rather than something that drives games to reach massive ownership scale — the causal direction likely runs from popularity to pricing strategy, not the other way around.</w:t>
      </w:r>
    </w:p>
    <w:p>
      <w:pPr>
        <w:spacing w:after="150" w:before="200"/>
      </w:pPr>
      <w:r>
        <w:rPr>
          <w:b/>
          <w:bCs/>
          <w:sz w:val="24"/>
          <w:szCs w:val="24"/>
        </w:rPr>
        <w:t xml:space="preserve">Finding 10 — Peak Concurrent Users vs. Estimated Owners</w:t>
      </w:r>
    </w:p>
    <w:p>
      <w:pPr>
        <w:spacing w:after="250"/>
      </w:pPr>
      <w:r>
        <w:rPr>
          <w:sz w:val="22"/>
          <w:szCs w:val="22"/>
        </w:rPr>
        <w:t xml:space="preserve">Peak concurrent user counts mostly track together with estimated ownership as expected — more total owners generally corresponds to more players online at once. One notable exception stands out: a title with an unusually high peak of roughly 700K concurrent users but comparatively modest estimated ownership, suggesting an extremely concentrated, highly active player community relative to its overall audience size. This kind of outlier is worth flagging as an interesting individual case rather than a broader pattern, since the vast majority of games in the dataset do not show this kind of divergence between ownership scale and concurrent engagement.</w:t>
      </w:r>
    </w:p>
    <w:p>
      <w:pPr>
        <w:pBdr>
          <w:bottom w:val="single" w:color="999999" w:sz="6"/>
        </w:pBdr>
        <w:spacing w:after="200" w:before="300"/>
      </w:pPr>
      <w:r>
        <w:rPr>
          <w:b/>
          <w:bCs/>
          <w:sz w:val="26"/>
          <w:szCs w:val="26"/>
        </w:rPr>
        <w:t xml:space="preserve">A Note on Process</w:t>
      </w:r>
    </w:p>
    <w:p>
      <w:pPr>
        <w:spacing w:after="200"/>
      </w:pPr>
      <w:r>
        <w:rPr>
          <w:sz w:val="22"/>
          <w:szCs w:val="22"/>
        </w:rPr>
        <w:t xml:space="preserve">This project intentionally documents the detours, not just the final result. The Tableau pivot limitation is a good example of a common real-world data analysis situation: a planned approach doesn't work as expected in one tool, and the right move is to solve the problem in whichever tool actually handles it reliably, rather than forcing a workaround. Discovering non-game software mixed into the genre data, a handful of unrealistic price outliers, and — most significantly — a genuine bug in the source dataset's pre-calculated review percentage field, all led to additional investigation and cleaning steps rather than letting them silently skew the final results. The review percentage bug in particular is a useful reminder that pre-calculated fields in any dataset should be spot-checked against their underlying raw values before being trusted, especially when a result looks surprising, rather than assumed to be correct simply because they exist as a ready-made column.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2026-09-05T19:52:10.364Z</dcterms:created>
  <dcterms:modified xsi:type="dcterms:W3CDTF">2026-09-05T19:52:10.379Z</dcterms:modified>
</cp:coreProperties>
</file>

<file path=docProps/custom.xml><?xml version="1.0" encoding="utf-8"?>
<Properties xmlns="http://schemas.openxmlformats.org/officeDocument/2006/custom-properties" xmlns:vt="http://schemas.openxmlformats.org/officeDocument/2006/docPropsVTypes"/>
</file>