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条路由</w:t>
            </w:r>
            <w:r>
              <w:t>（用户端 + 管理端 4 页签 + 视频分析）·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个脚本 · 464 项断言 · 23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数据采集与清洗闭环、可复现的样本外模型评估、20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20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（18 个页面文件 / 20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23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23 张</w:t>
            </w:r>
            <w:r>
              <w:t xml:space="preserve">（01-登录 … 23-视频分析），由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自动化自检（20 个脚本 / 464 项断言 / 23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20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verify_vision.py</w:t>
            </w:r>
          </w:p>
        </w:tc>
        <w:tc>
          <w:tcPr>
            <w:tcW w:type="dxa" w:w="2880"/>
          </w:tcPr>
          <w:p>
            <w:r/>
            <w:r>
              <w:t>视觉模块（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）：路径与默认参数、片段探测、轨迹 JSON/gzip 往返、中文路径改道、metrics 各档数值与五条判定、detector 结构与缺依赖报错、预标注 YOLO txt 归一化与 ROI 过滤、球场标定与米制统计（距离/速度/控球）、抓取脚本的文件名与时间解析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verify_vision_web.py</w:t>
            </w:r>
          </w:p>
        </w:tc>
        <w:tc>
          <w:tcPr>
            <w:tcW w:type="dxa" w:w="2880"/>
          </w:tcPr>
          <w:p>
            <w:r/>
            <w:r>
              <w:t>视觉 Web 接口：401 闸门、概览口径、上传格式/空文件拒绝、排队与重复排队 409、参数越界 400、进度、媒体流 token、取消、排队中删除 409（2.7 KB 真 mp4 当样本，不需要 torch）</w:t>
            </w:r>
          </w:p>
        </w:tc>
        <w:tc>
          <w:tcPr>
            <w:tcW w:type="dxa" w:w="2880"/>
          </w:tcPr>
          <w:p>
            <w:r/>
            <w:r>
              <w:t>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23 张交付截图</w:t>
            </w:r>
          </w:p>
        </w:tc>
        <w:tc>
          <w:tcPr>
            <w:tcW w:type="dxa" w:w="2880"/>
          </w:tcPr>
          <w:p>
            <w:r/>
            <w:r>
              <w:t>23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464 项断言</w:t>
      </w:r>
      <w:r>
        <w:t>（20+30+17+30+10+23+37+17+41+76+18+56+50+39），全部通过（其中视觉模块那 76 项要在装了 cv2 的解释器里跑，仍留本机；接口那 39 项已进 CI）；界面质量统一断言「0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188 项</w:t>
            </w:r>
            <w:r>
              <w:t xml:space="preserve">），合计 </w:t>
            </w:r>
            <w:r>
              <w:rPr>
                <w:b/>
              </w:rPr>
              <w:t>244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常驻；上线后管理员账号</w:t>
            </w:r>
            <w:r>
              <w:rPr>
                <w:b/>
              </w:rPr>
              <w:t>改名 + 改密</w:t>
            </w:r>
            <w:r>
              <w:t xml:space="preserve">（复验默认账号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与默认口令登录均为 401，</w:t>
            </w:r>
            <w:r>
              <w:rPr>
                <w:rFonts w:ascii="Consolas" w:hAnsi="Consolas"/>
                <w:color w:val="B03060"/>
              </w:rPr>
              <w:t>viewer</w:t>
            </w:r>
            <w:r>
              <w:t xml:space="preserve"> 等普通账号不受影响）。如实边界：HTTP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20 脚本 / 464 断言 / 23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  <w:tr>
        <w:tc>
          <w:tcPr>
            <w:tcW w:type="dxa" w:w="4320"/>
          </w:tcPr>
          <w:p>
            <w:r/>
            <w:r>
              <w:t>视觉模块（毕设）的边界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src/vision/</w:t>
            </w:r>
            <w:r>
              <w:t>（YOLOv8 检测跟踪）已接入 Web（</w:t>
            </w:r>
            <w:r>
              <w:rPr>
                <w:rFonts w:ascii="Consolas" w:hAnsi="Consolas"/>
                <w:color w:val="B03060"/>
              </w:rPr>
              <w:t>/vision</w:t>
            </w:r>
            <w:r>
              <w:t xml:space="preserve"> 页 + 12 个接口 + 独立处理进程），并在真实业余比赛片段（30 s / 900 帧 / 1280×720）上跑通：34.26 帧/秒、11.27 人/帧、唯一 ID 123、碎裂 7.69、球覆盖 11.89%。但</w:t>
            </w:r>
            <w:r>
              <w:rPr>
                <w:b/>
              </w:rPr>
              <w:t>没有人工标注真值，因此没有 mAP / 召回率</w:t>
            </w:r>
            <w:r>
              <w:t xml:space="preserve">——现有指标只证明管线通；推理只能在本机 </w:t>
            </w:r>
            <w:r>
              <w:rPr>
                <w:rFonts w:ascii="Consolas" w:hAnsi="Consolas"/>
                <w:color w:val="B03060"/>
              </w:rPr>
              <w:t>.venv-vision</w:t>
            </w:r>
            <w:r>
              <w:t xml:space="preserve"> 里跑（线上 2 GiB 无 GPU，网页只排队与展示）；单机位业余素材的 ID 碎裂 7.69 远未到可用水平，是下一步微调要解决的问题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全套自检（464 项断言；视觉那 76 项需装 cv2 或 .venv-vision）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