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So You Want to Meditate?</w:t>
      </w:r>
    </w:p>
    <w:p>
      <w:pPr>
        <w:spacing w:after="260"/>
      </w:pPr>
      <w:r>
        <w:rPr>
          <w:rFonts w:ascii="Calibri" w:cs="Calibri" w:eastAsia="Calibri" w:hAnsi="Calibri"/>
          <w:color w:val="666666"/>
          <w:sz w:val="24"/>
          <w:szCs w:val="24"/>
        </w:rPr>
        <w:t xml:space="preserve">Notes from the Chinese Translation</w:t>
      </w:r>
    </w:p>
    <w:p>
      <w:pPr>
        <w:spacing w:after="160"/>
      </w:pPr>
      <w:r>
        <w:rPr>
          <w:rFonts w:ascii="Calibri" w:cs="Calibri" w:eastAsia="Calibri" w:hAnsi="Calibri"/>
          <w:sz w:val="20"/>
          <w:szCs w:val="20"/>
        </w:rPr>
        <w:t xml:space="preserve">Dear Richard,</w:t>
      </w:r>
    </w:p>
    <w:p>
      <w:pPr>
        <w:spacing w:after="160"/>
      </w:pPr>
      <w:r>
        <w:rPr>
          <w:rFonts w:ascii="Calibri" w:cs="Calibri" w:eastAsia="Calibri" w:hAnsi="Calibri"/>
          <w:sz w:val="20"/>
          <w:szCs w:val="20"/>
        </w:rPr>
        <w:t xml:space="preserve">Translating the book into Chinese meant reading every sentence closely, and a few things turned up that look like slips rather than choices. They fall into two groups. The first group touches scripture citations and a handful of facts — these are your call, since changing them affects what the passage argues. The second is plain copy-editing.</w:t>
      </w:r>
    </w:p>
    <w:p>
      <w:pPr>
        <w:spacing w:after="300"/>
      </w:pPr>
      <w:r>
        <w:rPr>
          <w:rFonts w:ascii="Calibri" w:cs="Calibri" w:eastAsia="Calibri" w:hAnsi="Calibri"/>
          <w:sz w:val="20"/>
          <w:szCs w:val="20"/>
        </w:rPr>
        <w:t xml:space="preserve">Page numbers follow your own Table of Contents (the section’s starting page); the paragraph number counts from that section’s heading. Nothing here has been changed in the Chinese edition — it follows your text as written.</w:t>
      </w:r>
    </w:p>
    <w:p>
      <w:pPr>
        <w:spacing w:after="160" w:before="120"/>
      </w:pPr>
      <w:r>
        <w:rPr>
          <w:rFonts w:ascii="Calibri" w:cs="Calibri" w:eastAsia="Calibri" w:hAnsi="Calibri"/>
          <w:b/>
          <w:bCs/>
          <w:sz w:val="26"/>
          <w:szCs w:val="26"/>
        </w:rPr>
        <w:t xml:space="preserve">Part A — Citations and facts (your call)</w:t>
      </w:r>
    </w:p>
    <w:p>
      <w:pPr>
        <w:spacing w:after="50" w:before="180"/>
      </w:pPr>
      <w:r>
        <w:rPr>
          <w:rFonts w:ascii="Calibri" w:cs="Calibri" w:eastAsia="Calibri" w:hAnsi="Calibri"/>
          <w:b/>
          <w:bCs/>
          <w:sz w:val="20"/>
          <w:szCs w:val="20"/>
        </w:rPr>
        <w:t xml:space="preserve">1. </w:t>
      </w:r>
      <w:r>
        <w:rPr>
          <w:rFonts w:ascii="Calibri" w:cs="Calibri" w:eastAsia="Calibri" w:hAnsi="Calibri"/>
          <w:b/>
          <w:bCs/>
          <w:sz w:val="20"/>
          <w:szCs w:val="20"/>
        </w:rPr>
        <w:t xml:space="preserve">p.117, ¶1</w:t>
      </w:r>
      <w:r>
        <w:rPr>
          <w:rFonts w:ascii="Calibri" w:cs="Calibri" w:eastAsia="Calibri" w:hAnsi="Calibri"/>
          <w:i/>
          <w:iCs/>
          <w:color w:val="666666"/>
          <w:sz w:val="19"/>
          <w:szCs w:val="19"/>
        </w:rPr>
        <w:t xml:space="preserve">  ·  Being Still</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“from God himself in the early part of the Bible”</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The verse quoted next — "In the Beginning was the Word…" — is John 1:1, which opens the Gospel of John in the New Testament, not an early book of the Bible. It is also the evangelist’s prologue (the narrator’s words), not God speaking. The phrasing may be a slip for Genesis 1:1 ("In the beginning God created the heaven and the earth"), which is the Bible’s opening line and does read similarly in English.</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Consider: "…and from the opening of John’s Gospel, where we read: ‘In the beginning was the Word…’". The quotation itself is accurate.</w:t>
      </w:r>
    </w:p>
    <w:p>
      <w:pPr>
        <w:spacing w:after="50" w:before="180"/>
      </w:pPr>
      <w:r>
        <w:rPr>
          <w:rFonts w:ascii="Calibri" w:cs="Calibri" w:eastAsia="Calibri" w:hAnsi="Calibri"/>
          <w:b/>
          <w:bCs/>
          <w:sz w:val="20"/>
          <w:szCs w:val="20"/>
        </w:rPr>
        <w:t xml:space="preserve">2. </w:t>
      </w:r>
      <w:r>
        <w:rPr>
          <w:rFonts w:ascii="Calibri" w:cs="Calibri" w:eastAsia="Calibri" w:hAnsi="Calibri"/>
          <w:b/>
          <w:bCs/>
          <w:sz w:val="20"/>
          <w:szCs w:val="20"/>
        </w:rPr>
        <w:t xml:space="preserve">p.117, ¶6</w:t>
      </w:r>
      <w:r>
        <w:rPr>
          <w:rFonts w:ascii="Calibri" w:cs="Calibri" w:eastAsia="Calibri" w:hAnsi="Calibri"/>
          <w:i/>
          <w:iCs/>
          <w:color w:val="666666"/>
          <w:sz w:val="19"/>
          <w:szCs w:val="19"/>
        </w:rPr>
        <w:t xml:space="preserve">  ·  Being Still</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“is a Psalm of David”</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"Be still and know that I am God" is Psalm 46:10, and Psalm 46 carries the superscription "For the sons of Korah" — it is not among the Psalms of David.</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Either drop the attribution ("is from the Psalms") or cite it as Psalm 46:10.</w:t>
      </w:r>
    </w:p>
    <w:p>
      <w:pPr>
        <w:spacing w:after="50" w:before="180"/>
      </w:pPr>
      <w:r>
        <w:rPr>
          <w:rFonts w:ascii="Calibri" w:cs="Calibri" w:eastAsia="Calibri" w:hAnsi="Calibri"/>
          <w:b/>
          <w:bCs/>
          <w:sz w:val="20"/>
          <w:szCs w:val="20"/>
        </w:rPr>
        <w:t xml:space="preserve">3. </w:t>
      </w:r>
      <w:r>
        <w:rPr>
          <w:rFonts w:ascii="Calibri" w:cs="Calibri" w:eastAsia="Calibri" w:hAnsi="Calibri"/>
          <w:b/>
          <w:bCs/>
          <w:sz w:val="20"/>
          <w:szCs w:val="20"/>
        </w:rPr>
        <w:t xml:space="preserve">p.103, ¶19 (also p.128 and the Appendix)</w:t>
      </w:r>
      <w:r>
        <w:rPr>
          <w:rFonts w:ascii="Calibri" w:cs="Calibri" w:eastAsia="Calibri" w:hAnsi="Calibri"/>
          <w:i/>
          <w:iCs/>
          <w:color w:val="666666"/>
          <w:sz w:val="19"/>
          <w:szCs w:val="19"/>
        </w:rPr>
        <w:t xml:space="preserve">  ·  Tantra / Compassion / Appendix</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“the Kingdom of heaven is within”</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Quoted three times as Christ’s words. The saying in the Gospels is Luke 17:21, "the kingdom of God is within you" — "kingdom of heaven" is Matthew’s term and Matthew never pairs it with "within." Worth noting too that the Greek (entos hymôn) is disputed: KJV reads "within you," while NIV/ESV/NRSV read "in your midst" or "among you," partly because Jesus is answering the Pharisees at that point. Readers who look the line up may not find it as quoted.</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Either quote Luke 17:21 as "the kingdom of God is within you," or keep your phrasing but present it as a paraphrase rather than a quotation.</w:t>
      </w:r>
    </w:p>
    <w:p>
      <w:pPr>
        <w:spacing w:after="50" w:before="180"/>
      </w:pPr>
      <w:r>
        <w:rPr>
          <w:rFonts w:ascii="Calibri" w:cs="Calibri" w:eastAsia="Calibri" w:hAnsi="Calibri"/>
          <w:b/>
          <w:bCs/>
          <w:sz w:val="20"/>
          <w:szCs w:val="20"/>
        </w:rPr>
        <w:t xml:space="preserve">4. </w:t>
      </w:r>
      <w:r>
        <w:rPr>
          <w:rFonts w:ascii="Calibri" w:cs="Calibri" w:eastAsia="Calibri" w:hAnsi="Calibri"/>
          <w:b/>
          <w:bCs/>
          <w:sz w:val="20"/>
          <w:szCs w:val="20"/>
        </w:rPr>
        <w:t xml:space="preserve">p.73, ¶36</w:t>
      </w:r>
      <w:r>
        <w:rPr>
          <w:rFonts w:ascii="Calibri" w:cs="Calibri" w:eastAsia="Calibri" w:hAnsi="Calibri"/>
          <w:i/>
          <w:iCs/>
          <w:color w:val="666666"/>
          <w:sz w:val="19"/>
          <w:szCs w:val="19"/>
        </w:rPr>
        <w:t xml:space="preserve">  ·  Understanding Materialism</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“camel to pass through a keyhole”</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The saying (Matthew 19:24 and parallels) is "the eye of a needle," not a keyhole. The following sentence then builds on the keyhole image.</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"eye of a needle" — the sentence after it would need a small adjustment to match.</w:t>
      </w:r>
    </w:p>
    <w:p>
      <w:pPr>
        <w:spacing w:after="50" w:before="180"/>
      </w:pPr>
      <w:r>
        <w:rPr>
          <w:rFonts w:ascii="Calibri" w:cs="Calibri" w:eastAsia="Calibri" w:hAnsi="Calibri"/>
          <w:b/>
          <w:bCs/>
          <w:sz w:val="20"/>
          <w:szCs w:val="20"/>
        </w:rPr>
        <w:t xml:space="preserve">5. </w:t>
      </w:r>
      <w:r>
        <w:rPr>
          <w:rFonts w:ascii="Calibri" w:cs="Calibri" w:eastAsia="Calibri" w:hAnsi="Calibri"/>
          <w:b/>
          <w:bCs/>
          <w:sz w:val="20"/>
          <w:szCs w:val="20"/>
        </w:rPr>
        <w:t xml:space="preserve">p.109, ¶1</w:t>
      </w:r>
      <w:r>
        <w:rPr>
          <w:rFonts w:ascii="Calibri" w:cs="Calibri" w:eastAsia="Calibri" w:hAnsi="Calibri"/>
          <w:i/>
          <w:iCs/>
          <w:color w:val="666666"/>
          <w:sz w:val="19"/>
          <w:szCs w:val="19"/>
        </w:rPr>
        <w:t xml:space="preserve">  ·  Language and Ambiguity</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“mid-eighteenth”</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Gottlob Frege lived 1848–1925; his work on sense and reference dates to the late nineteenth century, not the mid-eighteenth.</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"late nineteenth century"</w:t>
      </w:r>
    </w:p>
    <w:p>
      <w:pPr>
        <w:spacing w:after="50" w:before="180"/>
      </w:pPr>
      <w:r>
        <w:rPr>
          <w:rFonts w:ascii="Calibri" w:cs="Calibri" w:eastAsia="Calibri" w:hAnsi="Calibri"/>
          <w:b/>
          <w:bCs/>
          <w:sz w:val="20"/>
          <w:szCs w:val="20"/>
        </w:rPr>
        <w:t xml:space="preserve">6. </w:t>
      </w:r>
      <w:r>
        <w:rPr>
          <w:rFonts w:ascii="Calibri" w:cs="Calibri" w:eastAsia="Calibri" w:hAnsi="Calibri"/>
          <w:b/>
          <w:bCs/>
          <w:sz w:val="20"/>
          <w:szCs w:val="20"/>
        </w:rPr>
        <w:t xml:space="preserve">p.57, ¶4</w:t>
      </w:r>
      <w:r>
        <w:rPr>
          <w:rFonts w:ascii="Calibri" w:cs="Calibri" w:eastAsia="Calibri" w:hAnsi="Calibri"/>
          <w:i/>
          <w:iCs/>
          <w:color w:val="666666"/>
          <w:sz w:val="19"/>
          <w:szCs w:val="19"/>
        </w:rPr>
        <w:t xml:space="preserve">  ·  Giving</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“revered Indian goddess”</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Mata Amritanandamayi (Amma) of Amritapuri is a living teacher, widely revered but not described as a goddess — devotees may read this as an error.</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E.g. "a much-revered Indian spiritual teacher."</w:t>
      </w:r>
    </w:p>
    <w:p>
      <w:pPr>
        <w:spacing w:after="50" w:before="180"/>
      </w:pPr>
      <w:r>
        <w:rPr>
          <w:rFonts w:ascii="Calibri" w:cs="Calibri" w:eastAsia="Calibri" w:hAnsi="Calibri"/>
          <w:b/>
          <w:bCs/>
          <w:sz w:val="20"/>
          <w:szCs w:val="20"/>
        </w:rPr>
        <w:t xml:space="preserve">7. </w:t>
      </w:r>
      <w:r>
        <w:rPr>
          <w:rFonts w:ascii="Calibri" w:cs="Calibri" w:eastAsia="Calibri" w:hAnsi="Calibri"/>
          <w:b/>
          <w:bCs/>
          <w:sz w:val="20"/>
          <w:szCs w:val="20"/>
        </w:rPr>
        <w:t xml:space="preserve">Appendix, ¶115</w:t>
      </w:r>
      <w:r>
        <w:rPr>
          <w:rFonts w:ascii="Calibri" w:cs="Calibri" w:eastAsia="Calibri" w:hAnsi="Calibri"/>
          <w:i/>
          <w:iCs/>
          <w:color w:val="666666"/>
          <w:sz w:val="19"/>
          <w:szCs w:val="19"/>
        </w:rPr>
        <w:t xml:space="preserve">  ·  Natural Born Meditators II</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“Indonesia”</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Atisha’s twelve-year voyage was to Suvarnadvipa — the "Golden Isle," traditionally identified with Sumatra. "Indonesia" is a modern national name that did not exist then; some readers will notice the anachronism.</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E.g. "to Suvarnadvipa, the Golden Isle (Sumatra)."</w:t>
      </w:r>
    </w:p>
    <w:p>
      <w:pPr>
        <w:spacing w:after="50" w:before="180"/>
      </w:pPr>
      <w:r>
        <w:rPr>
          <w:rFonts w:ascii="Calibri" w:cs="Calibri" w:eastAsia="Calibri" w:hAnsi="Calibri"/>
          <w:b/>
          <w:bCs/>
          <w:sz w:val="20"/>
          <w:szCs w:val="20"/>
        </w:rPr>
        <w:t xml:space="preserve">8. </w:t>
      </w:r>
      <w:r>
        <w:rPr>
          <w:rFonts w:ascii="Calibri" w:cs="Calibri" w:eastAsia="Calibri" w:hAnsi="Calibri"/>
          <w:b/>
          <w:bCs/>
          <w:sz w:val="20"/>
          <w:szCs w:val="20"/>
        </w:rPr>
        <w:t xml:space="preserve">p.57, ¶4</w:t>
      </w:r>
      <w:r>
        <w:rPr>
          <w:rFonts w:ascii="Calibri" w:cs="Calibri" w:eastAsia="Calibri" w:hAnsi="Calibri"/>
          <w:i/>
          <w:iCs/>
          <w:color w:val="666666"/>
          <w:sz w:val="19"/>
          <w:szCs w:val="19"/>
        </w:rPr>
        <w:t xml:space="preserve">  ·  Giving</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“Gottenstein”</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We could not verify the claim that he invented the first home security system; if it is from memory it may be worth a check before print.</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Verify, or soften the claim.</w:t>
      </w:r>
    </w:p>
    <w:p>
      <w:pPr>
        <w:spacing w:after="50" w:before="180"/>
      </w:pPr>
      <w:r>
        <w:rPr>
          <w:rFonts w:ascii="Calibri" w:cs="Calibri" w:eastAsia="Calibri" w:hAnsi="Calibri"/>
          <w:b/>
          <w:bCs/>
          <w:sz w:val="20"/>
          <w:szCs w:val="20"/>
        </w:rPr>
        <w:t xml:space="preserve">9. </w:t>
      </w:r>
      <w:r>
        <w:rPr>
          <w:rFonts w:ascii="Calibri" w:cs="Calibri" w:eastAsia="Calibri" w:hAnsi="Calibri"/>
          <w:b/>
          <w:bCs/>
          <w:sz w:val="20"/>
          <w:szCs w:val="20"/>
        </w:rPr>
        <w:t xml:space="preserve">p.109, ¶2</w:t>
      </w:r>
      <w:r>
        <w:rPr>
          <w:rFonts w:ascii="Calibri" w:cs="Calibri" w:eastAsia="Calibri" w:hAnsi="Calibri"/>
          <w:i/>
          <w:iCs/>
          <w:color w:val="666666"/>
          <w:sz w:val="19"/>
          <w:szCs w:val="19"/>
        </w:rPr>
        <w:t xml:space="preserve">  ·  Language and Ambiguity</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“Oman Van Quine”</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Name order/spelling: the philosopher is Willard Van Orman Quine.</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"Willard Van Orman Quine"</w:t>
      </w:r>
    </w:p>
    <w:p>
      <w:pPr>
        <w:spacing w:after="50" w:before="180"/>
      </w:pPr>
      <w:r>
        <w:rPr>
          <w:rFonts w:ascii="Calibri" w:cs="Calibri" w:eastAsia="Calibri" w:hAnsi="Calibri"/>
          <w:b/>
          <w:bCs/>
          <w:sz w:val="20"/>
          <w:szCs w:val="20"/>
        </w:rPr>
        <w:t xml:space="preserve">10. </w:t>
      </w:r>
      <w:r>
        <w:rPr>
          <w:rFonts w:ascii="Calibri" w:cs="Calibri" w:eastAsia="Calibri" w:hAnsi="Calibri"/>
          <w:b/>
          <w:bCs/>
          <w:sz w:val="20"/>
          <w:szCs w:val="20"/>
        </w:rPr>
        <w:t xml:space="preserve">p.122, ¶8</w:t>
      </w:r>
      <w:r>
        <w:rPr>
          <w:rFonts w:ascii="Calibri" w:cs="Calibri" w:eastAsia="Calibri" w:hAnsi="Calibri"/>
          <w:i/>
          <w:iCs/>
          <w:color w:val="666666"/>
          <w:sz w:val="19"/>
          <w:szCs w:val="19"/>
        </w:rPr>
        <w:t xml:space="preserve">  ·  Teacher and Sangha</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“Gorges Dreyfus”</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Spelling.</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"Georges Dreyfus"</w:t>
      </w:r>
    </w:p>
    <w:p>
      <w:pPr>
        <w:spacing w:after="50" w:before="180"/>
      </w:pPr>
      <w:r>
        <w:rPr>
          <w:rFonts w:ascii="Calibri" w:cs="Calibri" w:eastAsia="Calibri" w:hAnsi="Calibri"/>
          <w:b/>
          <w:bCs/>
          <w:sz w:val="20"/>
          <w:szCs w:val="20"/>
        </w:rPr>
        <w:t xml:space="preserve">11. </w:t>
      </w:r>
      <w:r>
        <w:rPr>
          <w:rFonts w:ascii="Calibri" w:cs="Calibri" w:eastAsia="Calibri" w:hAnsi="Calibri"/>
          <w:b/>
          <w:bCs/>
          <w:sz w:val="20"/>
          <w:szCs w:val="20"/>
        </w:rPr>
        <w:t xml:space="preserve">p.19, ¶1</w:t>
      </w:r>
      <w:r>
        <w:rPr>
          <w:rFonts w:ascii="Calibri" w:cs="Calibri" w:eastAsia="Calibri" w:hAnsi="Calibri"/>
          <w:i/>
          <w:iCs/>
          <w:color w:val="666666"/>
          <w:sz w:val="19"/>
          <w:szCs w:val="19"/>
        </w:rPr>
        <w:t xml:space="preserve">  ·  The Procedure</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“Marie Montessori”</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Spelling.</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"Maria Montessori"</w:t>
      </w:r>
    </w:p>
    <w:p>
      <w:pPr>
        <w:spacing w:after="50" w:before="180"/>
      </w:pPr>
      <w:r>
        <w:rPr>
          <w:rFonts w:ascii="Calibri" w:cs="Calibri" w:eastAsia="Calibri" w:hAnsi="Calibri"/>
          <w:b/>
          <w:bCs/>
          <w:sz w:val="20"/>
          <w:szCs w:val="20"/>
        </w:rPr>
        <w:t xml:space="preserve">12. </w:t>
      </w:r>
      <w:r>
        <w:rPr>
          <w:rFonts w:ascii="Calibri" w:cs="Calibri" w:eastAsia="Calibri" w:hAnsi="Calibri"/>
          <w:b/>
          <w:bCs/>
          <w:sz w:val="20"/>
          <w:szCs w:val="20"/>
        </w:rPr>
        <w:t xml:space="preserve">Front matter</w:t>
      </w:r>
      <w:r>
        <w:rPr>
          <w:rFonts w:ascii="Calibri" w:cs="Calibri" w:eastAsia="Calibri" w:hAnsi="Calibri"/>
          <w:i/>
          <w:iCs/>
          <w:color w:val="666666"/>
          <w:sz w:val="19"/>
          <w:szCs w:val="19"/>
        </w:rPr>
        <w:t xml:space="preserve">  ·  Title page / copyright page</w:t>
      </w:r>
    </w:p>
    <w:p>
      <w:pPr>
        <w:spacing w:after="50"/>
        <w:ind w:left="300"/>
      </w:pPr>
      <w:r>
        <w:rPr>
          <w:rFonts w:ascii="Calibri" w:cs="Calibri" w:eastAsia="Calibri" w:hAnsi="Calibri"/>
          <w:b/>
          <w:bCs/>
          <w:sz w:val="19"/>
          <w:szCs w:val="19"/>
        </w:rPr>
        <w:t xml:space="preserve">Text: </w:t>
      </w:r>
      <w:r>
        <w:rPr>
          <w:rFonts w:ascii="Calibri" w:cs="Calibri" w:eastAsia="Calibri" w:hAnsi="Calibri"/>
          <w:i/>
          <w:iCs/>
          <w:sz w:val="19"/>
          <w:szCs w:val="19"/>
          <w:highlight w:val="yellow"/>
          <w:highlightCs w:val="yellow"/>
        </w:rPr>
        <w:t xml:space="preserve">“2026”</w:t>
      </w:r>
    </w:p>
    <w:p>
      <w:pPr>
        <w:spacing w:after="50"/>
        <w:ind w:left="300"/>
      </w:pPr>
      <w:r>
        <w:rPr>
          <w:rFonts w:ascii="Calibri" w:cs="Calibri" w:eastAsia="Calibri" w:hAnsi="Calibri"/>
          <w:b/>
          <w:bCs/>
          <w:sz w:val="19"/>
          <w:szCs w:val="19"/>
        </w:rPr>
        <w:t xml:space="preserve">Issue: </w:t>
      </w:r>
      <w:r>
        <w:rPr>
          <w:rFonts w:ascii="Calibri" w:cs="Calibri" w:eastAsia="Calibri" w:hAnsi="Calibri"/>
          <w:sz w:val="19"/>
          <w:szCs w:val="19"/>
        </w:rPr>
        <w:t xml:space="preserve">The title page carries 2026 under the byline while the copyright page reads © 2023.</w:t>
      </w:r>
    </w:p>
    <w:p>
      <w:pPr>
        <w:spacing w:after="60"/>
        <w:ind w:left="300"/>
      </w:pPr>
      <w:r>
        <w:rPr>
          <w:rFonts w:ascii="Calibri" w:cs="Calibri" w:eastAsia="Calibri" w:hAnsi="Calibri"/>
          <w:b/>
          <w:bCs/>
          <w:color w:val="1F7A1F"/>
          <w:sz w:val="19"/>
          <w:szCs w:val="19"/>
        </w:rPr>
        <w:t xml:space="preserve">Suggested fix: </w:t>
      </w:r>
      <w:r>
        <w:rPr>
          <w:rFonts w:ascii="Calibri" w:cs="Calibri" w:eastAsia="Calibri" w:hAnsi="Calibri"/>
          <w:color w:val="1F7A1F"/>
          <w:sz w:val="19"/>
          <w:szCs w:val="19"/>
        </w:rPr>
        <w:t xml:space="preserve">Reconcile the two dates.</w:t>
      </w:r>
    </w:p>
    <w:p>
      <w:pPr>
        <w:spacing w:after="160" w:before="320"/>
      </w:pPr>
      <w:r>
        <w:rPr>
          <w:rFonts w:ascii="Calibri" w:cs="Calibri" w:eastAsia="Calibri" w:hAnsi="Calibri"/>
          <w:b/>
          <w:bCs/>
          <w:sz w:val="26"/>
          <w:szCs w:val="26"/>
        </w:rPr>
        <w:t xml:space="preserve">Part B — Typos and wording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
        <w:gridCol w:w="1350"/>
        <w:gridCol w:w="1900"/>
        <w:gridCol w:w="2000"/>
        <w:gridCol w:w="3370"/>
      </w:tblGrid>
      <w:tr>
        <w:trPr>
          <w:tblHeader/>
        </w:trPr>
        <w:tc>
          <w:tcPr>
            <w:tcW w:type="dxa" w:w="380"/>
            <w:shd w:fill="D9D9D9" w:val="clear"/>
            <w:tcMar>
              <w:top w:type="dxa" w:w="70"/>
              <w:left w:type="dxa" w:w="90"/>
              <w:bottom w:type="dxa" w:w="70"/>
              <w:right w:type="dxa" w:w="90"/>
            </w:tcMar>
            <w:vAlign w:val="center"/>
          </w:tcPr>
          <w:p>
            <w:r>
              <w:rPr>
                <w:rFonts w:ascii="Calibri" w:cs="Calibri" w:eastAsia="Calibri" w:hAnsi="Calibri"/>
                <w:b/>
                <w:bCs/>
                <w:sz w:val="18"/>
                <w:szCs w:val="18"/>
              </w:rPr>
              <w:t xml:space="preserve">#</w:t>
            </w:r>
          </w:p>
        </w:tc>
        <w:tc>
          <w:tcPr>
            <w:tcW w:type="dxa" w:w="1350"/>
            <w:shd w:fill="D9D9D9" w:val="clear"/>
            <w:tcMar>
              <w:top w:type="dxa" w:w="70"/>
              <w:left w:type="dxa" w:w="90"/>
              <w:bottom w:type="dxa" w:w="70"/>
              <w:right w:type="dxa" w:w="90"/>
            </w:tcMar>
            <w:vAlign w:val="center"/>
          </w:tcPr>
          <w:p>
            <w:r>
              <w:rPr>
                <w:rFonts w:ascii="Calibri" w:cs="Calibri" w:eastAsia="Calibri" w:hAnsi="Calibri"/>
                <w:b/>
                <w:bCs/>
                <w:sz w:val="18"/>
                <w:szCs w:val="18"/>
              </w:rPr>
              <w:t xml:space="preserve">Page / ¶</w:t>
            </w:r>
          </w:p>
        </w:tc>
        <w:tc>
          <w:tcPr>
            <w:tcW w:type="dxa" w:w="1900"/>
            <w:shd w:fill="D9D9D9" w:val="clear"/>
            <w:tcMar>
              <w:top w:type="dxa" w:w="70"/>
              <w:left w:type="dxa" w:w="90"/>
              <w:bottom w:type="dxa" w:w="70"/>
              <w:right w:type="dxa" w:w="90"/>
            </w:tcMar>
            <w:vAlign w:val="center"/>
          </w:tcPr>
          <w:p>
            <w:r>
              <w:rPr>
                <w:rFonts w:ascii="Calibri" w:cs="Calibri" w:eastAsia="Calibri" w:hAnsi="Calibri"/>
                <w:b/>
                <w:bCs/>
                <w:sz w:val="18"/>
                <w:szCs w:val="18"/>
              </w:rPr>
              <w:t xml:space="preserve">Section</w:t>
            </w:r>
          </w:p>
        </w:tc>
        <w:tc>
          <w:tcPr>
            <w:tcW w:type="dxa" w:w="2000"/>
            <w:shd w:fill="D9D9D9" w:val="clear"/>
            <w:tcMar>
              <w:top w:type="dxa" w:w="70"/>
              <w:left w:type="dxa" w:w="90"/>
              <w:bottom w:type="dxa" w:w="70"/>
              <w:right w:type="dxa" w:w="90"/>
            </w:tcMar>
            <w:vAlign w:val="center"/>
          </w:tcPr>
          <w:p>
            <w:r>
              <w:rPr>
                <w:rFonts w:ascii="Calibri" w:cs="Calibri" w:eastAsia="Calibri" w:hAnsi="Calibri"/>
                <w:b/>
                <w:bCs/>
                <w:sz w:val="18"/>
                <w:szCs w:val="18"/>
              </w:rPr>
              <w:t xml:space="preserve">Text in question</w:t>
            </w:r>
          </w:p>
        </w:tc>
        <w:tc>
          <w:tcPr>
            <w:tcW w:type="dxa" w:w="3370"/>
            <w:shd w:fill="D9D9D9" w:val="clear"/>
            <w:tcMar>
              <w:top w:type="dxa" w:w="70"/>
              <w:left w:type="dxa" w:w="90"/>
              <w:bottom w:type="dxa" w:w="70"/>
              <w:right w:type="dxa" w:w="90"/>
            </w:tcMar>
            <w:vAlign w:val="center"/>
          </w:tcPr>
          <w:p>
            <w:r>
              <w:rPr>
                <w:rFonts w:ascii="Calibri" w:cs="Calibri" w:eastAsia="Calibri" w:hAnsi="Calibri"/>
                <w:b/>
                <w:bCs/>
                <w:sz w:val="18"/>
                <w:szCs w:val="18"/>
              </w:rPr>
              <w:t xml:space="preserve">Suggested fix</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p.5, ¶3</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Diet</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“rajistic”</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"rajasic"</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p.8, ¶5</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Exercise</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“Yoga the nerve channels”</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A verb appears to be missing — e.g. "Yoga opens the nerve channels."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3</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p.27, ¶13</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Common Sense</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“common troupe”</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"trope"</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4</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p.39, ¶6</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Intention</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“keep at its”</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Likely "keep at it" — the sentence runs on into the next clause.</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5</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p.45, ¶4</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How to Frame the Mind</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“inequities”</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In context probably "iniquities" (moral faults) rather than "inequities" (unfairness).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6</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p.48, ¶11</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“If may seem”</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"It may seem"</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7</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p.48, ¶15</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“absence or results”</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"absence of results"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8</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p.52, ¶7</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I Can’t Stop My Thoughts</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“to a rise and fall”</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"to arise and fall"</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9</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p.57, ¶1</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Giving</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“Dessert Fathers”</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"Desert Fathers"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10</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p.60, ¶4</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Retirement Meditation</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“Turkus”</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"tulkus"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11</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p.65, ¶1</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Karma</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“passed actions”</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"past actions"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12</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p.65, ¶5</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Karma</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“principle reason”</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"principal reason"</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13</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p.68, ¶5</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Harmony</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“discipling”</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"disciplining"</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14</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p.73, ¶38</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Understanding Materialism</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“hail and hardy”</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"hale and hearty"</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15</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p.73, ¶39</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Understanding Materialism</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“Losing harmony”</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The sentence reads "Losing harmony with the ebb and flow of life is essential," which inverts the meaning the passage argues for — a negation appears to have dropped out (e.g. "Not losing harmony…" or "Keeping harmony…").</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16</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p.94, ¶5</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Happiness</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“illusive”</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In context "elusive" (hard to grasp) rather than "illusive" (illusory).</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17</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p.103, ¶12</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Tantra</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“Almost all Tantric p remain”</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A word is cut off — "Tantric practitioners".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18</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p.109, ¶2</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Language and Ambiguity</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“cookbooks or turkey”</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The pun needs the two-word form: "cook books or turkey."</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19</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p.109, ¶4</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Language and Ambiguity</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“alluded me”</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"eluded me"</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20</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p.115, ¶3</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False Pride</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“H remarked”</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"He remarked"</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21</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p.115, ¶4</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False Pride</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“advice adverse”</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Probably "advice-averse."</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22</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p.115, ¶6</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False Pride</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“faulter”</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"falter"</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23</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p.129, ¶10</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Compassion</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“mediocracy”</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"mediocrity"</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24</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Appendix, ¶7</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 II</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“we are shames into”</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"we are shamed into"</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25</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Appendix, ¶39</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 II</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“normative element”</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The intended sense is unclear — reading back from the earlier "an element of our awareness that remains constant," "constant" may be what was meant.</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26</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Appendix, ¶48</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 II</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“become quite”</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"become quiet"</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27</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Appendix, ¶74</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 II</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“symbiotic”</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In context "symbolic" rather than "symbiotic" (two occurrences).</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28</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Appendix, ¶77</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 II</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“tale end”</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"tail end"</w:t>
            </w:r>
          </w:p>
        </w:tc>
      </w:tr>
      <w:tr>
        <w:tc>
          <w:tcPr>
            <w:tcW w:type="dxa" w:w="380"/>
            <w:tcMar>
              <w:top w:type="dxa" w:w="70"/>
              <w:left w:type="dxa" w:w="90"/>
              <w:bottom w:type="dxa" w:w="70"/>
              <w:right w:type="dxa" w:w="90"/>
            </w:tcMar>
            <w:vAlign w:val="center"/>
          </w:tcPr>
          <w:p>
            <w:r>
              <w:rPr>
                <w:rFonts w:ascii="Calibri" w:cs="Calibri" w:eastAsia="Calibri" w:hAnsi="Calibri"/>
                <w:sz w:val="18"/>
                <w:szCs w:val="18"/>
              </w:rPr>
              <w:t xml:space="preserve">29</w:t>
            </w:r>
          </w:p>
        </w:tc>
        <w:tc>
          <w:tcPr>
            <w:tcW w:type="dxa" w:w="1350"/>
            <w:tcMar>
              <w:top w:type="dxa" w:w="70"/>
              <w:left w:type="dxa" w:w="90"/>
              <w:bottom w:type="dxa" w:w="70"/>
              <w:right w:type="dxa" w:w="90"/>
            </w:tcMar>
            <w:vAlign w:val="center"/>
          </w:tcPr>
          <w:p>
            <w:r>
              <w:rPr>
                <w:rFonts w:ascii="Calibri" w:cs="Calibri" w:eastAsia="Calibri" w:hAnsi="Calibri"/>
                <w:b/>
                <w:bCs/>
                <w:sz w:val="18"/>
                <w:szCs w:val="18"/>
              </w:rPr>
              <w:t xml:space="preserve">Appendix, ¶98</w:t>
            </w:r>
          </w:p>
        </w:tc>
        <w:tc>
          <w:tcPr>
            <w:tcW w:type="dxa" w:w="1900"/>
            <w:tcMar>
              <w:top w:type="dxa" w:w="70"/>
              <w:left w:type="dxa" w:w="90"/>
              <w:bottom w:type="dxa" w:w="70"/>
              <w:right w:type="dxa" w:w="90"/>
            </w:tcMar>
            <w:vAlign w:val="center"/>
          </w:tcPr>
          <w:p>
            <w:r>
              <w:rPr>
                <w:rFonts w:ascii="Calibri" w:cs="Calibri" w:eastAsia="Calibri" w:hAnsi="Calibri"/>
                <w:i/>
                <w:iCs/>
                <w:color w:val="666666"/>
                <w:sz w:val="18"/>
                <w:szCs w:val="18"/>
              </w:rPr>
              <w:t xml:space="preserve">Natural Born Meditators II</w:t>
            </w:r>
          </w:p>
        </w:tc>
        <w:tc>
          <w:tcPr>
            <w:tcW w:type="dxa" w:w="2000"/>
            <w:tcMar>
              <w:top w:type="dxa" w:w="70"/>
              <w:left w:type="dxa" w:w="90"/>
              <w:bottom w:type="dxa" w:w="70"/>
              <w:right w:type="dxa" w:w="90"/>
            </w:tcMar>
            <w:vAlign w:val="center"/>
          </w:tcPr>
          <w:p>
            <w:r>
              <w:rPr>
                <w:rFonts w:ascii="Calibri" w:cs="Calibri" w:eastAsia="Calibri" w:hAnsi="Calibri"/>
                <w:sz w:val="18"/>
                <w:szCs w:val="18"/>
                <w:highlight w:val="yellow"/>
                <w:highlightCs w:val="yellow"/>
              </w:rPr>
              <w:t xml:space="preserve">“witnessing roll”</w:t>
            </w:r>
          </w:p>
        </w:tc>
        <w:tc>
          <w:tcPr>
            <w:tcW w:type="dxa" w:w="3370"/>
            <w:tcMar>
              <w:top w:type="dxa" w:w="70"/>
              <w:left w:type="dxa" w:w="90"/>
              <w:bottom w:type="dxa" w:w="70"/>
              <w:right w:type="dxa" w:w="90"/>
            </w:tcMar>
            <w:vAlign w:val="center"/>
          </w:tcPr>
          <w:p>
            <w:r>
              <w:rPr>
                <w:rFonts w:ascii="Calibri" w:cs="Calibri" w:eastAsia="Calibri" w:hAnsi="Calibri"/>
                <w:sz w:val="18"/>
                <w:szCs w:val="18"/>
              </w:rPr>
              <w:t xml:space="preserve">"witnessing role"</w:t>
            </w:r>
          </w:p>
        </w:tc>
      </w:tr>
    </w:tbl>
    <w:p>
      <w:pPr>
        <w:spacing w:before="300"/>
      </w:pPr>
      <w:r>
        <w:rPr>
          <w:rFonts w:ascii="Calibri" w:cs="Calibri" w:eastAsia="Calibri" w:hAnsi="Calibri"/>
          <w:i/>
          <w:iCs/>
          <w:sz w:val="20"/>
          <w:szCs w:val="20"/>
        </w:rPr>
        <w:t xml:space="preserve">The Chinese edition is finished and I’d be glad to send it along. Happy to answer anything here if it would help.</w:t>
      </w:r>
    </w:p>
    <w:sectPr>
      <w:footerReference w:type="default" r:id="rId7"/>
      <w:pgSz w:w="12240" w:h="15840" w:orient="portrait"/>
      <w:pgMar w:top="860" w:right="560" w:bottom="8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You Want to Meditate? — Notes</dc:title>
  <dc:creator>Chinese Translation</dc:creator>
  <cp:lastModifiedBy>Un-named</cp:lastModifiedBy>
  <cp:revision>1</cp:revision>
  <dcterms:created xsi:type="dcterms:W3CDTF">2026-09-18T00:35:36.007Z</dcterms:created>
  <dcterms:modified xsi:type="dcterms:W3CDTF">2026-09-18T00:35:36.019Z</dcterms:modified>
</cp:coreProperties>
</file>

<file path=docProps/custom.xml><?xml version="1.0" encoding="utf-8"?>
<Properties xmlns="http://schemas.openxmlformats.org/officeDocument/2006/custom-properties" xmlns:vt="http://schemas.openxmlformats.org/officeDocument/2006/docPropsVTypes"/>
</file>