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4F4330" w14:textId="379302E3" w:rsidR="00072137" w:rsidRDefault="004C095C" w:rsidP="004C095C">
      <w:pPr>
        <w:pStyle w:val="Title"/>
      </w:pPr>
      <w:r>
        <w:t>RNA-seq Experiment Report</w:t>
      </w:r>
    </w:p>
    <w:p w14:paraId="1DE28653" w14:textId="3F30FE9C" w:rsidR="004C095C" w:rsidRDefault="004C095C" w:rsidP="004C095C">
      <w:pPr>
        <w:pStyle w:val="Heading1"/>
      </w:pPr>
      <w:r>
        <w:t>Overview</w:t>
      </w:r>
    </w:p>
    <w:p w14:paraId="56331404" w14:textId="77777777" w:rsidR="004C095C" w:rsidRPr="004C095C" w:rsidRDefault="004C095C" w:rsidP="004C095C">
      <w:r w:rsidRPr="004C095C">
        <w:t xml:space="preserve">The goal of this experiment was to </w:t>
      </w:r>
      <w:proofErr w:type="gramStart"/>
      <w:r w:rsidRPr="004C095C">
        <w:t>compared</w:t>
      </w:r>
      <w:proofErr w:type="gramEnd"/>
      <w:r w:rsidRPr="004C095C">
        <w:t xml:space="preserve"> the transcriptomics of myofibroblasts and senescent fibroblasts. To achieve this goal, RNA-seq experiment was carried out on human fetal foreskin fibroblasts 2 (HFFF2) treated with 2ng/ml TGF-beta-1 to induce myofibroblast differentiation or 10Gy gamma irradiation to induce senescence. RNA was </w:t>
      </w:r>
      <w:proofErr w:type="gramStart"/>
      <w:r w:rsidRPr="004C095C">
        <w:t>isolated</w:t>
      </w:r>
      <w:proofErr w:type="gramEnd"/>
      <w:r w:rsidRPr="004C095C">
        <w:t xml:space="preserve"> 7 days upon </w:t>
      </w:r>
      <w:proofErr w:type="gramStart"/>
      <w:r w:rsidRPr="004C095C">
        <w:t>this treatments</w:t>
      </w:r>
      <w:proofErr w:type="gramEnd"/>
      <w:r w:rsidRPr="004C095C">
        <w:t>.</w:t>
      </w:r>
    </w:p>
    <w:p w14:paraId="0093CC80" w14:textId="77777777" w:rsidR="004C095C" w:rsidRPr="004C095C" w:rsidRDefault="004C095C" w:rsidP="004C095C">
      <w:r w:rsidRPr="004C095C">
        <w:t>This report goes through some of the RNA-Seq analysis in R experiment starting with a read count matrix (processed using salmon). This report includes:</w:t>
      </w:r>
    </w:p>
    <w:p w14:paraId="41190552" w14:textId="77777777" w:rsidR="004C095C" w:rsidRPr="004C095C" w:rsidRDefault="004C095C" w:rsidP="004C095C">
      <w:pPr>
        <w:numPr>
          <w:ilvl w:val="0"/>
          <w:numId w:val="2"/>
        </w:numPr>
      </w:pPr>
      <w:r w:rsidRPr="004C095C">
        <w:t>Exploring count data after importing them into R and</w:t>
      </w:r>
    </w:p>
    <w:p w14:paraId="77EDE4D1" w14:textId="77777777" w:rsidR="004C095C" w:rsidRPr="004C095C" w:rsidRDefault="004C095C" w:rsidP="004C095C">
      <w:pPr>
        <w:numPr>
          <w:ilvl w:val="0"/>
          <w:numId w:val="2"/>
        </w:numPr>
      </w:pPr>
      <w:r w:rsidRPr="004C095C">
        <w:t>Normalizing RNA-seq counts</w:t>
      </w:r>
    </w:p>
    <w:p w14:paraId="7C701CE9" w14:textId="77777777" w:rsidR="004C095C" w:rsidRPr="004C095C" w:rsidRDefault="004C095C" w:rsidP="004C095C">
      <w:pPr>
        <w:numPr>
          <w:ilvl w:val="0"/>
          <w:numId w:val="2"/>
        </w:numPr>
      </w:pPr>
      <w:r w:rsidRPr="004C095C">
        <w:t>Conducting quality assessment of counts</w:t>
      </w:r>
    </w:p>
    <w:p w14:paraId="55A4884D" w14:textId="1E302A2A" w:rsidR="004C095C" w:rsidRDefault="004C095C" w:rsidP="004C095C">
      <w:pPr>
        <w:pStyle w:val="Heading1"/>
      </w:pPr>
      <w:r>
        <w:br/>
        <w:t>Data and Metadata</w:t>
      </w:r>
    </w:p>
    <w:p w14:paraId="38CE6094" w14:textId="5D41DA7A" w:rsidR="004C095C" w:rsidRDefault="004C095C" w:rsidP="004C095C">
      <w:r>
        <w:t>We begin with our counts table and our samples metadata:</w:t>
      </w:r>
      <w:r>
        <w:br/>
      </w:r>
      <w:r w:rsidRPr="004C095C">
        <w:drawing>
          <wp:inline distT="0" distB="0" distL="0" distR="0" wp14:anchorId="28CBFE59" wp14:editId="4B3C241A">
            <wp:extent cx="5943600" cy="2868295"/>
            <wp:effectExtent l="0" t="0" r="0" b="8255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75CC7" w14:textId="47733804" w:rsidR="004C095C" w:rsidRDefault="004C095C" w:rsidP="004C095C">
      <w:r w:rsidRPr="004C095C">
        <w:lastRenderedPageBreak/>
        <w:drawing>
          <wp:inline distT="0" distB="0" distL="0" distR="0" wp14:anchorId="1150B65D" wp14:editId="7BA015DA">
            <wp:extent cx="5943600" cy="2601595"/>
            <wp:effectExtent l="0" t="0" r="0" b="8255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8D9FB" w14:textId="4DBC9B8F" w:rsidR="004C095C" w:rsidRDefault="004C095C" w:rsidP="004C095C">
      <w:pPr>
        <w:pStyle w:val="Heading1"/>
      </w:pPr>
      <w:r w:rsidRPr="004C095C">
        <w:t>Quality control of the imported counts</w:t>
      </w:r>
    </w:p>
    <w:p w14:paraId="57A89524" w14:textId="1F7ED356" w:rsidR="004C095C" w:rsidRDefault="004C095C" w:rsidP="004C095C">
      <w:pPr>
        <w:pStyle w:val="Heading2"/>
      </w:pPr>
      <w:r>
        <w:t>Library Sizes</w:t>
      </w:r>
    </w:p>
    <w:p w14:paraId="5F7E406A" w14:textId="718B2375" w:rsidR="004C095C" w:rsidRPr="004C095C" w:rsidRDefault="004C095C" w:rsidP="004C095C">
      <w:r>
        <w:t>The library sizes generally look good for each of our samples, but are not completely uniform:</w:t>
      </w:r>
    </w:p>
    <w:p w14:paraId="4CA6D7EF" w14:textId="542B4706" w:rsidR="004C095C" w:rsidRDefault="004C095C" w:rsidP="004C095C">
      <w:r>
        <w:rPr>
          <w:noProof/>
        </w:rPr>
        <w:drawing>
          <wp:inline distT="0" distB="0" distL="0" distR="0" wp14:anchorId="0FD79F74" wp14:editId="6BA12113">
            <wp:extent cx="5943600" cy="3663950"/>
            <wp:effectExtent l="0" t="0" r="0" b="0"/>
            <wp:docPr id="3" name="Picture 3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6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509463" w14:textId="040050BC" w:rsidR="004C095C" w:rsidRDefault="004C095C" w:rsidP="004C095C">
      <w:r>
        <w:t xml:space="preserve">Thus, there are some outliers when we look at the distribution of counts: </w:t>
      </w:r>
    </w:p>
    <w:p w14:paraId="1CB64584" w14:textId="72D00B6C" w:rsidR="004C095C" w:rsidRDefault="004C095C" w:rsidP="004C095C">
      <w:r>
        <w:rPr>
          <w:noProof/>
        </w:rPr>
        <w:lastRenderedPageBreak/>
        <w:drawing>
          <wp:inline distT="0" distB="0" distL="0" distR="0" wp14:anchorId="21411AE2" wp14:editId="3F5CC444">
            <wp:extent cx="5943600" cy="3663950"/>
            <wp:effectExtent l="0" t="0" r="0" b="0"/>
            <wp:docPr id="4" name="Picture 4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box and whisk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6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D11921" w14:textId="77777777" w:rsidR="004C095C" w:rsidRDefault="004C095C" w:rsidP="004C095C"/>
    <w:p w14:paraId="6A3230B3" w14:textId="4A62B737" w:rsidR="004C095C" w:rsidRDefault="004C095C" w:rsidP="004C095C">
      <w:r>
        <w:t xml:space="preserve">We used the </w:t>
      </w:r>
      <w:r w:rsidRPr="004C095C">
        <w:t>DESeq</w:t>
      </w:r>
      <w:proofErr w:type="gramStart"/>
      <w:r w:rsidRPr="004C095C">
        <w:t>2::</w:t>
      </w:r>
      <w:proofErr w:type="spellStart"/>
      <w:proofErr w:type="gramEnd"/>
      <w:r w:rsidRPr="004C095C">
        <w:t>vst</w:t>
      </w:r>
      <w:proofErr w:type="spellEnd"/>
      <w:r w:rsidRPr="004C095C">
        <w:t xml:space="preserve">() </w:t>
      </w:r>
      <w:r>
        <w:t xml:space="preserve">function </w:t>
      </w:r>
      <w:r w:rsidRPr="004C095C">
        <w:t xml:space="preserve">to compensate for different library sizes and put the </w:t>
      </w:r>
      <w:r w:rsidRPr="004C095C">
        <w:t>data</w:t>
      </w:r>
      <w:r w:rsidRPr="004C095C">
        <w:t xml:space="preserve"> on the log2 scale. </w:t>
      </w:r>
      <w:r>
        <w:t>This also</w:t>
      </w:r>
      <w:r w:rsidRPr="004C095C">
        <w:t xml:space="preserve"> helps to remove dependence of variance on the mean.</w:t>
      </w:r>
    </w:p>
    <w:p w14:paraId="481B88D1" w14:textId="5CC87237" w:rsidR="004C095C" w:rsidRDefault="004C095C" w:rsidP="004C095C">
      <w:pPr>
        <w:pStyle w:val="Heading2"/>
      </w:pPr>
      <w:r>
        <w:rPr>
          <w:noProof/>
        </w:rPr>
        <w:lastRenderedPageBreak/>
        <w:drawing>
          <wp:inline distT="0" distB="0" distL="0" distR="0" wp14:anchorId="6C77270F" wp14:editId="5FECBC94">
            <wp:extent cx="5943600" cy="3663950"/>
            <wp:effectExtent l="0" t="0" r="0" b="0"/>
            <wp:docPr id="6" name="Picture 6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6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>PCA</w:t>
      </w:r>
    </w:p>
    <w:p w14:paraId="10D2820C" w14:textId="0A098C71" w:rsidR="004C095C" w:rsidRDefault="004C095C" w:rsidP="004C095C">
      <w:r>
        <w:t xml:space="preserve">PCA of normalized samples colored by group (using </w:t>
      </w:r>
      <w:proofErr w:type="spellStart"/>
      <w:proofErr w:type="gramStart"/>
      <w:r>
        <w:t>plotPCA</w:t>
      </w:r>
      <w:proofErr w:type="spellEnd"/>
      <w:r>
        <w:t>(</w:t>
      </w:r>
      <w:proofErr w:type="gramEnd"/>
      <w:r>
        <w:t>)):</w:t>
      </w:r>
      <w:r>
        <w:br/>
      </w:r>
      <w:r>
        <w:rPr>
          <w:noProof/>
        </w:rPr>
        <w:drawing>
          <wp:inline distT="0" distB="0" distL="0" distR="0" wp14:anchorId="0259F46D" wp14:editId="3E0CB736">
            <wp:extent cx="5943600" cy="3663950"/>
            <wp:effectExtent l="0" t="0" r="0" b="0"/>
            <wp:docPr id="7" name="Picture 7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6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C427C0" w14:textId="77777777" w:rsidR="007846BF" w:rsidRDefault="007846BF" w:rsidP="004C095C">
      <w:r>
        <w:t>Our groups have different coloring due to their labels having different capitalization. After correction, we can see an updated plot:</w:t>
      </w:r>
      <w:r>
        <w:br/>
      </w:r>
      <w:r>
        <w:rPr>
          <w:noProof/>
        </w:rPr>
        <w:lastRenderedPageBreak/>
        <w:drawing>
          <wp:inline distT="0" distB="0" distL="0" distR="0" wp14:anchorId="4ACB008E" wp14:editId="561A9EBF">
            <wp:extent cx="5943600" cy="3663950"/>
            <wp:effectExtent l="0" t="0" r="0" b="0"/>
            <wp:docPr id="9" name="Picture 9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6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br/>
        <w:t>There appears to be little to no batch effect:</w:t>
      </w:r>
      <w:r>
        <w:br/>
      </w:r>
      <w:r>
        <w:rPr>
          <w:noProof/>
        </w:rPr>
        <w:drawing>
          <wp:inline distT="0" distB="0" distL="0" distR="0" wp14:anchorId="401F8104" wp14:editId="737F7FB0">
            <wp:extent cx="5943600" cy="3663950"/>
            <wp:effectExtent l="0" t="0" r="0" b="0"/>
            <wp:docPr id="10" name="Picture 10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6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br/>
      </w:r>
    </w:p>
    <w:p w14:paraId="2B5D90A9" w14:textId="61A9C3A9" w:rsidR="007846BF" w:rsidRDefault="007846BF" w:rsidP="004C095C">
      <w:r>
        <w:lastRenderedPageBreak/>
        <w:t xml:space="preserve">We also used </w:t>
      </w:r>
      <w:proofErr w:type="spellStart"/>
      <w:proofErr w:type="gramStart"/>
      <w:r>
        <w:t>prcomp</w:t>
      </w:r>
      <w:proofErr w:type="spellEnd"/>
      <w:r>
        <w:t>(</w:t>
      </w:r>
      <w:proofErr w:type="gramEnd"/>
      <w:r>
        <w:t>) to try only using top genes for PCA:</w:t>
      </w:r>
    </w:p>
    <w:p w14:paraId="2D10D409" w14:textId="2835C62C" w:rsidR="004C095C" w:rsidRDefault="004C095C" w:rsidP="004C095C">
      <w:r>
        <w:t xml:space="preserve">Table of PCA results using </w:t>
      </w:r>
      <w:proofErr w:type="spellStart"/>
      <w:proofErr w:type="gramStart"/>
      <w:r>
        <w:t>prcomp</w:t>
      </w:r>
      <w:proofErr w:type="spellEnd"/>
      <w:r>
        <w:t>(</w:t>
      </w:r>
      <w:proofErr w:type="gramEnd"/>
      <w:r>
        <w:t>) and the top 500 ranked genes only:</w:t>
      </w:r>
      <w:r>
        <w:br/>
      </w:r>
      <w:r w:rsidR="007846BF" w:rsidRPr="007846BF">
        <w:drawing>
          <wp:inline distT="0" distB="0" distL="0" distR="0" wp14:anchorId="567BEFDA" wp14:editId="3FA7EB6C">
            <wp:extent cx="5495925" cy="9620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003C29" w14:textId="4E10B0E2" w:rsidR="007846BF" w:rsidRDefault="007846BF" w:rsidP="004C095C"/>
    <w:p w14:paraId="715EAC95" w14:textId="65C3FEB3" w:rsidR="007846BF" w:rsidRDefault="007846BF" w:rsidP="007846BF">
      <w:pPr>
        <w:pStyle w:val="Heading1"/>
      </w:pPr>
      <w:r>
        <w:t>Reference:</w:t>
      </w:r>
    </w:p>
    <w:p w14:paraId="66F258A8" w14:textId="58FC33C0" w:rsidR="007846BF" w:rsidRDefault="007846BF" w:rsidP="007846BF">
      <w:r>
        <w:t xml:space="preserve">Based on Introduction or </w:t>
      </w:r>
      <w:hyperlink r:id="rId14" w:history="1">
        <w:r w:rsidRPr="007846BF">
          <w:rPr>
            <w:rStyle w:val="Hyperlink"/>
          </w:rPr>
          <w:t>RNA-Seq analysis in R workshop</w:t>
        </w:r>
      </w:hyperlink>
      <w:r>
        <w:t xml:space="preserve"> offered by Sheffield Bioinformatics Core.</w:t>
      </w:r>
    </w:p>
    <w:p w14:paraId="2B0EF364" w14:textId="06F8C1F8" w:rsidR="007846BF" w:rsidRPr="007846BF" w:rsidRDefault="007846BF" w:rsidP="007846BF">
      <w:r>
        <w:t xml:space="preserve">Original study: </w:t>
      </w:r>
      <w:proofErr w:type="spellStart"/>
      <w:r>
        <w:t>Mellone</w:t>
      </w:r>
      <w:proofErr w:type="spellEnd"/>
      <w:r>
        <w:t xml:space="preserve"> M, Hanley CJ, </w:t>
      </w:r>
      <w:proofErr w:type="spellStart"/>
      <w:r>
        <w:t>Thirdborough</w:t>
      </w:r>
      <w:proofErr w:type="spellEnd"/>
      <w:r>
        <w:t xml:space="preserve"> S, Mellows T, Garcia E, Woo J, Tod J, Frampton S, </w:t>
      </w:r>
      <w:proofErr w:type="spellStart"/>
      <w:r>
        <w:t>Jenei</w:t>
      </w:r>
      <w:proofErr w:type="spellEnd"/>
      <w:r>
        <w:t xml:space="preserve"> V, </w:t>
      </w:r>
      <w:proofErr w:type="spellStart"/>
      <w:r>
        <w:t>Moutasim</w:t>
      </w:r>
      <w:proofErr w:type="spellEnd"/>
      <w:r>
        <w:t xml:space="preserve"> KA, Kabir TD, Brennan PA, Venturi G, Ford K, </w:t>
      </w:r>
      <w:proofErr w:type="spellStart"/>
      <w:r>
        <w:t>Herranz</w:t>
      </w:r>
      <w:proofErr w:type="spellEnd"/>
      <w:r>
        <w:t xml:space="preserve"> N, Lim KP, Clarke J, Lambert DW, Prime SS, Underwood TJ, </w:t>
      </w:r>
      <w:proofErr w:type="spellStart"/>
      <w:r>
        <w:t>Vijayanand</w:t>
      </w:r>
      <w:proofErr w:type="spellEnd"/>
      <w:r>
        <w:t xml:space="preserve"> P, </w:t>
      </w:r>
      <w:proofErr w:type="spellStart"/>
      <w:r>
        <w:t>Eliceiri</w:t>
      </w:r>
      <w:proofErr w:type="spellEnd"/>
      <w:r>
        <w:t xml:space="preserve"> KW, </w:t>
      </w:r>
      <w:proofErr w:type="spellStart"/>
      <w:r>
        <w:t>Woelk</w:t>
      </w:r>
      <w:proofErr w:type="spellEnd"/>
      <w:r>
        <w:t xml:space="preserve"> C, King EV, Gil J, </w:t>
      </w:r>
      <w:proofErr w:type="spellStart"/>
      <w:r>
        <w:t>Ottensmeier</w:t>
      </w:r>
      <w:proofErr w:type="spellEnd"/>
      <w:r>
        <w:t xml:space="preserve"> CH, Thomas GJ. Induction of fibroblast senescence generates a non-</w:t>
      </w:r>
      <w:proofErr w:type="spellStart"/>
      <w:r>
        <w:t>fibrogenic</w:t>
      </w:r>
      <w:proofErr w:type="spellEnd"/>
      <w:r>
        <w:t xml:space="preserve"> myofibroblast phenotype that differentially impacts on cancer prognosis. Aging (Albany NY). 2016 Dec 15;9(1):114-132. </w:t>
      </w:r>
      <w:proofErr w:type="spellStart"/>
      <w:r>
        <w:t>doi</w:t>
      </w:r>
      <w:proofErr w:type="spellEnd"/>
      <w:r>
        <w:t>: 10.18632/aging.101127. PMID: 27992856; PMCID: PMC5310659.</w:t>
      </w:r>
    </w:p>
    <w:sectPr w:rsidR="007846BF" w:rsidRPr="007846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C39F5"/>
    <w:multiLevelType w:val="multilevel"/>
    <w:tmpl w:val="699CE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0218A8"/>
    <w:multiLevelType w:val="multilevel"/>
    <w:tmpl w:val="33B89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7325372">
    <w:abstractNumId w:val="1"/>
  </w:num>
  <w:num w:numId="2" w16cid:durableId="7895169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95C"/>
    <w:rsid w:val="00135414"/>
    <w:rsid w:val="004308E7"/>
    <w:rsid w:val="004C095C"/>
    <w:rsid w:val="00784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9442D"/>
  <w15:chartTrackingRefBased/>
  <w15:docId w15:val="{5C5C08BC-5024-43A4-8A5D-9E2FA2E6F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09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09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C095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09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C09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C095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7846B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46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9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82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0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emf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sbc.shef.ac.uk/training/rna-seq-in-r-2022-06-13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342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Magnano</dc:creator>
  <cp:keywords/>
  <dc:description/>
  <cp:lastModifiedBy>Chris Magnano</cp:lastModifiedBy>
  <cp:revision>1</cp:revision>
  <dcterms:created xsi:type="dcterms:W3CDTF">2022-12-15T16:04:00Z</dcterms:created>
  <dcterms:modified xsi:type="dcterms:W3CDTF">2022-12-15T16:20:00Z</dcterms:modified>
</cp:coreProperties>
</file>