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金剛經口訣</w:t>
      </w:r>
    </w:p>
    <w:p>
      <w:pPr>
        <w:pStyle w:val="Subtitle"/>
        <w:widowControl/>
        <w:jc w:val="center"/>
      </w:pPr>
      <w:r>
        <w:t>『금강경구결』 원문·한국어 전문 번역</w:t>
      </w:r>
    </w:p>
    <w:p>
      <w:pPr>
        <w:widowControl/>
        <w:jc w:val="center"/>
      </w:pPr>
      <w:r>
        <w:t>六祖大鑒禪師 說</w:t>
      </w:r>
    </w:p>
    <w:p>
      <w:pPr>
        <w:widowControl/>
        <w:jc w:val="center"/>
      </w:pPr>
      <w:r>
        <w:t>첨부 저본의 위치 표지와 원문 표기를 보존한 직역 대조본</w:t>
        <w:br/>
        <w:t>전체 선독 · 구조 분석 · 위치 표지별 재배열 및 전수 검토 완료</w:t>
      </w:r>
    </w:p>
    <w:p>
      <w:pPr>
        <w:widowControl/>
      </w:pPr>
      <w:r>
        <w:br w:type="page"/>
      </w:r>
    </w:p>
    <w:p>
      <w:pPr>
        <w:pStyle w:val="Heading1"/>
        <w:widowControl/>
      </w:pPr>
      <w:r>
        <w:t>편집·번역 안내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14"/>
            <w:shd w:fill="EDEDED"/>
            <w:vAlign w:val="center"/>
            <w:tcMar>
              <w:top w:w="90" w:type="dxa"/>
              <w:start w:w="100" w:type="dxa"/>
              <w:bottom w:w="90" w:type="dxa"/>
              <w:end w:w="100" w:type="dxa"/>
            </w:tcMar>
          </w:tcPr>
          <w:p>
            <w:r>
              <w:rPr>
                <w:b/>
              </w:rPr>
              <w:t>항목</w:t>
            </w:r>
          </w:p>
        </w:tc>
        <w:tc>
          <w:tcPr>
            <w:tcW w:type="dxa" w:w="7257"/>
            <w:shd w:fill="EDEDED"/>
            <w:vAlign w:val="center"/>
            <w:tcMar>
              <w:top w:w="90" w:type="dxa"/>
              <w:start w:w="100" w:type="dxa"/>
              <w:bottom w:w="90" w:type="dxa"/>
              <w:end w:w="100" w:type="dxa"/>
            </w:tcMar>
          </w:tcPr>
          <w:p>
            <w:r>
              <w:rPr>
                <w:b/>
              </w:rPr>
              <w:t>내용</w:t>
            </w:r>
          </w:p>
        </w:tc>
      </w:tr>
      <w:tr>
        <w:tc>
          <w:tcPr>
            <w:tcW w:type="dxa" w:w="1814"/>
            <w:shd w:fill="F5F5F5"/>
            <w:vAlign w:val="top"/>
            <w:tcMar>
              <w:top w:w="90" w:type="dxa"/>
              <w:start w:w="100" w:type="dxa"/>
              <w:bottom w:w="90" w:type="dxa"/>
              <w:end w:w="100" w:type="dxa"/>
            </w:tcMar>
          </w:tcPr>
          <w:p>
            <w:r>
              <w:rPr>
                <w:b/>
              </w:rPr>
              <w:t>문헌명</w:t>
            </w:r>
          </w:p>
        </w:tc>
        <w:tc>
          <w:tcPr>
            <w:tcW w:type="dxa" w:w="7257"/>
            <w:vAlign w:val="top"/>
            <w:tcMar>
              <w:top w:w="90" w:type="dxa"/>
              <w:start w:w="100" w:type="dxa"/>
              <w:bottom w:w="90" w:type="dxa"/>
              <w:end w:w="100" w:type="dxa"/>
            </w:tcMar>
          </w:tcPr>
          <w:p>
            <w:r>
              <w:t>『金剛經口訣』(『금강경구결』)</w:t>
            </w:r>
          </w:p>
        </w:tc>
      </w:tr>
      <w:tr>
        <w:tc>
          <w:tcPr>
            <w:tcW w:type="dxa" w:w="1814"/>
            <w:shd w:fill="F5F5F5"/>
            <w:vAlign w:val="top"/>
            <w:tcMar>
              <w:top w:w="90" w:type="dxa"/>
              <w:start w:w="100" w:type="dxa"/>
              <w:bottom w:w="90" w:type="dxa"/>
              <w:end w:w="100" w:type="dxa"/>
            </w:tcMar>
          </w:tcPr>
          <w:p>
            <w:r>
              <w:rPr>
                <w:b/>
              </w:rPr>
              <w:t>문헌 번호</w:t>
            </w:r>
          </w:p>
        </w:tc>
        <w:tc>
          <w:tcPr>
            <w:tcW w:type="dxa" w:w="7257"/>
            <w:vAlign w:val="top"/>
            <w:tcMar>
              <w:top w:w="90" w:type="dxa"/>
              <w:start w:w="100" w:type="dxa"/>
              <w:bottom w:w="90" w:type="dxa"/>
              <w:end w:w="100" w:type="dxa"/>
            </w:tcMar>
          </w:tcPr>
          <w:p>
            <w:r>
              <w:t>No. 460</w:t>
            </w:r>
          </w:p>
        </w:tc>
      </w:tr>
      <w:tr>
        <w:tc>
          <w:tcPr>
            <w:tcW w:type="dxa" w:w="1814"/>
            <w:shd w:fill="F5F5F5"/>
            <w:vAlign w:val="top"/>
            <w:tcMar>
              <w:top w:w="90" w:type="dxa"/>
              <w:start w:w="100" w:type="dxa"/>
              <w:bottom w:w="90" w:type="dxa"/>
              <w:end w:w="100" w:type="dxa"/>
            </w:tcMar>
          </w:tcPr>
          <w:p>
            <w:r>
              <w:rPr>
                <w:b/>
              </w:rPr>
              <w:t>설자 표기</w:t>
            </w:r>
          </w:p>
        </w:tc>
        <w:tc>
          <w:tcPr>
            <w:tcW w:type="dxa" w:w="7257"/>
            <w:vAlign w:val="top"/>
            <w:tcMar>
              <w:top w:w="90" w:type="dxa"/>
              <w:start w:w="100" w:type="dxa"/>
              <w:bottom w:w="90" w:type="dxa"/>
              <w:end w:w="100" w:type="dxa"/>
            </w:tcMar>
          </w:tcPr>
          <w:p>
            <w:r>
              <w:t>六祖大鑒禪師說 — 육조 대감선사 설</w:t>
            </w:r>
          </w:p>
        </w:tc>
      </w:tr>
      <w:tr>
        <w:tc>
          <w:tcPr>
            <w:tcW w:type="dxa" w:w="1814"/>
            <w:shd w:fill="F5F5F5"/>
            <w:vAlign w:val="top"/>
            <w:tcMar>
              <w:top w:w="90" w:type="dxa"/>
              <w:start w:w="100" w:type="dxa"/>
              <w:bottom w:w="90" w:type="dxa"/>
              <w:end w:w="100" w:type="dxa"/>
            </w:tcMar>
          </w:tcPr>
          <w:p>
            <w:r>
              <w:rPr>
                <w:b/>
              </w:rPr>
              <w:t>저본 범위</w:t>
            </w:r>
          </w:p>
        </w:tc>
        <w:tc>
          <w:tcPr>
            <w:tcW w:type="dxa" w:w="7257"/>
            <w:vAlign w:val="top"/>
            <w:tcMar>
              <w:top w:w="90" w:type="dxa"/>
              <w:start w:w="100" w:type="dxa"/>
              <w:bottom w:w="90" w:type="dxa"/>
              <w:end w:w="100" w:type="dxa"/>
            </w:tcMar>
          </w:tcPr>
          <w:p>
            <w:r>
              <w:t>첨부 TXT 전체. 『金剛經口訣』 본문은 [0534b21]에서 시작해 「金剛經口訣(終)」으로 끝나며, 뒤에 [0535b18] [1A]와 [0535b21] [1B]의 후속 문헌 표지가 이어짐</w:t>
            </w:r>
          </w:p>
        </w:tc>
      </w:tr>
      <w:tr>
        <w:tc>
          <w:tcPr>
            <w:tcW w:type="dxa" w:w="1814"/>
            <w:shd w:fill="F5F5F5"/>
            <w:vAlign w:val="top"/>
            <w:tcMar>
              <w:top w:w="90" w:type="dxa"/>
              <w:start w:w="100" w:type="dxa"/>
              <w:bottom w:w="90" w:type="dxa"/>
              <w:end w:w="100" w:type="dxa"/>
            </w:tcMar>
          </w:tcPr>
          <w:p>
            <w:r>
              <w:rPr>
                <w:b/>
              </w:rPr>
              <w:t>저본 단위</w:t>
            </w:r>
          </w:p>
        </w:tc>
        <w:tc>
          <w:tcPr>
            <w:tcW w:type="dxa" w:w="7257"/>
            <w:vAlign w:val="top"/>
            <w:tcMar>
              <w:top w:w="90" w:type="dxa"/>
              <w:start w:w="100" w:type="dxa"/>
              <w:bottom w:w="90" w:type="dxa"/>
              <w:end w:w="100" w:type="dxa"/>
            </w:tcMar>
          </w:tcPr>
          <w:p>
            <w:r>
              <w:t>TXT에 실제 존재하는 위치 표지 3개 구간을 기준으로 재배열. 표제·설자행·종결표지·후속 저자행은 별도 메타데이터 또는 부속 표지로 보존</w:t>
            </w:r>
          </w:p>
        </w:tc>
      </w:tr>
      <w:tr>
        <w:tc>
          <w:tcPr>
            <w:tcW w:type="dxa" w:w="1814"/>
            <w:shd w:fill="F5F5F5"/>
            <w:vAlign w:val="top"/>
            <w:tcMar>
              <w:top w:w="90" w:type="dxa"/>
              <w:start w:w="100" w:type="dxa"/>
              <w:bottom w:w="90" w:type="dxa"/>
              <w:end w:w="100" w:type="dxa"/>
            </w:tcMar>
          </w:tcPr>
          <w:p>
            <w:r>
              <w:rPr>
                <w:b/>
              </w:rPr>
              <w:t>배치 원칙</w:t>
            </w:r>
          </w:p>
        </w:tc>
        <w:tc>
          <w:tcPr>
            <w:tcW w:type="dxa" w:w="7257"/>
            <w:vAlign w:val="top"/>
            <w:tcMar>
              <w:top w:w="90" w:type="dxa"/>
              <w:start w:w="100" w:type="dxa"/>
              <w:bottom w:w="90" w:type="dxa"/>
              <w:end w:w="100" w:type="dxa"/>
            </w:tcMar>
          </w:tcPr>
          <w:p>
            <w:r>
              <w:t>위치 표지 → 원문 → 한국어 직역 → 필요한 교감·번역 메모 순서. 기존 세부 고유번호는 전부 삭제</w:t>
            </w:r>
          </w:p>
        </w:tc>
      </w:tr>
      <w:tr>
        <w:tc>
          <w:tcPr>
            <w:tcW w:type="dxa" w:w="1814"/>
            <w:shd w:fill="F5F5F5"/>
            <w:vAlign w:val="top"/>
            <w:tcMar>
              <w:top w:w="90" w:type="dxa"/>
              <w:start w:w="100" w:type="dxa"/>
              <w:bottom w:w="90" w:type="dxa"/>
              <w:end w:w="100" w:type="dxa"/>
            </w:tcMar>
          </w:tcPr>
          <w:p>
            <w:r>
              <w:rPr>
                <w:b/>
              </w:rPr>
              <w:t>번역 원칙</w:t>
            </w:r>
          </w:p>
        </w:tc>
        <w:tc>
          <w:tcPr>
            <w:tcW w:type="dxa" w:w="7257"/>
            <w:vAlign w:val="top"/>
            <w:tcMar>
              <w:top w:w="90" w:type="dxa"/>
              <w:start w:w="100" w:type="dxa"/>
              <w:bottom w:w="90" w:type="dxa"/>
              <w:end w:w="100" w:type="dxa"/>
            </w:tcMar>
          </w:tcPr>
          <w:p>
            <w:r>
              <w:t>엄격한 직역을 기본으로 하되 한국어 문장의 호응과 문맥 연결을 다듬음. 원문의 부정·조건·인과·대조·열거·반문을 생략하지 않음</w:t>
            </w:r>
          </w:p>
        </w:tc>
      </w:tr>
      <w:tr>
        <w:tc>
          <w:tcPr>
            <w:tcW w:type="dxa" w:w="1814"/>
            <w:shd w:fill="F5F5F5"/>
            <w:vAlign w:val="top"/>
            <w:tcMar>
              <w:top w:w="90" w:type="dxa"/>
              <w:start w:w="100" w:type="dxa"/>
              <w:bottom w:w="90" w:type="dxa"/>
              <w:end w:w="100" w:type="dxa"/>
            </w:tcMar>
          </w:tcPr>
          <w:p>
            <w:r>
              <w:rPr>
                <w:b/>
              </w:rPr>
              <w:t>원문 보존</w:t>
            </w:r>
          </w:p>
        </w:tc>
        <w:tc>
          <w:tcPr>
            <w:tcW w:type="dxa" w:w="7257"/>
            <w:vAlign w:val="top"/>
            <w:tcMar>
              <w:top w:w="90" w:type="dxa"/>
              <w:start w:w="100" w:type="dxa"/>
              <w:bottom w:w="90" w:type="dxa"/>
              <w:end w:w="100" w:type="dxa"/>
            </w:tcMar>
          </w:tcPr>
          <w:p>
            <w:r>
              <w:t>원문의 글자·순서·이체자·위치 표지·편집 표지 [1A] [1B]를 임의로 정규화하거나 교정하지 않음</w:t>
            </w:r>
          </w:p>
        </w:tc>
      </w:tr>
      <w:tr>
        <w:tc>
          <w:tcPr>
            <w:tcW w:type="dxa" w:w="1814"/>
            <w:shd w:fill="F5F5F5"/>
            <w:vAlign w:val="top"/>
            <w:tcMar>
              <w:top w:w="90" w:type="dxa"/>
              <w:start w:w="100" w:type="dxa"/>
              <w:bottom w:w="90" w:type="dxa"/>
              <w:end w:w="100" w:type="dxa"/>
            </w:tcMar>
          </w:tcPr>
          <w:p>
            <w:r>
              <w:rPr>
                <w:b/>
              </w:rPr>
              <w:t>대조 범위</w:t>
            </w:r>
          </w:p>
        </w:tc>
        <w:tc>
          <w:tcPr>
            <w:tcW w:type="dxa" w:w="7257"/>
            <w:vAlign w:val="top"/>
            <w:tcMar>
              <w:top w:w="90" w:type="dxa"/>
              <w:start w:w="100" w:type="dxa"/>
              <w:bottom w:w="90" w:type="dxa"/>
              <w:end w:w="100" w:type="dxa"/>
            </w:tcMar>
          </w:tcPr>
          <w:p>
            <w:r>
              <w:t>외부 판본 교감은 시행하지 않음. 구두·구문이 불안정한 곳은 현 저본을 그대로 두고 불확실성을 표시</w:t>
            </w:r>
          </w:p>
        </w:tc>
      </w:tr>
    </w:tbl>
    <w:p>
      <w:pPr>
        <w:pStyle w:val="Heading2"/>
        <w:widowControl/>
      </w:pPr>
      <w:r>
        <w:t>전체 선독 결과와 문헌 구조</w:t>
      </w:r>
    </w:p>
    <w:p>
      <w:pPr>
        <w:widowControl/>
      </w:pPr>
      <w:r>
        <w:t>• 서지부: 「No. 460」「金剛經口訣」「六祖大鑒禪師說」로 문헌 번호·표제·설자가 제시된다.</w:t>
      </w:r>
    </w:p>
    <w:p>
      <w:pPr>
        <w:widowControl/>
      </w:pPr>
      <w:r>
        <w:t>• 본문 전반: 법성의 원적과 생념·생연에서 의식·육근·마음이 전개되는 과정을 설명하고, 마음을 생멸과 범성(凡聖)이 갈리는 핵심 자리로 제시한다.</w:t>
      </w:r>
    </w:p>
    <w:p>
      <w:pPr>
        <w:widowControl/>
      </w:pPr>
      <w:r>
        <w:t>• 중반: 형체·혈기·정·신·묘용의 관계를 논한 뒤 범부의 逐物과 성현의 應物, 범부의 업·집착·윤회와 성현의 응적·자재한 생멸을 대조한다.</w:t>
      </w:r>
    </w:p>
    <w:p>
      <w:pPr>
        <w:widowControl/>
      </w:pPr>
      <w:r>
        <w:t>• 후반: 여래의 자비와 팔만사천 법문을 설명하고, 有/無·色/空·斷/常에 대한 집착을 비판하면서 대반야법과 『금강경』의 無所住·實相 논의로 귀결한다.</w:t>
      </w:r>
    </w:p>
    <w:p>
      <w:pPr>
        <w:widowControl/>
      </w:pPr>
      <w:r>
        <w:t>• 문답·과문: 「問曰」「答曰」처럼 명시된 문답 형식이나 번호화된 과문은 없다. 다만 「其可得乎」「何能累我性哉」 등의 반문과 반복 열거·대조 구조가 뚜렷하다.</w:t>
      </w:r>
    </w:p>
    <w:p>
      <w:pPr>
        <w:widowControl/>
      </w:pPr>
      <w:r>
        <w:t>• 파일 상태: UTF-8 텍스트로 정상 판독되며 명시적 결락 표지는 없다. 다만 몇몇 구절은 현행 구두만으로 문법 관계를 단일하게 확정하기 어렵다.</w:t>
      </w:r>
    </w:p>
    <w:p>
      <w:pPr>
        <w:widowControl/>
      </w:pPr>
      <w:r>
        <w:t>• 위치 표지: [0534b21], [0535b18] [1A], [0535b21] [1B]가 확인된다. 본문 내부에는 [0534b21] 이후 추가 위치 표지가 없으므로 임의의 위치 표지를 만들지 않았다.</w:t>
      </w:r>
    </w:p>
    <w:p>
      <w:pPr>
        <w:widowControl/>
      </w:pPr>
      <w:r>
        <w:t>• 문헌 경계: 「金剛經口訣(終)」 뒤의 『金剛經疏論纂要』와 『金剛經疏論纂要刊定記』 표제·저자행은 『金剛經口訣』 본문 주석이 아니라 파일 뒤에 이어진 후속 문헌 표지로 구분한다.</w:t>
      </w:r>
    </w:p>
    <w:p>
      <w:pPr>
        <w:pStyle w:val="Heading2"/>
        <w:widowControl/>
      </w:pPr>
      <w:r>
        <w:t>주요 번역어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c>
          <w:tcPr>
            <w:tcW w:type="dxa" w:w="1701"/>
            <w:shd w:fill="EDEDED"/>
            <w:tcMar>
              <w:top w:w="90" w:type="dxa"/>
              <w:start w:w="100" w:type="dxa"/>
              <w:bottom w:w="90" w:type="dxa"/>
              <w:end w:w="100" w:type="dxa"/>
            </w:tcMar>
          </w:tcPr>
          <w:p>
            <w:r>
              <w:rPr>
                <w:b/>
              </w:rPr>
              <w:t>번역어</w:t>
            </w:r>
          </w:p>
        </w:tc>
        <w:tc>
          <w:tcPr>
            <w:tcW w:type="dxa" w:w="1701"/>
            <w:shd w:fill="EDEDED"/>
            <w:tcMar>
              <w:top w:w="90" w:type="dxa"/>
              <w:start w:w="100" w:type="dxa"/>
              <w:bottom w:w="90" w:type="dxa"/>
              <w:end w:w="100" w:type="dxa"/>
            </w:tcMar>
          </w:tcPr>
          <w:p>
            <w:r>
              <w:rPr>
                <w:b/>
              </w:rPr>
              <w:t>원어</w:t>
            </w:r>
          </w:p>
        </w:tc>
        <w:tc>
          <w:tcPr>
            <w:tcW w:type="dxa" w:w="5669"/>
            <w:shd w:fill="EDEDED"/>
            <w:tcMar>
              <w:top w:w="90" w:type="dxa"/>
              <w:start w:w="100" w:type="dxa"/>
              <w:bottom w:w="90" w:type="dxa"/>
              <w:end w:w="100" w:type="dxa"/>
            </w:tcMar>
          </w:tcPr>
          <w:p>
            <w:r>
              <w:rPr>
                <w:b/>
              </w:rPr>
              <w:t>이 문서에서의 뜻</w:t>
            </w:r>
          </w:p>
        </w:tc>
      </w:tr>
      <w:tr>
        <w:tc>
          <w:tcPr>
            <w:tcW w:type="dxa" w:w="1701"/>
            <w:tcMar>
              <w:top w:w="90" w:type="dxa"/>
              <w:start w:w="100" w:type="dxa"/>
              <w:bottom w:w="90" w:type="dxa"/>
              <w:end w:w="100" w:type="dxa"/>
            </w:tcMar>
            <w:vAlign w:val="top"/>
          </w:tcPr>
          <w:p>
            <w:r>
              <w:t>법성</w:t>
            </w:r>
          </w:p>
        </w:tc>
        <w:tc>
          <w:tcPr>
            <w:tcW w:type="dxa" w:w="1701"/>
            <w:tcMar>
              <w:top w:w="90" w:type="dxa"/>
              <w:start w:w="100" w:type="dxa"/>
              <w:bottom w:w="90" w:type="dxa"/>
              <w:end w:w="100" w:type="dxa"/>
            </w:tcMar>
            <w:vAlign w:val="top"/>
          </w:tcPr>
          <w:p>
            <w:r>
              <w:t>法性</w:t>
            </w:r>
          </w:p>
        </w:tc>
        <w:tc>
          <w:tcPr>
            <w:tcW w:type="dxa" w:w="5669"/>
            <w:tcMar>
              <w:top w:w="90" w:type="dxa"/>
              <w:start w:w="100" w:type="dxa"/>
              <w:bottom w:w="90" w:type="dxa"/>
              <w:end w:w="100" w:type="dxa"/>
            </w:tcMar>
            <w:vAlign w:val="top"/>
          </w:tcPr>
          <w:p>
            <w:r>
              <w:t>생멸 이전의 본래 성품을 논하는 핵심어</w:t>
            </w:r>
          </w:p>
        </w:tc>
      </w:tr>
      <w:tr>
        <w:tc>
          <w:tcPr>
            <w:tcW w:type="dxa" w:w="1701"/>
            <w:tcMar>
              <w:top w:w="90" w:type="dxa"/>
              <w:start w:w="100" w:type="dxa"/>
              <w:bottom w:w="90" w:type="dxa"/>
              <w:end w:w="100" w:type="dxa"/>
            </w:tcMar>
            <w:vAlign w:val="top"/>
          </w:tcPr>
          <w:p>
            <w:r>
              <w:t>원적</w:t>
            </w:r>
          </w:p>
        </w:tc>
        <w:tc>
          <w:tcPr>
            <w:tcW w:type="dxa" w:w="1701"/>
            <w:tcMar>
              <w:top w:w="90" w:type="dxa"/>
              <w:start w:w="100" w:type="dxa"/>
              <w:bottom w:w="90" w:type="dxa"/>
              <w:end w:w="100" w:type="dxa"/>
            </w:tcMar>
            <w:vAlign w:val="top"/>
          </w:tcPr>
          <w:p>
            <w:r>
              <w:t>圓寂</w:t>
            </w:r>
          </w:p>
        </w:tc>
        <w:tc>
          <w:tcPr>
            <w:tcW w:type="dxa" w:w="5669"/>
            <w:tcMar>
              <w:top w:w="90" w:type="dxa"/>
              <w:start w:w="100" w:type="dxa"/>
              <w:bottom w:w="90" w:type="dxa"/>
              <w:end w:w="100" w:type="dxa"/>
            </w:tcMar>
            <w:vAlign w:val="top"/>
          </w:tcPr>
          <w:p>
            <w:r>
              <w:t>이 문헌에서 법성의 원만하고 고요한 상태를 가리키는 표현. 일반적인 입적 의미로 한정하지 않음</w:t>
            </w:r>
          </w:p>
        </w:tc>
      </w:tr>
      <w:tr>
        <w:tc>
          <w:tcPr>
            <w:tcW w:type="dxa" w:w="1701"/>
            <w:tcMar>
              <w:top w:w="90" w:type="dxa"/>
              <w:start w:w="100" w:type="dxa"/>
              <w:bottom w:w="90" w:type="dxa"/>
              <w:end w:w="100" w:type="dxa"/>
            </w:tcMar>
            <w:vAlign w:val="top"/>
          </w:tcPr>
          <w:p>
            <w:r>
              <w:t>생념</w:t>
            </w:r>
          </w:p>
        </w:tc>
        <w:tc>
          <w:tcPr>
            <w:tcW w:type="dxa" w:w="1701"/>
            <w:tcMar>
              <w:top w:w="90" w:type="dxa"/>
              <w:start w:w="100" w:type="dxa"/>
              <w:bottom w:w="90" w:type="dxa"/>
              <w:end w:w="100" w:type="dxa"/>
            </w:tcMar>
            <w:vAlign w:val="top"/>
          </w:tcPr>
          <w:p>
            <w:r>
              <w:t>生念</w:t>
            </w:r>
          </w:p>
        </w:tc>
        <w:tc>
          <w:tcPr>
            <w:tcW w:type="dxa" w:w="5669"/>
            <w:tcMar>
              <w:top w:w="90" w:type="dxa"/>
              <w:start w:w="100" w:type="dxa"/>
              <w:bottom w:w="90" w:type="dxa"/>
              <w:end w:w="100" w:type="dxa"/>
            </w:tcMar>
            <w:vAlign w:val="top"/>
          </w:tcPr>
          <w:p>
            <w:r>
              <w:t>생(生)으로 향하는 생각 또는 생을 일으키는 생각을 가리키는 문맥상의 핵심 표현</w:t>
            </w:r>
          </w:p>
        </w:tc>
      </w:tr>
      <w:tr>
        <w:tc>
          <w:tcPr>
            <w:tcW w:type="dxa" w:w="1701"/>
            <w:tcMar>
              <w:top w:w="90" w:type="dxa"/>
              <w:start w:w="100" w:type="dxa"/>
              <w:bottom w:w="90" w:type="dxa"/>
              <w:end w:w="100" w:type="dxa"/>
            </w:tcMar>
            <w:vAlign w:val="top"/>
          </w:tcPr>
          <w:p>
            <w:r>
              <w:t>생연</w:t>
            </w:r>
          </w:p>
        </w:tc>
        <w:tc>
          <w:tcPr>
            <w:tcW w:type="dxa" w:w="1701"/>
            <w:tcMar>
              <w:top w:w="90" w:type="dxa"/>
              <w:start w:w="100" w:type="dxa"/>
              <w:bottom w:w="90" w:type="dxa"/>
              <w:end w:w="100" w:type="dxa"/>
            </w:tcMar>
            <w:vAlign w:val="top"/>
          </w:tcPr>
          <w:p>
            <w:r>
              <w:t>生緣</w:t>
            </w:r>
          </w:p>
        </w:tc>
        <w:tc>
          <w:tcPr>
            <w:tcW w:type="dxa" w:w="5669"/>
            <w:tcMar>
              <w:top w:w="90" w:type="dxa"/>
              <w:start w:w="100" w:type="dxa"/>
              <w:bottom w:w="90" w:type="dxa"/>
              <w:end w:w="100" w:type="dxa"/>
            </w:tcMar>
            <w:vAlign w:val="top"/>
          </w:tcPr>
          <w:p>
            <w:r>
              <w:t>생이 성립하는 인연·조건을 가리키며 生念과 연쇄됨</w:t>
            </w:r>
          </w:p>
        </w:tc>
      </w:tr>
      <w:tr>
        <w:tc>
          <w:tcPr>
            <w:tcW w:type="dxa" w:w="1701"/>
            <w:tcMar>
              <w:top w:w="90" w:type="dxa"/>
              <w:start w:w="100" w:type="dxa"/>
              <w:bottom w:w="90" w:type="dxa"/>
              <w:end w:w="100" w:type="dxa"/>
            </w:tcMar>
            <w:vAlign w:val="top"/>
          </w:tcPr>
          <w:p>
            <w:r>
              <w:t>신식</w:t>
            </w:r>
          </w:p>
        </w:tc>
        <w:tc>
          <w:tcPr>
            <w:tcW w:type="dxa" w:w="1701"/>
            <w:tcMar>
              <w:top w:w="90" w:type="dxa"/>
              <w:start w:w="100" w:type="dxa"/>
              <w:bottom w:w="90" w:type="dxa"/>
              <w:end w:w="100" w:type="dxa"/>
            </w:tcMar>
            <w:vAlign w:val="top"/>
          </w:tcPr>
          <w:p>
            <w:r>
              <w:t>神識</w:t>
            </w:r>
          </w:p>
        </w:tc>
        <w:tc>
          <w:tcPr>
            <w:tcW w:type="dxa" w:w="5669"/>
            <w:tcMar>
              <w:top w:w="90" w:type="dxa"/>
              <w:start w:w="100" w:type="dxa"/>
              <w:bottom w:w="90" w:type="dxa"/>
              <w:end w:w="100" w:type="dxa"/>
            </w:tcMar>
            <w:vAlign w:val="top"/>
          </w:tcPr>
          <w:p>
            <w:r>
              <w:t>마음에 머무는 식을 지칭하는 원문 표현</w:t>
            </w:r>
          </w:p>
        </w:tc>
      </w:tr>
      <w:tr>
        <w:tc>
          <w:tcPr>
            <w:tcW w:type="dxa" w:w="1701"/>
            <w:tcMar>
              <w:top w:w="90" w:type="dxa"/>
              <w:start w:w="100" w:type="dxa"/>
              <w:bottom w:w="90" w:type="dxa"/>
              <w:end w:w="100" w:type="dxa"/>
            </w:tcMar>
            <w:vAlign w:val="top"/>
          </w:tcPr>
          <w:p>
            <w:r>
              <w:t>묘용</w:t>
            </w:r>
          </w:p>
        </w:tc>
        <w:tc>
          <w:tcPr>
            <w:tcW w:type="dxa" w:w="1701"/>
            <w:tcMar>
              <w:top w:w="90" w:type="dxa"/>
              <w:start w:w="100" w:type="dxa"/>
              <w:bottom w:w="90" w:type="dxa"/>
              <w:end w:w="100" w:type="dxa"/>
            </w:tcMar>
            <w:vAlign w:val="top"/>
          </w:tcPr>
          <w:p>
            <w:r>
              <w:t>妙用</w:t>
            </w:r>
          </w:p>
        </w:tc>
        <w:tc>
          <w:tcPr>
            <w:tcW w:type="dxa" w:w="5669"/>
            <w:tcMar>
              <w:top w:w="90" w:type="dxa"/>
              <w:start w:w="100" w:type="dxa"/>
              <w:bottom w:w="90" w:type="dxa"/>
              <w:end w:w="100" w:type="dxa"/>
            </w:tcMar>
            <w:vAlign w:val="top"/>
          </w:tcPr>
          <w:p>
            <w:r>
              <w:t>마음·진아가 사물에 응하여 드러내는 미묘한 작용</w:t>
            </w:r>
          </w:p>
        </w:tc>
      </w:tr>
      <w:tr>
        <w:tc>
          <w:tcPr>
            <w:tcW w:type="dxa" w:w="1701"/>
            <w:tcMar>
              <w:top w:w="90" w:type="dxa"/>
              <w:start w:w="100" w:type="dxa"/>
              <w:bottom w:w="90" w:type="dxa"/>
              <w:end w:w="100" w:type="dxa"/>
            </w:tcMar>
            <w:vAlign w:val="top"/>
          </w:tcPr>
          <w:p>
            <w:r>
              <w:t>응물</w:t>
            </w:r>
          </w:p>
        </w:tc>
        <w:tc>
          <w:tcPr>
            <w:tcW w:type="dxa" w:w="1701"/>
            <w:tcMar>
              <w:top w:w="90" w:type="dxa"/>
              <w:start w:w="100" w:type="dxa"/>
              <w:bottom w:w="90" w:type="dxa"/>
              <w:end w:w="100" w:type="dxa"/>
            </w:tcMar>
            <w:vAlign w:val="top"/>
          </w:tcPr>
          <w:p>
            <w:r>
              <w:t>應物</w:t>
            </w:r>
          </w:p>
        </w:tc>
        <w:tc>
          <w:tcPr>
            <w:tcW w:type="dxa" w:w="5669"/>
            <w:tcMar>
              <w:top w:w="90" w:type="dxa"/>
              <w:start w:w="100" w:type="dxa"/>
              <w:bottom w:w="90" w:type="dxa"/>
              <w:end w:w="100" w:type="dxa"/>
            </w:tcMar>
            <w:vAlign w:val="top"/>
          </w:tcPr>
          <w:p>
            <w:r>
              <w:t>성현이 사물을 좇지 않고 주체적으로 사물에 응하는 작용</w:t>
            </w:r>
          </w:p>
        </w:tc>
      </w:tr>
      <w:tr>
        <w:tc>
          <w:tcPr>
            <w:tcW w:type="dxa" w:w="1701"/>
            <w:tcMar>
              <w:top w:w="90" w:type="dxa"/>
              <w:start w:w="100" w:type="dxa"/>
              <w:bottom w:w="90" w:type="dxa"/>
              <w:end w:w="100" w:type="dxa"/>
            </w:tcMar>
            <w:vAlign w:val="top"/>
          </w:tcPr>
          <w:p>
            <w:r>
              <w:t>진공</w:t>
            </w:r>
          </w:p>
        </w:tc>
        <w:tc>
          <w:tcPr>
            <w:tcW w:type="dxa" w:w="1701"/>
            <w:tcMar>
              <w:top w:w="90" w:type="dxa"/>
              <w:start w:w="100" w:type="dxa"/>
              <w:bottom w:w="90" w:type="dxa"/>
              <w:end w:w="100" w:type="dxa"/>
            </w:tcMar>
            <w:vAlign w:val="top"/>
          </w:tcPr>
          <w:p>
            <w:r>
              <w:t>真空</w:t>
            </w:r>
          </w:p>
        </w:tc>
        <w:tc>
          <w:tcPr>
            <w:tcW w:type="dxa" w:w="5669"/>
            <w:tcMar>
              <w:top w:w="90" w:type="dxa"/>
              <w:start w:w="100" w:type="dxa"/>
              <w:bottom w:w="90" w:type="dxa"/>
              <w:end w:w="100" w:type="dxa"/>
            </w:tcMar>
            <w:vAlign w:val="top"/>
          </w:tcPr>
          <w:p>
            <w:r>
              <w:t>범부의 생멸과 달리 성현의 멸이 돌아가는 참된 공</w:t>
            </w:r>
          </w:p>
        </w:tc>
      </w:tr>
      <w:tr>
        <w:tc>
          <w:tcPr>
            <w:tcW w:type="dxa" w:w="1701"/>
            <w:tcMar>
              <w:top w:w="90" w:type="dxa"/>
              <w:start w:w="100" w:type="dxa"/>
              <w:bottom w:w="90" w:type="dxa"/>
              <w:end w:w="100" w:type="dxa"/>
            </w:tcMar>
            <w:vAlign w:val="top"/>
          </w:tcPr>
          <w:p>
            <w:r>
              <w:t>응적</w:t>
            </w:r>
          </w:p>
        </w:tc>
        <w:tc>
          <w:tcPr>
            <w:tcW w:type="dxa" w:w="1701"/>
            <w:tcMar>
              <w:top w:w="90" w:type="dxa"/>
              <w:start w:w="100" w:type="dxa"/>
              <w:bottom w:w="90" w:type="dxa"/>
              <w:end w:w="100" w:type="dxa"/>
            </w:tcMar>
            <w:vAlign w:val="top"/>
          </w:tcPr>
          <w:p>
            <w:r>
              <w:t>應迹</w:t>
            </w:r>
          </w:p>
        </w:tc>
        <w:tc>
          <w:tcPr>
            <w:tcW w:type="dxa" w:w="5669"/>
            <w:tcMar>
              <w:top w:w="90" w:type="dxa"/>
              <w:start w:w="100" w:type="dxa"/>
              <w:bottom w:w="90" w:type="dxa"/>
              <w:end w:w="100" w:type="dxa"/>
            </w:tcMar>
            <w:vAlign w:val="top"/>
          </w:tcPr>
          <w:p>
            <w:r>
              <w:t>성현이 자취를 드러내어 태어남을 말하는 원문 표현</w:t>
            </w:r>
          </w:p>
        </w:tc>
      </w:tr>
      <w:tr>
        <w:tc>
          <w:tcPr>
            <w:tcW w:type="dxa" w:w="1701"/>
            <w:tcMar>
              <w:top w:w="90" w:type="dxa"/>
              <w:start w:w="100" w:type="dxa"/>
              <w:bottom w:w="90" w:type="dxa"/>
              <w:end w:w="100" w:type="dxa"/>
            </w:tcMar>
            <w:vAlign w:val="top"/>
          </w:tcPr>
          <w:p>
            <w:r>
              <w:t>진여</w:t>
            </w:r>
          </w:p>
        </w:tc>
        <w:tc>
          <w:tcPr>
            <w:tcW w:type="dxa" w:w="1701"/>
            <w:tcMar>
              <w:top w:w="90" w:type="dxa"/>
              <w:start w:w="100" w:type="dxa"/>
              <w:bottom w:w="90" w:type="dxa"/>
              <w:end w:w="100" w:type="dxa"/>
            </w:tcMar>
            <w:vAlign w:val="top"/>
          </w:tcPr>
          <w:p>
            <w:r>
              <w:t>真如</w:t>
            </w:r>
          </w:p>
        </w:tc>
        <w:tc>
          <w:tcPr>
            <w:tcW w:type="dxa" w:w="5669"/>
            <w:tcMar>
              <w:top w:w="90" w:type="dxa"/>
              <w:start w:w="100" w:type="dxa"/>
              <w:bottom w:w="90" w:type="dxa"/>
              <w:end w:w="100" w:type="dxa"/>
            </w:tcMar>
            <w:vAlign w:val="top"/>
          </w:tcPr>
          <w:p>
            <w:r>
              <w:t>여러 법문을 따라 도달한다고 설명되는 참된 성품의 경지</w:t>
            </w:r>
          </w:p>
        </w:tc>
      </w:tr>
      <w:tr>
        <w:tc>
          <w:tcPr>
            <w:tcW w:type="dxa" w:w="1701"/>
            <w:tcMar>
              <w:top w:w="90" w:type="dxa"/>
              <w:start w:w="100" w:type="dxa"/>
              <w:bottom w:w="90" w:type="dxa"/>
              <w:end w:w="100" w:type="dxa"/>
            </w:tcMar>
            <w:vAlign w:val="top"/>
          </w:tcPr>
          <w:p>
            <w:r>
              <w:t>무이법문</w:t>
            </w:r>
          </w:p>
        </w:tc>
        <w:tc>
          <w:tcPr>
            <w:tcW w:type="dxa" w:w="1701"/>
            <w:tcMar>
              <w:top w:w="90" w:type="dxa"/>
              <w:start w:w="100" w:type="dxa"/>
              <w:bottom w:w="90" w:type="dxa"/>
              <w:end w:w="100" w:type="dxa"/>
            </w:tcMar>
            <w:vAlign w:val="top"/>
          </w:tcPr>
          <w:p>
            <w:r>
              <w:t>無二法門</w:t>
            </w:r>
          </w:p>
        </w:tc>
        <w:tc>
          <w:tcPr>
            <w:tcW w:type="dxa" w:w="5669"/>
            <w:tcMar>
              <w:top w:w="90" w:type="dxa"/>
              <w:start w:w="100" w:type="dxa"/>
              <w:bottom w:w="90" w:type="dxa"/>
              <w:end w:w="100" w:type="dxa"/>
            </w:tcMar>
            <w:vAlign w:val="top"/>
          </w:tcPr>
          <w:p>
            <w:r>
              <w:t>유·무, 색·공, 단·상의 양변을 둘로 집착하지 않게 하는 법문</w:t>
            </w:r>
          </w:p>
        </w:tc>
      </w:tr>
      <w:tr>
        <w:tc>
          <w:tcPr>
            <w:tcW w:type="dxa" w:w="1701"/>
            <w:tcMar>
              <w:top w:w="90" w:type="dxa"/>
              <w:start w:w="100" w:type="dxa"/>
              <w:bottom w:w="90" w:type="dxa"/>
              <w:end w:w="100" w:type="dxa"/>
            </w:tcMar>
            <w:vAlign w:val="top"/>
          </w:tcPr>
          <w:p>
            <w:r>
              <w:t>무소주</w:t>
            </w:r>
          </w:p>
        </w:tc>
        <w:tc>
          <w:tcPr>
            <w:tcW w:type="dxa" w:w="1701"/>
            <w:tcMar>
              <w:top w:w="90" w:type="dxa"/>
              <w:start w:w="100" w:type="dxa"/>
              <w:bottom w:w="90" w:type="dxa"/>
              <w:end w:w="100" w:type="dxa"/>
            </w:tcMar>
            <w:vAlign w:val="top"/>
          </w:tcPr>
          <w:p>
            <w:r>
              <w:t>無所住</w:t>
            </w:r>
          </w:p>
        </w:tc>
        <w:tc>
          <w:tcPr>
            <w:tcW w:type="dxa" w:w="5669"/>
            <w:tcMar>
              <w:top w:w="90" w:type="dxa"/>
              <w:start w:w="100" w:type="dxa"/>
              <w:bottom w:w="90" w:type="dxa"/>
              <w:end w:w="100" w:type="dxa"/>
            </w:tcMar>
            <w:vAlign w:val="top"/>
          </w:tcPr>
          <w:p>
            <w:r>
              <w:t>『금강경』 해설의 핵심 표현으로, 일체법이 머무는 바 없음에 이르는 것을 가리킴</w:t>
            </w:r>
          </w:p>
        </w:tc>
      </w:tr>
      <w:tr>
        <w:tc>
          <w:tcPr>
            <w:tcW w:type="dxa" w:w="1701"/>
            <w:tcMar>
              <w:top w:w="90" w:type="dxa"/>
              <w:start w:w="100" w:type="dxa"/>
              <w:bottom w:w="90" w:type="dxa"/>
              <w:end w:w="100" w:type="dxa"/>
            </w:tcMar>
            <w:vAlign w:val="top"/>
          </w:tcPr>
          <w:p>
            <w:r>
              <w:t>실상</w:t>
            </w:r>
          </w:p>
        </w:tc>
        <w:tc>
          <w:tcPr>
            <w:tcW w:type="dxa" w:w="1701"/>
            <w:tcMar>
              <w:top w:w="90" w:type="dxa"/>
              <w:start w:w="100" w:type="dxa"/>
              <w:bottom w:w="90" w:type="dxa"/>
              <w:end w:w="100" w:type="dxa"/>
            </w:tcMar>
            <w:vAlign w:val="top"/>
          </w:tcPr>
          <w:p>
            <w:r>
              <w:t>實相</w:t>
            </w:r>
          </w:p>
        </w:tc>
        <w:tc>
          <w:tcPr>
            <w:tcW w:type="dxa" w:w="5669"/>
            <w:tcMar>
              <w:top w:w="90" w:type="dxa"/>
              <w:start w:w="100" w:type="dxa"/>
              <w:bottom w:w="90" w:type="dxa"/>
              <w:end w:w="100" w:type="dxa"/>
            </w:tcMar>
            <w:vAlign w:val="top"/>
          </w:tcPr>
          <w:p>
            <w:r>
              <w:t>후반부에서 「非」의 설법 방식과 연결되는 참된 상</w:t>
            </w:r>
          </w:p>
        </w:tc>
      </w:tr>
    </w:tbl>
    <w:p>
      <w:pPr>
        <w:pStyle w:val="Heading2"/>
        <w:widowControl/>
      </w:pPr>
      <w:r>
        <w:t>교감 표시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c>
          <w:tcPr>
            <w:tcW w:type="dxa" w:w="1814"/>
            <w:shd w:fill="EDEDED"/>
            <w:vAlign w:val="center"/>
            <w:tcMar>
              <w:top w:w="90" w:type="dxa"/>
              <w:start w:w="100" w:type="dxa"/>
              <w:bottom w:w="90" w:type="dxa"/>
              <w:end w:w="100" w:type="dxa"/>
            </w:tcMar>
          </w:tcPr>
          <w:p>
            <w:r>
              <w:rPr>
                <w:b/>
              </w:rPr>
              <w:t>항목</w:t>
            </w:r>
          </w:p>
        </w:tc>
        <w:tc>
          <w:tcPr>
            <w:tcW w:type="dxa" w:w="7257"/>
            <w:shd w:fill="EDEDED"/>
            <w:vAlign w:val="center"/>
            <w:tcMar>
              <w:top w:w="90" w:type="dxa"/>
              <w:start w:w="100" w:type="dxa"/>
              <w:bottom w:w="90" w:type="dxa"/>
              <w:end w:w="100" w:type="dxa"/>
            </w:tcMar>
          </w:tcPr>
          <w:p>
            <w:r>
              <w:rPr>
                <w:b/>
              </w:rPr>
              <w:t>내용</w:t>
            </w:r>
          </w:p>
        </w:tc>
      </w:tr>
      <w:tr>
        <w:tc>
          <w:tcPr>
            <w:tcW w:type="dxa" w:w="1814"/>
            <w:shd w:fill="F5F5F5"/>
            <w:vAlign w:val="top"/>
            <w:tcMar>
              <w:top w:w="90" w:type="dxa"/>
              <w:start w:w="100" w:type="dxa"/>
              <w:bottom w:w="90" w:type="dxa"/>
              <w:end w:w="100" w:type="dxa"/>
            </w:tcMar>
          </w:tcPr>
          <w:p>
            <w:r>
              <w:rPr>
                <w:b/>
              </w:rPr>
              <w:t>[구두 불확실]</w:t>
            </w:r>
          </w:p>
        </w:tc>
        <w:tc>
          <w:tcPr>
            <w:tcW w:type="dxa" w:w="7257"/>
            <w:vAlign w:val="top"/>
            <w:tcMar>
              <w:top w:w="90" w:type="dxa"/>
              <w:start w:w="100" w:type="dxa"/>
              <w:bottom w:w="90" w:type="dxa"/>
              <w:end w:w="100" w:type="dxa"/>
            </w:tcMar>
          </w:tcPr>
          <w:p>
            <w:r>
              <w:t>현 저본의 마침표 또는 내부 절단만으로 문장 경계를 하나로 확정하기 어려운 부분</w:t>
            </w:r>
          </w:p>
        </w:tc>
      </w:tr>
      <w:tr>
        <w:tc>
          <w:tcPr>
            <w:tcW w:type="dxa" w:w="1814"/>
            <w:shd w:fill="F5F5F5"/>
            <w:vAlign w:val="top"/>
            <w:tcMar>
              <w:top w:w="90" w:type="dxa"/>
              <w:start w:w="100" w:type="dxa"/>
              <w:bottom w:w="90" w:type="dxa"/>
              <w:end w:w="100" w:type="dxa"/>
            </w:tcMar>
          </w:tcPr>
          <w:p>
            <w:r>
              <w:rPr>
                <w:b/>
              </w:rPr>
              <w:t>[구문 불확실]</w:t>
            </w:r>
          </w:p>
        </w:tc>
        <w:tc>
          <w:tcPr>
            <w:tcW w:type="dxa" w:w="7257"/>
            <w:vAlign w:val="top"/>
            <w:tcMar>
              <w:top w:w="90" w:type="dxa"/>
              <w:start w:w="100" w:type="dxa"/>
              <w:bottom w:w="90" w:type="dxa"/>
              <w:end w:w="100" w:type="dxa"/>
            </w:tcMar>
          </w:tcPr>
          <w:p>
            <w:r>
              <w:t>글자는 판독되지만 수식·주술·목적 관계가 복수로 가능한 부분</w:t>
            </w:r>
          </w:p>
        </w:tc>
      </w:tr>
      <w:tr>
        <w:tc>
          <w:tcPr>
            <w:tcW w:type="dxa" w:w="1814"/>
            <w:shd w:fill="F5F5F5"/>
            <w:vAlign w:val="top"/>
            <w:tcMar>
              <w:top w:w="90" w:type="dxa"/>
              <w:start w:w="100" w:type="dxa"/>
              <w:bottom w:w="90" w:type="dxa"/>
              <w:end w:w="100" w:type="dxa"/>
            </w:tcMar>
          </w:tcPr>
          <w:p>
            <w:r>
              <w:rPr>
                <w:b/>
              </w:rPr>
              <w:t>[의미 불확실]</w:t>
            </w:r>
          </w:p>
        </w:tc>
        <w:tc>
          <w:tcPr>
            <w:tcW w:type="dxa" w:w="7257"/>
            <w:vAlign w:val="top"/>
            <w:tcMar>
              <w:top w:w="90" w:type="dxa"/>
              <w:start w:w="100" w:type="dxa"/>
              <w:bottom w:w="90" w:type="dxa"/>
              <w:end w:w="100" w:type="dxa"/>
            </w:tcMar>
          </w:tcPr>
          <w:p>
            <w:r>
              <w:t>특정 어휘나 압축 표현의 정확한 의미 범위를 이 저본만으로 확정하기 어려운 부분</w:t>
            </w:r>
          </w:p>
        </w:tc>
      </w:tr>
      <w:tr>
        <w:tc>
          <w:tcPr>
            <w:tcW w:type="dxa" w:w="1814"/>
            <w:shd w:fill="F5F5F5"/>
            <w:vAlign w:val="top"/>
            <w:tcMar>
              <w:top w:w="90" w:type="dxa"/>
              <w:start w:w="100" w:type="dxa"/>
              <w:bottom w:w="90" w:type="dxa"/>
              <w:end w:w="100" w:type="dxa"/>
            </w:tcMar>
          </w:tcPr>
          <w:p>
            <w:r>
              <w:rPr>
                <w:b/>
              </w:rPr>
              <w:t>[이문 검토 필요]</w:t>
            </w:r>
          </w:p>
        </w:tc>
        <w:tc>
          <w:tcPr>
            <w:tcW w:type="dxa" w:w="7257"/>
            <w:vAlign w:val="top"/>
            <w:tcMar>
              <w:top w:w="90" w:type="dxa"/>
              <w:start w:w="100" w:type="dxa"/>
              <w:bottom w:w="90" w:type="dxa"/>
              <w:end w:w="100" w:type="dxa"/>
            </w:tcMar>
          </w:tcPr>
          <w:p>
            <w:r>
              <w:t>현 문구가 문맥상 불안정해 다른 판본과의 대조가 필요하다고 판단되는 부분</w:t>
            </w:r>
          </w:p>
        </w:tc>
      </w:tr>
      <w:tr>
        <w:tc>
          <w:tcPr>
            <w:tcW w:type="dxa" w:w="1814"/>
            <w:shd w:fill="F5F5F5"/>
            <w:vAlign w:val="top"/>
            <w:tcMar>
              <w:top w:w="90" w:type="dxa"/>
              <w:start w:w="100" w:type="dxa"/>
              <w:bottom w:w="90" w:type="dxa"/>
              <w:end w:w="100" w:type="dxa"/>
            </w:tcMar>
          </w:tcPr>
          <w:p>
            <w:r>
              <w:rPr>
                <w:b/>
              </w:rPr>
              <w:t>[최소 보충]</w:t>
            </w:r>
          </w:p>
        </w:tc>
        <w:tc>
          <w:tcPr>
            <w:tcW w:type="dxa" w:w="7257"/>
            <w:vAlign w:val="top"/>
            <w:tcMar>
              <w:top w:w="90" w:type="dxa"/>
              <w:start w:w="100" w:type="dxa"/>
              <w:bottom w:w="90" w:type="dxa"/>
              <w:end w:w="100" w:type="dxa"/>
            </w:tcMar>
          </w:tcPr>
          <w:p>
            <w:r>
              <w:t>한국어 문장 성립을 위해 원문 직전 문맥에서 직접 확인되는 주어·목적어 등을 최소한으로 보충한 경우</w:t>
            </w:r>
          </w:p>
        </w:tc>
      </w:tr>
      <w:tr>
        <w:tc>
          <w:tcPr>
            <w:tcW w:type="dxa" w:w="1814"/>
            <w:shd w:fill="F5F5F5"/>
            <w:vAlign w:val="top"/>
            <w:tcMar>
              <w:top w:w="90" w:type="dxa"/>
              <w:start w:w="100" w:type="dxa"/>
              <w:bottom w:w="90" w:type="dxa"/>
              <w:end w:w="100" w:type="dxa"/>
            </w:tcMar>
          </w:tcPr>
          <w:p>
            <w:r>
              <w:rPr>
                <w:b/>
              </w:rPr>
              <w:t>원문 교정</w:t>
            </w:r>
          </w:p>
        </w:tc>
        <w:tc>
          <w:tcPr>
            <w:tcW w:type="dxa" w:w="7257"/>
            <w:vAlign w:val="top"/>
            <w:tcMar>
              <w:top w:w="90" w:type="dxa"/>
              <w:start w:w="100" w:type="dxa"/>
              <w:bottom w:w="90" w:type="dxa"/>
              <w:end w:w="100" w:type="dxa"/>
            </w:tcMar>
          </w:tcPr>
          <w:p>
            <w:r>
              <w:t>의심되는 글자·구두가 있더라도 본문 원문 자체는 고치지 않고 교감·번역 메모에서만 문제를 밝힘</w:t>
            </w:r>
          </w:p>
        </w:tc>
      </w:tr>
    </w:tbl>
    <w:p>
      <w:pPr>
        <w:pStyle w:val="Heading1"/>
        <w:widowControl/>
      </w:pPr>
      <w:r>
        <w:t>본문</w:t>
      </w:r>
    </w:p>
    <w:p>
      <w:pPr>
        <w:pStyle w:val="SmallMeta"/>
        <w:widowControl/>
      </w:pPr>
      <w:r>
        <w:t>No. 460  ·  金剛經口訣  ·  六祖大鑒禪師說  |  제460번 · 『금강경구결』 · 육조 대감선사 설</w:t>
      </w:r>
    </w:p>
    <w:p>
      <w:pPr>
        <w:pStyle w:val="Heading2"/>
        <w:widowControl/>
      </w:pPr>
      <w:r>
        <w:t>문단 001  ·  [0534b21]</w:t>
      </w:r>
    </w:p>
    <w:p>
      <w:pPr>
        <w:widowControl/>
        <w:spacing w:before="80" w:after="40"/>
      </w:pPr>
      <w:r>
        <w:rPr>
          <w:b/>
        </w:rPr>
        <w:t>원문</w:t>
      </w:r>
    </w:p>
    <w:p>
      <w:pPr>
        <w:pStyle w:val="SourceText"/>
        <w:widowControl/>
      </w:pPr>
      <w:r>
        <w:t>[0534b21] 法性圓寂。本無生滅。因有生念。遂有生緣。故天得命之以生。是故謂之命。天命既立。真空不有。前日生念。轉而為意識。意識之用散。而為六根。六根各有分別。中有所總持者。是故謂之心。心者念慮之所在也。神識之所舍也。真妄之所共處者也。當凡夫聖賢機會之地也。一切眾生。自無始來。不能離生滅者。皆為此心所累故。諸佛惟教人了此心。此心了即見自性。見自性則是菩提也。此在性時。皆自空寂而湛然。若無緣有生念而後有者也。有生則有形。形者地水火風之聚沫也。以血氣為體。有生者之所託也。血氣足則精足。精足則生神。神足生妙用。然則妙用者。即在吾圓寂時之真我也。因形之遇物故。見之於作為而已。但凡夫迷而逐物。聖賢明而應物。逐物者自彼。應物者自我。自彼者。著於所見。故受輪迴。自我者。當體常空。萬劫如一。合而觀之。皆心之妙用也。是故當其未生之時。所謂性者。圓滿具足。空然無物。湛乎自然。其廣大。與虗空等。往來變化。一切自由。天雖欲命我以生。其可得乎。天猶不能命我以生。況於四大乎。況於五行乎。既有生念。又有生緣。故天得以生命我。四大得以氣形我。五行得以數約我。此有生者之所以有滅也。然乎生滅則一。在凡夫聖賢之所以生滅則殊。凡夫之人。生緣念有。識隨業變。習氣薰染。因生愈甚。故既生之後。心著諸妄。妄認四大。以為我身。妄認六親。以為我有。妄認聲色。以為快樂。妄認塵勞。以為富貴。心目知見。無所不妄。諸妄既起。煩惱萬差。妄念奪真。真性遂隱。人我為主。真識為客。三業前引。百業後隨。流浪生死。無有涯際。生盡則滅。滅盡復生。生滅相尋。至墮諸趣。轉轉不知。愈恣無明。造諸業罟。遂至塵沙劫盡。不復人身。聖賢則不然。聖賢生不因念。應迹而生。欲生則生。不待彼命。故既生之後。圓寂之性。依舊湛然無體。相無罣礙。其照萬法。如青天白日。無毫髮隱滯故。能建立一切善法。遍於沙界。不見其少。攝受一切眾生。歸於寂滅。不以為多驅之不能來逐之不能去。雖托四大為形。五行為養。皆我所假。未嘗妄認我。緣苟盡我迹當滅。委而去之。如來去耳。於我何與哉。是故凡夫。有生則有滅。滅者不能不生。賢聖有生亦有滅。滅者歸於真空。是故凡夫生滅。如身中影。出入相隨。無有盡時。聖賢生滅。如空中雷自發自止。不累於物。世人不知生滅之如此。而以生滅。為煩惱大患。盖不自覺也。覺則見生滅。如身上塵。當一振奮耳。何能累我性哉。昔我如來。以大慈悲心。憫一切眾生。迷錯顛倒。流浪生死之如此。又見一切眾生。本有快樂自在性。皆可修證成佛。欲一切眾生。盡為聖賢生滅。不為凡夫生滅。猶慮一切眾生。無始以來。流浪日久。其種性已差。未能以一法速悟故。為說八萬四千法門。門門可入。皆可到真如之地。每說一法門。莫非丁寧實語。欲使一切眾生。各隨所見法門。入自心地。到自心地。見自佛性。證自身佛。即同如來。是故如來。於諸經說有者。欲使一切眾生。覩相生善。說無者。欲使一切眾生。離相見性。所說色空。亦復如是。然而眾生執著。見有非真有。見無非真無。其見色見空。皆如是執著。復起斷常二見。轉為生死根蒂。不示以無二法門。又將迷錯顛倒。流浪生死。甚於前日。故如來又為說大般若法。破斷常二見。使一切眾生。知真有真無真色真空。本來無二。亦不遠人。湛然寂靜。只在自己性中。但以自己性智慧。照破諸妄。則曉然自見。是故大般若經六百卷。皆如來為菩薩果人。說佛性。然而其間。猶有為頓漸者說。惟金剛經。為發大乘者說。為發最上乘者說。是故其經。先說四生四相。次云凡所有相。皆是虗妄。若見諸相非相。即見如來。盖顯一切法。至無所住。是為真諦。故如來於此經。凡說涉有即破之。以非直取實相。以示眾生。盖恐眾生不解佛所說。其心反有所住故也。如所謂佛法即非佛法之類是也。</w:t>
      </w:r>
    </w:p>
    <w:p>
      <w:pPr>
        <w:widowControl/>
        <w:spacing w:before="80" w:after="40"/>
      </w:pPr>
      <w:r>
        <w:rPr>
          <w:b/>
        </w:rPr>
        <w:t>한국어 직역</w:t>
      </w:r>
    </w:p>
    <w:p>
      <w:pPr>
        <w:pStyle w:val="TranslationText"/>
        <w:widowControl/>
      </w:pPr>
      <w:r>
        <w:t>법성(法性)은 원적(圓寂)하여 본래 생멸이 없다. 생념(生念)이 있음으로 말미암아 마침내 생연(生緣)이 있게 되고, 그러므로 하늘이 그것을 생하도록 명할 수 있으니 이를 명(命)이라 한다. 천명이 이미 서면 진공(真空)은 드러나지 않게 되고, 앞서의 생념이 바뀌어 의식(意識)이 된다. 의식의 작용이 흩어져 육근(六根)이 되고, 육근에는 저마다 분별이 있다. 그 가운데 이 모두를 거느려 지니는 것이 있으므로 이를 마음이라 한다. 마음은 생각과 사려가 자리하는 곳이고 신식(神識)이 머무는 곳이며, 참됨과 망령됨이 함께 거처하는 곳이고 범부와 성현의 기틀이 만나는 자리이다. 일체중생이 무시 이래로 생멸을 벗어나지 못하는 것은 모두 이 마음에 얽매이기 때문이다. 모든 부처는 오직 사람에게 이 마음을 깨치도록 가르친다. 이 마음을 깨치면 곧 자성(自性)을 보고, 자성을 보면 곧 보리(菩提)이다.</w:t>
      </w:r>
    </w:p>
    <w:p>
      <w:pPr>
        <w:pStyle w:val="TranslationText"/>
        <w:widowControl/>
      </w:pPr>
      <w:r>
        <w:t>이것이 성(性)에 있을 때에는 모두 스스로 공적(空寂)하고 담연하다. [구문 불확실] 「若無緣有生念而後有者也」는 현 저본의 구두와 문법 관계가 불안정하여, 여기서는 “만약 인연이 없다면 생념이 있은 뒤에야 있게 되는 것이다”라고 잠정적으로 읽는다. 생이 있으면 형체가 있다. 형체는 지·수·화·풍이 거품처럼 모인 것이며, 혈기(血氣)를 몸체로 삼으니 생이 있는 자가 의탁하는 바이다. 혈기가 충족하면 정(精)이 충족하고, 정이 충족하면 신(神)이 생기며, 신이 충족하면 묘용(妙用)이 생긴다. 그렇다면 묘용은 곧 내가 원적의 상태에 있을 때의 참된 나이다. 형체가 사물을 만나기 때문에 행위에서 그 묘용이 드러날 뿐이다.</w:t>
      </w:r>
    </w:p>
    <w:p>
      <w:pPr>
        <w:pStyle w:val="TranslationText"/>
        <w:widowControl/>
      </w:pPr>
      <w:r>
        <w:t>다만 범부는 미혹하여 사물을 좇고, 성현은 밝아서 사물에 응한다. 사물을 좇는 것은 저것으로부터 말미암고 사물에 응하는 것은 나로부터 말미암는다. 저것으로부터 말미암는 이는 보는 바에 집착하므로 윤회를 받고, 나로부터 말미암는 이는 그 자체가 늘 공하여 만겁이 지나도 한결같다. 합쳐서 보면 이 모두가 마음의 묘용이다. 그러므로 아직 생하지 않았을 때 이른바 성(性)은 원만하고 구족하며, 텅 비어 아무것도 없고 담연하여 저절로 그러하다. 그 광대함은 허공과 같고 오가며 변화하는 것이 모두 자유롭다. 하늘이 비록 나를 생하게 하려 한들 어찌 그렇게 할 수 있겠는가? 하늘조차 나를 생하게 할 수 없는데 하물며 사대(四大)이겠으며, 하물며 오행(五行)이겠는가?</w:t>
      </w:r>
    </w:p>
    <w:p>
      <w:pPr>
        <w:pStyle w:val="TranslationText"/>
        <w:widowControl/>
      </w:pPr>
      <w:r>
        <w:t>그러나 이미 생념이 있고 또 생연이 있으므로 하늘이 생으로써 나에게 명하고, 사대가 기(氣)로 나의 형체를 이루며, 오행이 수(數)로 나를 제약할 수 있다. 이것이 생이 있는 자에게 멸이 있게 되는 까닭이다. [구두 불확실] 생멸 자체는 한가지이지만 범부와 성현에게서 생멸이 이루어지는 까닭은 서로 다르다. 범부는 [구문 불확실] 「生緣念有」라 하여 생연과 생각의 관계가 분명하지 않으나, 식(識)은 업을 따라 변하고 습기(習氣)는 훈염되어 생으로 말미암아 더욱 심해진다. 그러므로 태어난 뒤에는 마음이 온갖 망령됨에 집착한다. 사대를 망령되이 알아 내 몸이라 여기고, 육친(六親)을 망령되이 알아 내 소유라 여기며, 성색(聲色)을 망령되이 알아 쾌락이라 여기고, 진로(塵勞)를 망령되이 알아 부귀라 여긴다. 마음과 눈의 지견 가운데 망령되지 않은 것이 없다.</w:t>
      </w:r>
    </w:p>
    <w:p>
      <w:pPr>
        <w:pStyle w:val="TranslationText"/>
        <w:widowControl/>
      </w:pPr>
      <w:r>
        <w:t>온갖 망령됨이 일어나면 번뇌가 만 가지로 갈라지고, 망념이 참됨을 빼앗아 참된 성품이 마침내 숨어 버린다. 인아(人我)가 주인이 되고 진식(真識)이 손님이 되며, 삼업(三業)이 앞에서 이끌고 온갖 업이 뒤따라 생사에 떠도니 끝이 없다. 생이 다하면 멸하고 멸이 다하면 다시 생하며, 생과 멸이 서로 이어져 마침내 여러 갈래[諸趣]에 떨어진다. 돌고 또 돌아 알지 못한 채 더욱 무명을 방자히 하여 온갖 업의 그물을 만들고, 마침내 진사(塵沙)와 같은 겁이 다하도록 이르러 다시 사람의 몸을 얻지 못한다.</w:t>
      </w:r>
    </w:p>
    <w:p>
      <w:pPr>
        <w:pStyle w:val="TranslationText"/>
        <w:widowControl/>
      </w:pPr>
      <w:r>
        <w:t>성현은 그렇지 않다. 성현의 태어남은 생각으로 말미암지 않고 응적(應迹)하여 태어난다. 태어나고자 하면 곧 태어나며 다른 것의 명을 기다리지 않는다. 그러므로 태어난 뒤에도 원적의 성품은 예전 그대로 담연하다. [구두 불확실] 저본은 「湛然無體。相無罣礙。」로 끊어져 있으므로 여기서는 “담연하여 체가 없고, 상에는 걸림이 없다”고 옮기지만, 「無體相。無罣礙。」로 읽을 가능성도 남는다. 그것이 만법을 비추는 것은 푸른 하늘의 밝은 해와 같아 털끝만큼도 가리거나 막힘이 없다. 그러므로 일체의 선법을 세울 수 있고, 모래알처럼 많은 세계[沙界]에 두루하여도 적다고 보지 않으며, 일체중생을 거두어 적멸(寂滅)로 돌아가게 하여도 많다고 여기지 않는다. [구두·의미 불확실] 「驅之不能來逐之不能去」는 내부 구두와 지시 대상이 분명하지 않아 “몰아도 오게 할 수 없고, 쫓아도 가게 할 수 없다”로 잠정 번역한다.</w:t>
      </w:r>
    </w:p>
    <w:p>
      <w:pPr>
        <w:pStyle w:val="TranslationText"/>
        <w:widowControl/>
      </w:pPr>
      <w:r>
        <w:t>비록 사대에 의탁해 형체를 삼고 오행을 길러 주는 조건으로 삼더라도, 이 모두는 내가 빌린 것이어서 일찍이 그것들을 망령되이 나라고 인정하지 않는다. 인연이 만일 다하면 나의 자취는 마땅히 사라지니, 그것을 내버려 두고 떠난다. [구두 불확실] 「如來去耳」는 여기서는 “마치 왔다가 가는 것일 뿐이다”로 읽었다. 그것이 나와 무슨 상관이 있겠는가? 그러므로 범부는 생이 있으면 멸이 있고, 멸한 것은 다시 생하지 않을 수 없다. 현성(賢聖)도 생이 있으면 또한 멸이 있으나, 멸하면 진공으로 돌아간다. 따라서 범부의 생멸은 몸 안의 그림자 같아 나고 듦이 서로 따르며 끝날 때가 없고, 성현의 생멸은 허공의 우레가 스스로 일어나고 스스로 그치는 것 같아 사물 때문에 누를 받지 않는다.</w:t>
      </w:r>
    </w:p>
    <w:p>
      <w:pPr>
        <w:pStyle w:val="TranslationText"/>
        <w:widowControl/>
      </w:pPr>
      <w:r>
        <w:t>세상 사람들은 생멸이 이와 같음을 알지 못하고 생멸을 번뇌의 큰 근심으로 삼으니, 대개 스스로 깨닫지 못하기 때문이다. 깨달으면 생멸을 몸 위의 먼지처럼 보아 그저 한 번 털어 버리면 될 뿐이다. 어찌 그것이 나의 성품을 얽어맬 수 있겠는가? 옛날 우리 여래께서는 대자비심으로 일체중생이 미혹하고 잘못되어 전도된 채 이처럼 생사에 떠도는 것을 가엾게 여기셨다. 또 일체중생에게 본래 즐겁고 자재한 성품이 있어 모두 닦고 증득하여 성불할 수 있음을 보셨다. 그래서 일체중생이 모두 성현의 생멸을 하고 범부의 생멸을 하지 않게 하려 하셨다.</w:t>
      </w:r>
    </w:p>
    <w:p>
      <w:pPr>
        <w:pStyle w:val="TranslationText"/>
        <w:widowControl/>
      </w:pPr>
      <w:r>
        <w:t>그러나 또 일체중생이 무시 이래로 오래도록 떠돌아 그 종성(種性)이 이미 달라져 하나의 법만으로 속히 깨닫게 할 수 없음을 염려하셨다. 그러므로 팔만사천 법문을 설하셨으니, 문마다 들어갈 수 있고 모두 진여(真如)의 땅에 이를 수 있다. 한 법문을 설할 때마다 간곡하고 참된 말이 아닌 것이 없었다. 일체중생이 각자 자신이 접한 법문을 따라 자기 마음자리[自心地]로 들어가 그 마음자리에 이르고, 자기의 불성을 보며, [구문 불확실] 「自身佛」 곧 ‘자기 몸의 부처’를 증득하여 여래와 같아지게 하려 하신 것이다.</w:t>
      </w:r>
    </w:p>
    <w:p>
      <w:pPr>
        <w:pStyle w:val="TranslationText"/>
        <w:widowControl/>
      </w:pPr>
      <w:r>
        <w:t>그러므로 여래께서 여러 경에서 ‘있음’을 설하신 것은 일체중생이 상을 보고 선을 일으키게 하려는 것이고, ‘없음’을 설하신 것은 일체중생이 상을 떠나 성품을 보게 하려는 것이다. 설하신 색(色)과 공(空)도 또한 이와 같다. 그러나 중생은 집착하기 때문에 그들이 보는 있음은 참된 있음이 아니고, 그들이 보는 없음은 참된 없음이 아니며, 색을 보고 공을 보는 것도 모두 이처럼 집착한다. 다시 단견과 상견이라는 두 견해를 일으켜 그것이 도리어 생사의 뿌리가 된다. 만일 무이법문(無二法門)을 보여 주지 않는다면 다시 미혹하고 잘못되어 전도된 채 생사에 떠도는 것이 전보다 더욱 심해질 것이다.</w:t>
      </w:r>
    </w:p>
    <w:p>
      <w:pPr>
        <w:pStyle w:val="TranslationText"/>
        <w:widowControl/>
      </w:pPr>
      <w:r>
        <w:t>그러므로 여래께서 다시 중생을 위해 대반야법(大般若法)을 설하여 단견과 상견의 두 견해를 깨뜨리고, 일체중생으로 하여금 참된 유(有)·참된 무(無)·참된 색(色)·참된 공(空)이 본래 둘이 아니며 또한 사람에게서 멀리 있지 않고, 담연하고 적정하여 오직 자기 성품 가운데 있을 뿐임을 알게 하셨다. 다만 자기 성품의 지혜로 온갖 망령됨을 비추어 깨뜨리면 곧 환히 스스로 보게 된다. 그러므로 『대반야경(大般若經)』 육백 권은 모두 여래께서 [의미 불확실] 보살과인(菩薩果人)을 위하여 불성을 설하신 것이다. 그러나 그 가운데에는 여전히 [의미 불확실] 돈·점(頓漸)의 이들을 위하여 설한 부분이 있다.</w:t>
      </w:r>
    </w:p>
    <w:p>
      <w:pPr>
        <w:pStyle w:val="TranslationText"/>
        <w:widowControl/>
      </w:pPr>
      <w:r>
        <w:t>오직 『금강경』은 대승을 발한 이를 위하여 설하고 최상승을 발한 이를 위하여 설한다. 그러므로 이 경에서는 먼저 사생(四生)과 사상(四相)을 설하고, 다음에 “무릇 있는 모든 상은 모두 허망하다. 만약 모든 상이 상이 아님을 보면 곧 여래를 본다”고 말한다. 이는 대개 일체법이 무소주(無所住)에 이르는 것이 진제(真諦)임을 드러낸 것이다. 그러므로 여래께서는 이 경에서 무릇 설법이 유(有)에 걸치면 곧 그것을 깨뜨리고, [구문 불확실] 「以非直取實相」 곧 ‘비(非)’를 통해 곧바로 실상(實相)을 취하여 중생에게 보이신다. 이는 대개 중생이 부처께서 설하신 바를 이해하지 못하여 그 마음이 도리어 머무는 바를 갖게 될까 염려하기 때문이다. 이른바 “불법이 곧 불법이 아니다[佛法即非佛法]”라고 하는 따위가 바로 그러한 예이다.</w:t>
      </w:r>
    </w:p>
    <w:p>
      <w:pPr>
        <w:pStyle w:val="EditorialNote"/>
        <w:widowControl/>
      </w:pPr>
      <w:r>
        <w:t>교감·번역 메모 | 「若無緣有生念而後有者也」는 현행 구두만으로 「若無緣」과 「有生念而後有」의 문법 관계를 확정하기 어렵다. 문맥상 다른 구두나 글자 가능성이 있어 [구문 불확실]·[이문 검토 필요]로 남겼다.</w:t>
      </w:r>
    </w:p>
    <w:p>
      <w:pPr>
        <w:pStyle w:val="EditorialNote"/>
        <w:widowControl/>
      </w:pPr>
      <w:r>
        <w:t>교감·번역 메모 | 「機會」「數」「生緣念有」「菩薩果人」「為頓漸者說」 등은 이 저본만으로 의미 범위를 단일하게 확정하기 어려워 번역문에 원어 또는 불확실성 표시를 병기하였다.</w:t>
      </w:r>
    </w:p>
    <w:p>
      <w:pPr>
        <w:pStyle w:val="EditorialNote"/>
        <w:widowControl/>
      </w:pPr>
      <w:r>
        <w:t>교감·번역 메모 | 「湛然無體。相無罣礙。」는 저본의 구두를 그대로 보존하였다. 「湛然。無體相。無罣礙。」 등 다른 절단 가능성은 판본 대조 없이 확정하지 않았다.</w:t>
      </w:r>
    </w:p>
    <w:p>
      <w:pPr>
        <w:pStyle w:val="EditorialNote"/>
        <w:widowControl/>
      </w:pPr>
      <w:r>
        <w:t>교감·번역 메모 | 「不以為多驅之不能來逐之不能去」는 내부 구두가 없어 「不以為多 / 驅之不能來 / 逐之不能去」로 잠정 분절했으며, 「之」의 지시 대상은 확정하지 않았다.</w:t>
      </w:r>
    </w:p>
    <w:p>
      <w:pPr>
        <w:pStyle w:val="EditorialNote"/>
        <w:widowControl/>
      </w:pPr>
      <w:r>
        <w:t>교감·번역 메모 | 「如來去耳」는 「如 + 來去」로 읽어 “마치 왔다가 가는 것일 뿐”으로 옮겼으나, 「如來 + 去」로 끊을 가능성도 배제하지 않는다.</w:t>
      </w:r>
    </w:p>
    <w:p>
      <w:pPr>
        <w:pStyle w:val="EditorialNote"/>
        <w:widowControl/>
      </w:pPr>
      <w:r>
        <w:t>교감·번역 메모 | 「以非直取實相」은 「非」를 설법상의 부정 표현으로 보는 독법에 따라 옮겼다. 이 역시 외부 판본 교감 없이 확정적인 교정은 하지 않았다.</w:t>
      </w:r>
    </w:p>
    <w:p>
      <w:pPr>
        <w:pStyle w:val="Heading2"/>
        <w:widowControl/>
      </w:pPr>
      <w:r>
        <w:t>종결 표지</w:t>
      </w:r>
    </w:p>
    <w:p>
      <w:pPr>
        <w:widowControl/>
        <w:spacing w:before="80" w:after="40"/>
      </w:pPr>
      <w:r>
        <w:rPr>
          <w:b/>
        </w:rPr>
        <w:t>원문</w:t>
      </w:r>
    </w:p>
    <w:p>
      <w:pPr>
        <w:pStyle w:val="SourceText"/>
        <w:widowControl/>
      </w:pPr>
      <w:r>
        <w:t>金剛經口訣(終)</w:t>
      </w:r>
    </w:p>
    <w:p>
      <w:pPr>
        <w:widowControl/>
        <w:spacing w:before="80" w:after="40"/>
      </w:pPr>
      <w:r>
        <w:rPr>
          <w:b/>
        </w:rPr>
        <w:t>한국어 직역</w:t>
      </w:r>
    </w:p>
    <w:p>
      <w:pPr>
        <w:pStyle w:val="TranslationText"/>
        <w:widowControl/>
      </w:pPr>
      <w:r>
        <w:t>『금강경구결』 끝.</w:t>
      </w:r>
    </w:p>
    <w:p>
      <w:pPr>
        <w:pStyle w:val="Heading1"/>
        <w:widowControl/>
      </w:pPr>
      <w:r>
        <w:t>후속 문헌 표지</w:t>
      </w:r>
    </w:p>
    <w:p>
      <w:pPr>
        <w:pStyle w:val="EditorialNote"/>
        <w:widowControl/>
      </w:pPr>
      <w:r>
        <w:t>※ 아래 두 항목은 『金剛經口訣』의 본문이나 주석이 아니라, 첨부 TXT에서 종결 표지 뒤에 이어지는 별도 문헌의 표제·저자행이다.</w:t>
      </w:r>
    </w:p>
    <w:p>
      <w:pPr>
        <w:pStyle w:val="Heading2"/>
        <w:widowControl/>
      </w:pPr>
      <w:r>
        <w:t>문단 002  ·  [0535b18] [1A]</w:t>
      </w:r>
    </w:p>
    <w:p>
      <w:pPr>
        <w:widowControl/>
        <w:spacing w:before="80" w:after="40"/>
      </w:pPr>
      <w:r>
        <w:rPr>
          <w:b/>
        </w:rPr>
        <w:t>원문</w:t>
      </w:r>
    </w:p>
    <w:p>
      <w:pPr>
        <w:pStyle w:val="SourceText"/>
        <w:widowControl/>
      </w:pPr>
      <w:r>
        <w:t>[0535b18] [1A]金剛經疏論纂要二卷</w:t>
        <w:br/>
        <w:t>唐　宗密述</w:t>
      </w:r>
    </w:p>
    <w:p>
      <w:pPr>
        <w:widowControl/>
        <w:spacing w:before="80" w:after="40"/>
      </w:pPr>
      <w:r>
        <w:rPr>
          <w:b/>
        </w:rPr>
        <w:t>한국어 직역</w:t>
      </w:r>
    </w:p>
    <w:p>
      <w:pPr>
        <w:pStyle w:val="TranslationText"/>
        <w:widowControl/>
      </w:pPr>
      <w:r>
        <w:t>『금강경소론찬요(金剛經疏論纂要)』 2권.</w:t>
        <w:br/>
        <w:t>당(唐) 종밀(宗密)이 지음.</w:t>
      </w:r>
    </w:p>
    <w:p>
      <w:pPr>
        <w:pStyle w:val="EditorialNote"/>
        <w:widowControl/>
      </w:pPr>
      <w:r>
        <w:t>교감·번역 메모 | 편집 표지 [1A]를 원문 위치 그대로 보존하였다. 대응 교감 주기는 첨부 파일에 없다.</w:t>
      </w:r>
    </w:p>
    <w:p>
      <w:pPr>
        <w:pStyle w:val="Heading2"/>
        <w:widowControl/>
      </w:pPr>
      <w:r>
        <w:t>문단 003  ·  [0535b21] [1B]</w:t>
      </w:r>
    </w:p>
    <w:p>
      <w:pPr>
        <w:widowControl/>
        <w:spacing w:before="80" w:after="40"/>
      </w:pPr>
      <w:r>
        <w:rPr>
          <w:b/>
        </w:rPr>
        <w:t>원문</w:t>
      </w:r>
    </w:p>
    <w:p>
      <w:pPr>
        <w:pStyle w:val="SourceText"/>
        <w:widowControl/>
      </w:pPr>
      <w:r>
        <w:t>[0535b21] [1B]金剛經疏論纂要刊定記四卷</w:t>
        <w:br/>
        <w:t>宋　子璿記</w:t>
      </w:r>
    </w:p>
    <w:p>
      <w:pPr>
        <w:widowControl/>
        <w:spacing w:before="80" w:after="40"/>
      </w:pPr>
      <w:r>
        <w:rPr>
          <w:b/>
        </w:rPr>
        <w:t>한국어 직역</w:t>
      </w:r>
    </w:p>
    <w:p>
      <w:pPr>
        <w:pStyle w:val="TranslationText"/>
        <w:widowControl/>
      </w:pPr>
      <w:r>
        <w:t>『금강경소론찬요간정기(金剛經疏論纂要刊定記)』 4권.</w:t>
        <w:br/>
        <w:t>송(宋) 자선(子璿)이 기록함.</w:t>
      </w:r>
    </w:p>
    <w:p>
      <w:pPr>
        <w:pStyle w:val="EditorialNote"/>
        <w:widowControl/>
      </w:pPr>
      <w:r>
        <w:t>교감·번역 메모 | 편집 표지 [1B]를 원문 위치 그대로 보존하였다. 대응 교감 주기는 첨부 파일에 없다.</w:t>
      </w:r>
    </w:p>
    <w:p>
      <w:pPr>
        <w:pStyle w:val="Heading1"/>
        <w:widowControl/>
      </w:pPr>
      <w:r>
        <w:t>최종 검수 기록</w:t>
      </w:r>
    </w:p>
    <w:p>
      <w:pPr>
        <w:widowControl/>
      </w:pPr>
      <w:r>
        <w:t>• 기존 세부 고유번호 표기는 본 재편집본에서 전부 삭제하였다.</w:t>
      </w:r>
    </w:p>
    <w:p>
      <w:pPr>
        <w:widowControl/>
      </w:pPr>
      <w:r>
        <w:t>• 원문 TXT의 실제 위치 표지 세 곳을 문단 배열의 기준으로 삼았으며, 존재하지 않는 위치 표지를 새로 만들지 않았다.</w:t>
      </w:r>
    </w:p>
    <w:p>
      <w:pPr>
        <w:widowControl/>
      </w:pPr>
      <w:r>
        <w:t>• [0534b21] 본문은 원문 글자와 순서를 변경하지 않고 한 위치 구간으로 보존하였다. 번역문만 가독성을 위해 논리 흐름에 따라 여러 단락으로 나누었다.</w:t>
      </w:r>
    </w:p>
    <w:p>
      <w:pPr>
        <w:widowControl/>
      </w:pPr>
      <w:r>
        <w:t>• 「金剛經口訣(終)」과 뒤의 후속 문헌 표지를 분리하여 문헌 경계를 명확히 하였다.</w:t>
      </w:r>
    </w:p>
    <w:p>
      <w:pPr>
        <w:widowControl/>
      </w:pPr>
      <w:r>
        <w:t>• 번역문은 이전 단위별 직역의 내용을 모두 다시 대조하여 문장 호응·반복·조사·어순을 정리했다. 불확실한 구절은 임의로 확정하지 않고 교감 메모에 남겼다.</w:t>
      </w:r>
    </w:p>
    <w:p>
      <w:pPr>
        <w:widowControl/>
      </w:pPr>
      <w:r>
        <w:t>• 외부 판본과의 교감은 시행하지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1</w:t>
      </w:r>
    </w:fldSimpl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『금강경구결』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金剛經口訣 원문·한국어 전문 번역</dc:title>
  <dc:subject>위치 표지 기준 재편집 직역 대조본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