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ans KR" w:hAnsi="Noto Sans KR" w:eastAsia="Noto Sans KR"/>
          <w:b/>
          <w:color w:val="2E74B5"/>
          <w:sz w:val="52"/>
        </w:rPr>
        <w:t>般若波羅蜜多心經略疏</w:t>
      </w:r>
    </w:p>
    <w:p>
      <w:pPr>
        <w:pStyle w:val="Subtitle"/>
        <w:jc w:val="center"/>
      </w:pPr>
      <w:r>
        <w:rPr>
          <w:rFonts w:ascii="Noto Sans KR" w:hAnsi="Noto Sans KR" w:eastAsia="Noto Sans KR"/>
          <w:i/>
          <w:sz w:val="28"/>
        </w:rPr>
        <w:t>『반야심경략소』 원문·한국어 전문 번역</w:t>
      </w:r>
    </w:p>
    <w:p>
      <w:pPr>
        <w:spacing w:before="160" w:after="120"/>
        <w:jc w:val="center"/>
      </w:pPr>
      <w:r>
        <w:rPr>
          <w:rFonts w:ascii="Noto Sans KR" w:hAnsi="Noto Sans KR" w:eastAsia="Noto Sans KR"/>
          <w:color w:val="667085"/>
          <w:sz w:val="20"/>
        </w:rPr>
        <w:t>통행본 문헌 식별  唐 法藏 撰  ·  첨부 TXT에는 저자 표제행 없음</w:t>
      </w:r>
    </w:p>
    <w:p>
      <w:pPr>
        <w:spacing w:before="440"/>
        <w:jc w:val="center"/>
        <w:pBdr>
          <w:top w:val="single" w:sz="6" w:space="5" w:color="2E74B5"/>
        </w:pBdr>
      </w:pPr>
      <w:r>
        <w:rPr>
          <w:rFonts w:ascii="Noto Sans KR" w:hAnsi="Noto Sans KR" w:eastAsia="Noto Sans KR"/>
          <w:color w:val="667085"/>
          <w:sz w:val="19"/>
        </w:rPr>
        <w:t>첨부 저본의 위치 표지와 편집 참조번호를 보존한 직역 대조본</w:t>
        <w:br/>
        <w:t>전체 선독 · 구조 분석 · 27개 위치표지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sz w:val="18"/>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sz w:val="18"/>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문헌명</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『般若波羅蜜多心經略疏』(『반야심경략소』)</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저자 표기</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첨부 TXT에는 없음 / 통행본 문헌 식별: 당(唐) 법장(法藏) 찬</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저본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첨부 TXT 전체, [0552a14]–[0555a15]</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저본 단위</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위치 표지 27개 문단</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배치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각 문단마다 문단번호·위치표지 → 원문 → 한국어 직역 → 필요한 교감·번역 메모 순서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번역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과문·문답·열거와 교학 용어를 보존하면서 한국어 문장으로 다듬은 전문 직역</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원문 보존</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원문의 글자·순서·위치 표지 및 [1]–[4] 편집 참조번호를 임의로 교정하지 않음</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대조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본문 배열은 첨부 TXT를 기준으로 하며, 일부 구두·이문 난점에 한하여 통행 전자본을 보조 참조함</w:t>
            </w:r>
          </w:p>
        </w:tc>
      </w:tr>
    </w:tbl>
    <w:p>
      <w:pPr>
        <w:pStyle w:val="Heading2"/>
      </w:pPr>
      <w:r>
        <w:t>전체 선독 결과와 문헌 구조</w:t>
      </w:r>
    </w:p>
    <w:p>
      <w:pPr/>
      <w:r>
        <w:t>• 서두 [0552a14]: 진원·묘각, 진속·공유, 진공·환유의 원융을 통해 반야의 현지(玄旨)를 총설하고 『반야심경』의 제목을 개괄한다.</w:t>
      </w:r>
    </w:p>
    <w:p>
      <w:pPr/>
      <w:r>
        <w:t>• 오문분별 [0552a28] 이하: 교흥(教興)·장섭(藏攝)·종취(宗趣)·석제(釋題)·해문(解文)의 다섯 문으로 주석 체계를 세운다.</w:t>
      </w:r>
    </w:p>
    <w:p>
      <w:pPr/>
      <w:r>
        <w:t>• 제5 해문은 현료반야(顯了般若)와 비밀반야(祕密般若)로 크게 나뉜다. 현료반야는 다시 약표강요와 광진실의로 전개된다.</w:t>
      </w:r>
    </w:p>
    <w:p>
      <w:pPr/>
      <w:r>
        <w:t>• 약표강요는 능관인·소행행·관행경·능관이익의 네 항목으로 구성되고, 광진실의는 불외의·현법체·명소리·변소득·결탄승능의 다섯 항목으로 전개된다.</w:t>
      </w:r>
    </w:p>
    <w:p>
      <w:pPr/>
      <w:r>
        <w:t>• 색·공 관계에서는 소승과 보살의 의심을 차례로 해소하고, 상위·불상애·상작 및 관행의 관점에서 진공과 환유의 관계를 분석한다.</w:t>
      </w:r>
    </w:p>
    <w:p>
      <w:pPr/>
      <w:r>
        <w:t>• 비밀반야에서는 주문을 제시한 뒤 ‘해석할 수 없음’과 ‘억지로 해석한다면’의 두 관점으로 각 음절을 풀이하고, 마지막에 술회 게송으로 끝맺는다.</w:t>
      </w:r>
    </w:p>
    <w:p>
      <w:pPr/>
      <w:r>
        <w:t>• 파일 상태: 위치 표지 27개가 순서대로 보존되어 있으며, [1]–[4] 편집 참조번호는 총 7회 출현하나 대응 주석 내용은 TXT에 포함되어 있지 않다. 몇몇 구절에는 구두·이문 검토가 필요한 흔적이 있다.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00"/>
            <w:shd w:fill="2E74B5"/>
            <w:tcMar>
              <w:top w:w="90" w:type="dxa"/>
              <w:start w:w="120" w:type="dxa"/>
              <w:bottom w:w="90" w:type="dxa"/>
              <w:end w:w="120" w:type="dxa"/>
            </w:tcMar>
          </w:tcPr>
          <w:p>
            <w:pPr>
              <w:spacing w:after="0"/>
              <w:jc w:val="center"/>
            </w:pPr>
            <w:r>
              <w:rPr>
                <w:rFonts w:ascii="Noto Sans KR" w:hAnsi="Noto Sans KR" w:eastAsia="Noto Sans KR"/>
                <w:b/>
                <w:sz w:val="18"/>
              </w:rPr>
              <w:t>번역어</w:t>
            </w:r>
          </w:p>
        </w:tc>
        <w:tc>
          <w:tcPr>
            <w:tcW w:type="dxa" w:w="1400"/>
            <w:shd w:fill="2E74B5"/>
            <w:tcMar>
              <w:top w:w="90" w:type="dxa"/>
              <w:start w:w="120" w:type="dxa"/>
              <w:bottom w:w="90" w:type="dxa"/>
              <w:end w:w="120" w:type="dxa"/>
            </w:tcMar>
          </w:tcPr>
          <w:p>
            <w:pPr>
              <w:spacing w:after="0"/>
              <w:jc w:val="center"/>
            </w:pPr>
            <w:r>
              <w:rPr>
                <w:rFonts w:ascii="Noto Sans KR" w:hAnsi="Noto Sans KR" w:eastAsia="Noto Sans KR"/>
                <w:b/>
                <w:sz w:val="18"/>
              </w:rPr>
              <w:t>원어</w:t>
            </w:r>
          </w:p>
        </w:tc>
        <w:tc>
          <w:tcPr>
            <w:tcW w:type="dxa" w:w="6100"/>
            <w:shd w:fill="2E74B5"/>
            <w:tcMar>
              <w:top w:w="90" w:type="dxa"/>
              <w:start w:w="120" w:type="dxa"/>
              <w:bottom w:w="90" w:type="dxa"/>
              <w:end w:w="120" w:type="dxa"/>
            </w:tcMar>
          </w:tcPr>
          <w:p>
            <w:pPr>
              <w:spacing w:after="0"/>
              <w:jc w:val="center"/>
            </w:pPr>
            <w:r>
              <w:rPr>
                <w:rFonts w:ascii="Noto Sans KR" w:hAnsi="Noto Sans KR" w:eastAsia="Noto Sans KR"/>
                <w:b/>
                <w:sz w:val="18"/>
              </w:rPr>
              <w:t>이 문서에서의 뜻</w:t>
            </w:r>
          </w:p>
        </w:tc>
      </w:tr>
      <w:tr>
        <w:tc>
          <w:tcPr>
            <w:tcW w:type="dxa" w:w="1500"/>
            <w:tcMar>
              <w:top w:w="90" w:type="dxa"/>
              <w:start w:w="120" w:type="dxa"/>
              <w:bottom w:w="90" w:type="dxa"/>
              <w:end w:w="120" w:type="dxa"/>
            </w:tcMar>
          </w:tcPr>
          <w:p>
            <w:pPr>
              <w:spacing w:after="0"/>
            </w:pPr>
            <w:r>
              <w:rPr>
                <w:rFonts w:ascii="Noto Sans KR" w:hAnsi="Noto Sans KR" w:eastAsia="Noto Sans KR"/>
                <w:b/>
                <w:sz w:val="18"/>
              </w:rPr>
              <w:t>반야</w:t>
            </w:r>
          </w:p>
        </w:tc>
        <w:tc>
          <w:tcPr>
            <w:tcW w:type="dxa" w:w="1400"/>
            <w:tcMar>
              <w:top w:w="90" w:type="dxa"/>
              <w:start w:w="120" w:type="dxa"/>
              <w:bottom w:w="90" w:type="dxa"/>
              <w:end w:w="120" w:type="dxa"/>
            </w:tcMar>
          </w:tcPr>
          <w:p>
            <w:pPr>
              <w:spacing w:after="0"/>
            </w:pPr>
            <w:r>
              <w:rPr>
                <w:rFonts w:ascii="Noto Sans KR" w:hAnsi="Noto Sans KR" w:eastAsia="Noto Sans KR"/>
                <w:b w:val="0"/>
                <w:sz w:val="18"/>
              </w:rPr>
              <w:t>般若</w:t>
            </w:r>
          </w:p>
        </w:tc>
        <w:tc>
          <w:tcPr>
            <w:tcW w:type="dxa" w:w="6100"/>
            <w:tcMar>
              <w:top w:w="90" w:type="dxa"/>
              <w:start w:w="120" w:type="dxa"/>
              <w:bottom w:w="90" w:type="dxa"/>
              <w:end w:w="120" w:type="dxa"/>
            </w:tcMar>
          </w:tcPr>
          <w:p>
            <w:pPr>
              <w:spacing w:after="0"/>
            </w:pPr>
            <w:r>
              <w:rPr>
                <w:rFonts w:ascii="Noto Sans KR" w:hAnsi="Noto Sans KR" w:eastAsia="Noto Sans KR"/>
                <w:b w:val="0"/>
                <w:sz w:val="18"/>
              </w:rPr>
              <w:t>실상·관조·문자의 삼종반야를 포괄하는 핵심 지혜</w:t>
            </w:r>
          </w:p>
        </w:tc>
      </w:tr>
      <w:tr>
        <w:tc>
          <w:tcPr>
            <w:tcW w:type="dxa" w:w="1500"/>
            <w:shd w:fill="F4F6F9"/>
            <w:tcMar>
              <w:top w:w="90" w:type="dxa"/>
              <w:start w:w="120" w:type="dxa"/>
              <w:bottom w:w="90" w:type="dxa"/>
              <w:end w:w="120" w:type="dxa"/>
            </w:tcMar>
          </w:tcPr>
          <w:p>
            <w:pPr>
              <w:spacing w:after="0"/>
            </w:pPr>
            <w:r>
              <w:rPr>
                <w:rFonts w:ascii="Noto Sans KR" w:hAnsi="Noto Sans KR" w:eastAsia="Noto Sans KR"/>
                <w:b/>
                <w:sz w:val="18"/>
              </w:rPr>
              <w:t>바라밀다</w:t>
            </w:r>
          </w:p>
        </w:tc>
        <w:tc>
          <w:tcPr>
            <w:tcW w:type="dxa" w:w="1400"/>
            <w:shd w:fill="F4F6F9"/>
            <w:tcMar>
              <w:top w:w="90" w:type="dxa"/>
              <w:start w:w="120" w:type="dxa"/>
              <w:bottom w:w="90" w:type="dxa"/>
              <w:end w:w="120" w:type="dxa"/>
            </w:tcMar>
          </w:tcPr>
          <w:p>
            <w:pPr>
              <w:spacing w:after="0"/>
            </w:pPr>
            <w:r>
              <w:rPr>
                <w:rFonts w:ascii="Noto Sans KR" w:hAnsi="Noto Sans KR" w:eastAsia="Noto Sans KR"/>
                <w:b w:val="0"/>
                <w:sz w:val="18"/>
              </w:rPr>
              <w:t>波羅蜜多</w:t>
            </w:r>
          </w:p>
        </w:tc>
        <w:tc>
          <w:tcPr>
            <w:tcW w:type="dxa" w:w="6100"/>
            <w:shd w:fill="F4F6F9"/>
            <w:tcMar>
              <w:top w:w="90" w:type="dxa"/>
              <w:start w:w="120" w:type="dxa"/>
              <w:bottom w:w="90" w:type="dxa"/>
              <w:end w:w="120" w:type="dxa"/>
            </w:tcMar>
          </w:tcPr>
          <w:p>
            <w:pPr>
              <w:spacing w:after="0"/>
            </w:pPr>
            <w:r>
              <w:rPr>
                <w:rFonts w:ascii="Noto Sans KR" w:hAnsi="Noto Sans KR" w:eastAsia="Noto Sans KR"/>
                <w:b w:val="0"/>
                <w:sz w:val="18"/>
              </w:rPr>
              <w:t>피안에 도달함; 본문에서는 반야의 용(用)으로 풀이</w:t>
            </w:r>
          </w:p>
        </w:tc>
      </w:tr>
      <w:tr>
        <w:tc>
          <w:tcPr>
            <w:tcW w:type="dxa" w:w="1500"/>
            <w:tcMar>
              <w:top w:w="90" w:type="dxa"/>
              <w:start w:w="120" w:type="dxa"/>
              <w:bottom w:w="90" w:type="dxa"/>
              <w:end w:w="120" w:type="dxa"/>
            </w:tcMar>
          </w:tcPr>
          <w:p>
            <w:pPr>
              <w:spacing w:after="0"/>
            </w:pPr>
            <w:r>
              <w:rPr>
                <w:rFonts w:ascii="Noto Sans KR" w:hAnsi="Noto Sans KR" w:eastAsia="Noto Sans KR"/>
                <w:b/>
                <w:sz w:val="18"/>
              </w:rPr>
              <w:t>진공</w:t>
            </w:r>
          </w:p>
        </w:tc>
        <w:tc>
          <w:tcPr>
            <w:tcW w:type="dxa" w:w="1400"/>
            <w:tcMar>
              <w:top w:w="90" w:type="dxa"/>
              <w:start w:w="120" w:type="dxa"/>
              <w:bottom w:w="90" w:type="dxa"/>
              <w:end w:w="120" w:type="dxa"/>
            </w:tcMar>
          </w:tcPr>
          <w:p>
            <w:pPr>
              <w:spacing w:after="0"/>
            </w:pPr>
            <w:r>
              <w:rPr>
                <w:rFonts w:ascii="Noto Sans KR" w:hAnsi="Noto Sans KR" w:eastAsia="Noto Sans KR"/>
                <w:b w:val="0"/>
                <w:sz w:val="18"/>
              </w:rPr>
              <w:t>真空</w:t>
            </w:r>
          </w:p>
        </w:tc>
        <w:tc>
          <w:tcPr>
            <w:tcW w:type="dxa" w:w="6100"/>
            <w:tcMar>
              <w:top w:w="90" w:type="dxa"/>
              <w:start w:w="120" w:type="dxa"/>
              <w:bottom w:w="90" w:type="dxa"/>
              <w:end w:w="120" w:type="dxa"/>
            </w:tcMar>
          </w:tcPr>
          <w:p>
            <w:pPr>
              <w:spacing w:after="0"/>
            </w:pPr>
            <w:r>
              <w:rPr>
                <w:rFonts w:ascii="Noto Sans KR" w:hAnsi="Noto Sans KR" w:eastAsia="Noto Sans KR"/>
                <w:b w:val="0"/>
                <w:sz w:val="18"/>
              </w:rPr>
              <w:t>색 등을 없애 만든 단멸공이 아니라 자성공의 참된 이치</w:t>
            </w:r>
          </w:p>
        </w:tc>
      </w:tr>
      <w:tr>
        <w:tc>
          <w:tcPr>
            <w:tcW w:type="dxa" w:w="1500"/>
            <w:shd w:fill="F4F6F9"/>
            <w:tcMar>
              <w:top w:w="90" w:type="dxa"/>
              <w:start w:w="120" w:type="dxa"/>
              <w:bottom w:w="90" w:type="dxa"/>
              <w:end w:w="120" w:type="dxa"/>
            </w:tcMar>
          </w:tcPr>
          <w:p>
            <w:pPr>
              <w:spacing w:after="0"/>
            </w:pPr>
            <w:r>
              <w:rPr>
                <w:rFonts w:ascii="Noto Sans KR" w:hAnsi="Noto Sans KR" w:eastAsia="Noto Sans KR"/>
                <w:b/>
                <w:sz w:val="18"/>
              </w:rPr>
              <w:t>환유</w:t>
            </w:r>
          </w:p>
        </w:tc>
        <w:tc>
          <w:tcPr>
            <w:tcW w:type="dxa" w:w="1400"/>
            <w:shd w:fill="F4F6F9"/>
            <w:tcMar>
              <w:top w:w="90" w:type="dxa"/>
              <w:start w:w="120" w:type="dxa"/>
              <w:bottom w:w="90" w:type="dxa"/>
              <w:end w:w="120" w:type="dxa"/>
            </w:tcMar>
          </w:tcPr>
          <w:p>
            <w:pPr>
              <w:spacing w:after="0"/>
            </w:pPr>
            <w:r>
              <w:rPr>
                <w:rFonts w:ascii="Noto Sans KR" w:hAnsi="Noto Sans KR" w:eastAsia="Noto Sans KR"/>
                <w:b w:val="0"/>
                <w:sz w:val="18"/>
              </w:rPr>
              <w:t>幻有</w:t>
            </w:r>
          </w:p>
        </w:tc>
        <w:tc>
          <w:tcPr>
            <w:tcW w:type="dxa" w:w="6100"/>
            <w:shd w:fill="F4F6F9"/>
            <w:tcMar>
              <w:top w:w="90" w:type="dxa"/>
              <w:start w:w="120" w:type="dxa"/>
              <w:bottom w:w="90" w:type="dxa"/>
              <w:end w:w="120" w:type="dxa"/>
            </w:tcMar>
          </w:tcPr>
          <w:p>
            <w:pPr>
              <w:spacing w:after="0"/>
            </w:pPr>
            <w:r>
              <w:rPr>
                <w:rFonts w:ascii="Noto Sans KR" w:hAnsi="Noto Sans KR" w:eastAsia="Noto Sans KR"/>
                <w:b w:val="0"/>
                <w:sz w:val="18"/>
              </w:rPr>
              <w:t>인연에 따라 드러나지만 고정 자성이 없는 유</w:t>
            </w:r>
          </w:p>
        </w:tc>
      </w:tr>
      <w:tr>
        <w:tc>
          <w:tcPr>
            <w:tcW w:type="dxa" w:w="1500"/>
            <w:tcMar>
              <w:top w:w="90" w:type="dxa"/>
              <w:start w:w="120" w:type="dxa"/>
              <w:bottom w:w="90" w:type="dxa"/>
              <w:end w:w="120" w:type="dxa"/>
            </w:tcMar>
          </w:tcPr>
          <w:p>
            <w:pPr>
              <w:spacing w:after="0"/>
            </w:pPr>
            <w:r>
              <w:rPr>
                <w:rFonts w:ascii="Noto Sans KR" w:hAnsi="Noto Sans KR" w:eastAsia="Noto Sans KR"/>
                <w:b/>
                <w:sz w:val="18"/>
              </w:rPr>
              <w:t>실상반야</w:t>
            </w:r>
          </w:p>
        </w:tc>
        <w:tc>
          <w:tcPr>
            <w:tcW w:type="dxa" w:w="1400"/>
            <w:tcMar>
              <w:top w:w="90" w:type="dxa"/>
              <w:start w:w="120" w:type="dxa"/>
              <w:bottom w:w="90" w:type="dxa"/>
              <w:end w:w="120" w:type="dxa"/>
            </w:tcMar>
          </w:tcPr>
          <w:p>
            <w:pPr>
              <w:spacing w:after="0"/>
            </w:pPr>
            <w:r>
              <w:rPr>
                <w:rFonts w:ascii="Noto Sans KR" w:hAnsi="Noto Sans KR" w:eastAsia="Noto Sans KR"/>
                <w:b w:val="0"/>
                <w:sz w:val="18"/>
              </w:rPr>
              <w:t>實相般若</w:t>
            </w:r>
          </w:p>
        </w:tc>
        <w:tc>
          <w:tcPr>
            <w:tcW w:type="dxa" w:w="6100"/>
            <w:tcMar>
              <w:top w:w="90" w:type="dxa"/>
              <w:start w:w="120" w:type="dxa"/>
              <w:bottom w:w="90" w:type="dxa"/>
              <w:end w:w="120" w:type="dxa"/>
            </w:tcMar>
          </w:tcPr>
          <w:p>
            <w:pPr>
              <w:spacing w:after="0"/>
            </w:pPr>
            <w:r>
              <w:rPr>
                <w:rFonts w:ascii="Noto Sans KR" w:hAnsi="Noto Sans KR" w:eastAsia="Noto Sans KR"/>
                <w:b w:val="0"/>
                <w:sz w:val="18"/>
              </w:rPr>
              <w:t>관찰되는 참된 성품</w:t>
            </w:r>
          </w:p>
        </w:tc>
      </w:tr>
      <w:tr>
        <w:tc>
          <w:tcPr>
            <w:tcW w:type="dxa" w:w="1500"/>
            <w:shd w:fill="F4F6F9"/>
            <w:tcMar>
              <w:top w:w="90" w:type="dxa"/>
              <w:start w:w="120" w:type="dxa"/>
              <w:bottom w:w="90" w:type="dxa"/>
              <w:end w:w="120" w:type="dxa"/>
            </w:tcMar>
          </w:tcPr>
          <w:p>
            <w:pPr>
              <w:spacing w:after="0"/>
            </w:pPr>
            <w:r>
              <w:rPr>
                <w:rFonts w:ascii="Noto Sans KR" w:hAnsi="Noto Sans KR" w:eastAsia="Noto Sans KR"/>
                <w:b/>
                <w:sz w:val="18"/>
              </w:rPr>
              <w:t>관조반야</w:t>
            </w:r>
          </w:p>
        </w:tc>
        <w:tc>
          <w:tcPr>
            <w:tcW w:type="dxa" w:w="1400"/>
            <w:shd w:fill="F4F6F9"/>
            <w:tcMar>
              <w:top w:w="90" w:type="dxa"/>
              <w:start w:w="120" w:type="dxa"/>
              <w:bottom w:w="90" w:type="dxa"/>
              <w:end w:w="120" w:type="dxa"/>
            </w:tcMar>
          </w:tcPr>
          <w:p>
            <w:pPr>
              <w:spacing w:after="0"/>
            </w:pPr>
            <w:r>
              <w:rPr>
                <w:rFonts w:ascii="Noto Sans KR" w:hAnsi="Noto Sans KR" w:eastAsia="Noto Sans KR"/>
                <w:b w:val="0"/>
                <w:sz w:val="18"/>
              </w:rPr>
              <w:t>觀照般若</w:t>
            </w:r>
          </w:p>
        </w:tc>
        <w:tc>
          <w:tcPr>
            <w:tcW w:type="dxa" w:w="6100"/>
            <w:shd w:fill="F4F6F9"/>
            <w:tcMar>
              <w:top w:w="90" w:type="dxa"/>
              <w:start w:w="120" w:type="dxa"/>
              <w:bottom w:w="90" w:type="dxa"/>
              <w:end w:w="120" w:type="dxa"/>
            </w:tcMar>
          </w:tcPr>
          <w:p>
            <w:pPr>
              <w:spacing w:after="0"/>
            </w:pPr>
            <w:r>
              <w:rPr>
                <w:rFonts w:ascii="Noto Sans KR" w:hAnsi="Noto Sans KR" w:eastAsia="Noto Sans KR"/>
                <w:b w:val="0"/>
                <w:sz w:val="18"/>
              </w:rPr>
              <w:t>참된 성품을 관찰하는 오묘한 지혜</w:t>
            </w:r>
          </w:p>
        </w:tc>
      </w:tr>
      <w:tr>
        <w:tc>
          <w:tcPr>
            <w:tcW w:type="dxa" w:w="1500"/>
            <w:tcMar>
              <w:top w:w="90" w:type="dxa"/>
              <w:start w:w="120" w:type="dxa"/>
              <w:bottom w:w="90" w:type="dxa"/>
              <w:end w:w="120" w:type="dxa"/>
            </w:tcMar>
          </w:tcPr>
          <w:p>
            <w:pPr>
              <w:spacing w:after="0"/>
            </w:pPr>
            <w:r>
              <w:rPr>
                <w:rFonts w:ascii="Noto Sans KR" w:hAnsi="Noto Sans KR" w:eastAsia="Noto Sans KR"/>
                <w:b/>
                <w:sz w:val="18"/>
              </w:rPr>
              <w:t>문자반야</w:t>
            </w:r>
          </w:p>
        </w:tc>
        <w:tc>
          <w:tcPr>
            <w:tcW w:type="dxa" w:w="1400"/>
            <w:tcMar>
              <w:top w:w="90" w:type="dxa"/>
              <w:start w:w="120" w:type="dxa"/>
              <w:bottom w:w="90" w:type="dxa"/>
              <w:end w:w="120" w:type="dxa"/>
            </w:tcMar>
          </w:tcPr>
          <w:p>
            <w:pPr>
              <w:spacing w:after="0"/>
            </w:pPr>
            <w:r>
              <w:rPr>
                <w:rFonts w:ascii="Noto Sans KR" w:hAnsi="Noto Sans KR" w:eastAsia="Noto Sans KR"/>
                <w:b w:val="0"/>
                <w:sz w:val="18"/>
              </w:rPr>
              <w:t>文字般若</w:t>
            </w:r>
          </w:p>
        </w:tc>
        <w:tc>
          <w:tcPr>
            <w:tcW w:type="dxa" w:w="6100"/>
            <w:tcMar>
              <w:top w:w="90" w:type="dxa"/>
              <w:start w:w="120" w:type="dxa"/>
              <w:bottom w:w="90" w:type="dxa"/>
              <w:end w:w="120" w:type="dxa"/>
            </w:tcMar>
          </w:tcPr>
          <w:p>
            <w:pPr>
              <w:spacing w:after="0"/>
            </w:pPr>
            <w:r>
              <w:rPr>
                <w:rFonts w:ascii="Noto Sans KR" w:hAnsi="Noto Sans KR" w:eastAsia="Noto Sans KR"/>
                <w:b w:val="0"/>
                <w:sz w:val="18"/>
              </w:rPr>
              <w:t>실상·관조를 설명하는 언교</w:t>
            </w:r>
          </w:p>
        </w:tc>
      </w:tr>
      <w:tr>
        <w:tc>
          <w:tcPr>
            <w:tcW w:type="dxa" w:w="1500"/>
            <w:shd w:fill="F4F6F9"/>
            <w:tcMar>
              <w:top w:w="90" w:type="dxa"/>
              <w:start w:w="120" w:type="dxa"/>
              <w:bottom w:w="90" w:type="dxa"/>
              <w:end w:w="120" w:type="dxa"/>
            </w:tcMar>
          </w:tcPr>
          <w:p>
            <w:pPr>
              <w:spacing w:after="0"/>
            </w:pPr>
            <w:r>
              <w:rPr>
                <w:rFonts w:ascii="Noto Sans KR" w:hAnsi="Noto Sans KR" w:eastAsia="Noto Sans KR"/>
                <w:b/>
                <w:sz w:val="18"/>
              </w:rPr>
              <w:t>인공</w:t>
            </w:r>
          </w:p>
        </w:tc>
        <w:tc>
          <w:tcPr>
            <w:tcW w:type="dxa" w:w="1400"/>
            <w:shd w:fill="F4F6F9"/>
            <w:tcMar>
              <w:top w:w="90" w:type="dxa"/>
              <w:start w:w="120" w:type="dxa"/>
              <w:bottom w:w="90" w:type="dxa"/>
              <w:end w:w="120" w:type="dxa"/>
            </w:tcMar>
          </w:tcPr>
          <w:p>
            <w:pPr>
              <w:spacing w:after="0"/>
            </w:pPr>
            <w:r>
              <w:rPr>
                <w:rFonts w:ascii="Noto Sans KR" w:hAnsi="Noto Sans KR" w:eastAsia="Noto Sans KR"/>
                <w:b w:val="0"/>
                <w:sz w:val="18"/>
              </w:rPr>
              <w:t>人空</w:t>
            </w:r>
          </w:p>
        </w:tc>
        <w:tc>
          <w:tcPr>
            <w:tcW w:type="dxa" w:w="6100"/>
            <w:shd w:fill="F4F6F9"/>
            <w:tcMar>
              <w:top w:w="90" w:type="dxa"/>
              <w:start w:w="120" w:type="dxa"/>
              <w:bottom w:w="90" w:type="dxa"/>
              <w:end w:w="120" w:type="dxa"/>
            </w:tcMar>
          </w:tcPr>
          <w:p>
            <w:pPr>
              <w:spacing w:after="0"/>
            </w:pPr>
            <w:r>
              <w:rPr>
                <w:rFonts w:ascii="Noto Sans KR" w:hAnsi="Noto Sans KR" w:eastAsia="Noto Sans KR"/>
                <w:b w:val="0"/>
                <w:sz w:val="18"/>
              </w:rPr>
              <w:t>인무아를 관하는 반야; 본문에서는 얕은 반야로 구분</w:t>
            </w:r>
          </w:p>
        </w:tc>
      </w:tr>
      <w:tr>
        <w:tc>
          <w:tcPr>
            <w:tcW w:type="dxa" w:w="1500"/>
            <w:tcMar>
              <w:top w:w="90" w:type="dxa"/>
              <w:start w:w="120" w:type="dxa"/>
              <w:bottom w:w="90" w:type="dxa"/>
              <w:end w:w="120" w:type="dxa"/>
            </w:tcMar>
          </w:tcPr>
          <w:p>
            <w:pPr>
              <w:spacing w:after="0"/>
            </w:pPr>
            <w:r>
              <w:rPr>
                <w:rFonts w:ascii="Noto Sans KR" w:hAnsi="Noto Sans KR" w:eastAsia="Noto Sans KR"/>
                <w:b/>
                <w:sz w:val="18"/>
              </w:rPr>
              <w:t>법공</w:t>
            </w:r>
          </w:p>
        </w:tc>
        <w:tc>
          <w:tcPr>
            <w:tcW w:type="dxa" w:w="1400"/>
            <w:tcMar>
              <w:top w:w="90" w:type="dxa"/>
              <w:start w:w="120" w:type="dxa"/>
              <w:bottom w:w="90" w:type="dxa"/>
              <w:end w:w="120" w:type="dxa"/>
            </w:tcMar>
          </w:tcPr>
          <w:p>
            <w:pPr>
              <w:spacing w:after="0"/>
            </w:pPr>
            <w:r>
              <w:rPr>
                <w:rFonts w:ascii="Noto Sans KR" w:hAnsi="Noto Sans KR" w:eastAsia="Noto Sans KR"/>
                <w:b w:val="0"/>
                <w:sz w:val="18"/>
              </w:rPr>
              <w:t>法空</w:t>
            </w:r>
          </w:p>
        </w:tc>
        <w:tc>
          <w:tcPr>
            <w:tcW w:type="dxa" w:w="6100"/>
            <w:tcMar>
              <w:top w:w="90" w:type="dxa"/>
              <w:start w:w="120" w:type="dxa"/>
              <w:bottom w:w="90" w:type="dxa"/>
              <w:end w:w="120" w:type="dxa"/>
            </w:tcMar>
          </w:tcPr>
          <w:p>
            <w:pPr>
              <w:spacing w:after="0"/>
            </w:pPr>
            <w:r>
              <w:rPr>
                <w:rFonts w:ascii="Noto Sans KR" w:hAnsi="Noto Sans KR" w:eastAsia="Noto Sans KR"/>
                <w:b w:val="0"/>
                <w:sz w:val="18"/>
              </w:rPr>
              <w:t>법무아를 관하는 반야; 본문에서는 깊은 반야로 구분</w:t>
            </w:r>
          </w:p>
        </w:tc>
      </w:tr>
      <w:tr>
        <w:tc>
          <w:tcPr>
            <w:tcW w:type="dxa" w:w="1500"/>
            <w:shd w:fill="F4F6F9"/>
            <w:tcMar>
              <w:top w:w="90" w:type="dxa"/>
              <w:start w:w="120" w:type="dxa"/>
              <w:bottom w:w="90" w:type="dxa"/>
              <w:end w:w="120" w:type="dxa"/>
            </w:tcMar>
          </w:tcPr>
          <w:p>
            <w:pPr>
              <w:spacing w:after="0"/>
            </w:pPr>
            <w:r>
              <w:rPr>
                <w:rFonts w:ascii="Noto Sans KR" w:hAnsi="Noto Sans KR" w:eastAsia="Noto Sans KR"/>
                <w:b/>
                <w:sz w:val="18"/>
              </w:rPr>
              <w:t>이제</w:t>
            </w:r>
          </w:p>
        </w:tc>
        <w:tc>
          <w:tcPr>
            <w:tcW w:type="dxa" w:w="1400"/>
            <w:shd w:fill="F4F6F9"/>
            <w:tcMar>
              <w:top w:w="90" w:type="dxa"/>
              <w:start w:w="120" w:type="dxa"/>
              <w:bottom w:w="90" w:type="dxa"/>
              <w:end w:w="120" w:type="dxa"/>
            </w:tcMar>
          </w:tcPr>
          <w:p>
            <w:pPr>
              <w:spacing w:after="0"/>
            </w:pPr>
            <w:r>
              <w:rPr>
                <w:rFonts w:ascii="Noto Sans KR" w:hAnsi="Noto Sans KR" w:eastAsia="Noto Sans KR"/>
                <w:b w:val="0"/>
                <w:sz w:val="18"/>
              </w:rPr>
              <w:t>二諦</w:t>
            </w:r>
          </w:p>
        </w:tc>
        <w:tc>
          <w:tcPr>
            <w:tcW w:type="dxa" w:w="6100"/>
            <w:shd w:fill="F4F6F9"/>
            <w:tcMar>
              <w:top w:w="90" w:type="dxa"/>
              <w:start w:w="120" w:type="dxa"/>
              <w:bottom w:w="90" w:type="dxa"/>
              <w:end w:w="120" w:type="dxa"/>
            </w:tcMar>
          </w:tcPr>
          <w:p>
            <w:pPr>
              <w:spacing w:after="0"/>
            </w:pPr>
            <w:r>
              <w:rPr>
                <w:rFonts w:ascii="Noto Sans KR" w:hAnsi="Noto Sans KR" w:eastAsia="Noto Sans KR"/>
                <w:b w:val="0"/>
                <w:sz w:val="18"/>
              </w:rPr>
              <w:t>진제와 속제의 두 진리</w:t>
            </w:r>
          </w:p>
        </w:tc>
      </w:tr>
      <w:tr>
        <w:tc>
          <w:tcPr>
            <w:tcW w:type="dxa" w:w="1500"/>
            <w:tcMar>
              <w:top w:w="90" w:type="dxa"/>
              <w:start w:w="120" w:type="dxa"/>
              <w:bottom w:w="90" w:type="dxa"/>
              <w:end w:w="120" w:type="dxa"/>
            </w:tcMar>
          </w:tcPr>
          <w:p>
            <w:pPr>
              <w:spacing w:after="0"/>
            </w:pPr>
            <w:r>
              <w:rPr>
                <w:rFonts w:ascii="Noto Sans KR" w:hAnsi="Noto Sans KR" w:eastAsia="Noto Sans KR"/>
                <w:b/>
                <w:sz w:val="18"/>
              </w:rPr>
              <w:t>무소득</w:t>
            </w:r>
          </w:p>
        </w:tc>
        <w:tc>
          <w:tcPr>
            <w:tcW w:type="dxa" w:w="1400"/>
            <w:tcMar>
              <w:top w:w="90" w:type="dxa"/>
              <w:start w:w="120" w:type="dxa"/>
              <w:bottom w:w="90" w:type="dxa"/>
              <w:end w:w="120" w:type="dxa"/>
            </w:tcMar>
          </w:tcPr>
          <w:p>
            <w:pPr>
              <w:spacing w:after="0"/>
            </w:pPr>
            <w:r>
              <w:rPr>
                <w:rFonts w:ascii="Noto Sans KR" w:hAnsi="Noto Sans KR" w:eastAsia="Noto Sans KR"/>
                <w:b w:val="0"/>
                <w:sz w:val="18"/>
              </w:rPr>
              <w:t>無所得</w:t>
            </w:r>
          </w:p>
        </w:tc>
        <w:tc>
          <w:tcPr>
            <w:tcW w:type="dxa" w:w="6100"/>
            <w:tcMar>
              <w:top w:w="90" w:type="dxa"/>
              <w:start w:w="120" w:type="dxa"/>
              <w:bottom w:w="90" w:type="dxa"/>
              <w:end w:w="120" w:type="dxa"/>
            </w:tcMar>
          </w:tcPr>
          <w:p>
            <w:pPr>
              <w:spacing w:after="0"/>
            </w:pPr>
            <w:r>
              <w:rPr>
                <w:rFonts w:ascii="Noto Sans KR" w:hAnsi="Noto Sans KR" w:eastAsia="Noto Sans KR"/>
                <w:b w:val="0"/>
                <w:sz w:val="18"/>
              </w:rPr>
              <w:t>취득할 실체가 없음을 드러내며 뒤의 소득 논의를 여는 표현</w:t>
            </w:r>
          </w:p>
        </w:tc>
      </w:tr>
      <w:tr>
        <w:tc>
          <w:tcPr>
            <w:tcW w:type="dxa" w:w="1500"/>
            <w:shd w:fill="F4F6F9"/>
            <w:tcMar>
              <w:top w:w="90" w:type="dxa"/>
              <w:start w:w="120" w:type="dxa"/>
              <w:bottom w:w="90" w:type="dxa"/>
              <w:end w:w="120" w:type="dxa"/>
            </w:tcMar>
          </w:tcPr>
          <w:p>
            <w:pPr>
              <w:spacing w:after="0"/>
            </w:pPr>
            <w:r>
              <w:rPr>
                <w:rFonts w:ascii="Noto Sans KR" w:hAnsi="Noto Sans KR" w:eastAsia="Noto Sans KR"/>
                <w:b/>
                <w:sz w:val="18"/>
              </w:rPr>
              <w:t>무등등주</w:t>
            </w:r>
          </w:p>
        </w:tc>
        <w:tc>
          <w:tcPr>
            <w:tcW w:type="dxa" w:w="1400"/>
            <w:shd w:fill="F4F6F9"/>
            <w:tcMar>
              <w:top w:w="90" w:type="dxa"/>
              <w:start w:w="120" w:type="dxa"/>
              <w:bottom w:w="90" w:type="dxa"/>
              <w:end w:w="120" w:type="dxa"/>
            </w:tcMar>
          </w:tcPr>
          <w:p>
            <w:pPr>
              <w:spacing w:after="0"/>
            </w:pPr>
            <w:r>
              <w:rPr>
                <w:rFonts w:ascii="Noto Sans KR" w:hAnsi="Noto Sans KR" w:eastAsia="Noto Sans KR"/>
                <w:b w:val="0"/>
                <w:sz w:val="18"/>
              </w:rPr>
              <w:t>無等等呪</w:t>
            </w:r>
          </w:p>
        </w:tc>
        <w:tc>
          <w:tcPr>
            <w:tcW w:type="dxa" w:w="6100"/>
            <w:shd w:fill="F4F6F9"/>
            <w:tcMar>
              <w:top w:w="90" w:type="dxa"/>
              <w:start w:w="120" w:type="dxa"/>
              <w:bottom w:w="90" w:type="dxa"/>
              <w:end w:w="120" w:type="dxa"/>
            </w:tcMar>
          </w:tcPr>
          <w:p>
            <w:pPr>
              <w:spacing w:after="0"/>
            </w:pPr>
            <w:r>
              <w:rPr>
                <w:rFonts w:ascii="Noto Sans KR" w:hAnsi="Noto Sans KR" w:eastAsia="Noto Sans KR"/>
                <w:b w:val="0"/>
                <w:sz w:val="18"/>
              </w:rPr>
              <w:t>반야의 뛰어난 공능을 찬탄하는 네 주문명 가운데 하나</w:t>
            </w:r>
          </w:p>
        </w:tc>
      </w:tr>
    </w:tbl>
    <w:p>
      <w:r>
        <w:br w:type="page"/>
      </w:r>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sz w:val="18"/>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sz w:val="18"/>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[판독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글자 자체를 확정하기 어려운 경우에만 표시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[구두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원문의 문장부호나 구절 분할을 하나로 확정하기 어려운 경우</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[구문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현존 원문 문법이 압축적이거나 둘 이상의 연결이 가능한 경우</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[이문 검토 필요]</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다른 전자본·판본과의 대조가 필요한 글자 또는 구절</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편집 참조번호</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[1]–[4]와 같은 번호는 원문 그대로 보존하며 대응 주석이 없으면 임의로 복원하지 않음</w:t>
            </w:r>
          </w:p>
        </w:tc>
      </w:tr>
    </w:tbl>
    <w:p>
      <w:pPr>
        <w:pStyle w:val="Heading1"/>
      </w:pPr>
      <w:r>
        <w:t>본문 대조 번역</w:t>
      </w:r>
    </w:p>
    <w:p>
      <w:pPr>
        <w:pStyle w:val="SmallMeta"/>
      </w:pPr>
      <w:r>
        <w:t>첨부 TXT 위치표지 27개 문단 · [0552a14]–[0555a15]</w:t>
      </w:r>
    </w:p>
    <w:p>
      <w:pPr>
        <w:pStyle w:val="Heading2"/>
      </w:pPr>
      <w:r>
        <w:t>문단 001  ·  [0552a14]</w:t>
      </w:r>
    </w:p>
    <w:p>
      <w:pPr/>
      <w:r>
        <w:t>원문</w:t>
      </w:r>
    </w:p>
    <w:p>
      <w:pPr>
        <w:pStyle w:val="SourceText"/>
      </w:pPr>
      <w:r>
        <w:t>[0552a14] 夫以。真源素範。[2]冲漠隔於筌罤。妙覺玄猷。奧頤超於言象。雖真俗雙泯二諦恒存。空有兩亡一味常顯。良以。真空未甞不有。即有以辨於空。幻有未始不空。即空以明於有。有空有故不有。空有空故不空。不空之空空而非斷。不有之有有而不常。四執既亡百非斯遣。般若玄旨斯之謂歟。若歷事備陳。言過二十萬頌。若撮其樞要。理盡一十四行。是知詮真之教乍廣略而隨緣。超言之宗性圓通而俱現。般若心經者。實謂曜昏衢之高炬。濟苦海之迅航。拯物導迷莫斯[3]最為。然則般若以神鑒為體。波羅蜜多以到彼岸為功。心顯要妙所歸。經乃貫穿言教。從法就喻詮旨為目。故言般若波羅蜜多心經。</w:t>
      </w:r>
    </w:p>
    <w:p>
      <w:pPr/>
      <w:r>
        <w:t>한국어 직역</w:t>
      </w:r>
    </w:p>
    <w:p>
      <w:pPr>
        <w:pStyle w:val="TranslationText"/>
      </w:pPr>
      <w:r>
        <w:t>무릇 진원(真源)의 본래 법도는 [2] 아득하고 고요하여 통발과 올가미에서 멀리 떨어져 있고, 묘각(妙覺)의 현묘한 도는 깊고 심오하여 언어와 형상을 초월한다. 비록 진(真)과 속(俗)이 함께 사라져도 이제(二諦)는 항상 존재하고, 공과 유가 둘 다 없어져도 일미(一味)는 항상 드러난다. 진실로 진공(真空)은 일찍이 유를 떠난 적이 없으므로 유를 통해 공을 분별하고, 환유(幻有)는 처음부터 공을 떠난 적이 없으므로 공을 통해 유를 밝힌다. 유는 공한 유이므로 실유가 아니고, 공은 유가 드러나는 공이므로 단순한 공만은 아니다. 공하지 않은 공은 공이면서도 단멸이 아니고, 유가 아닌 유는 유이면서도 상주가 아니다. 네 가지 집착이 이미 사라지면 백비(百非)도 이에 함께 제거된다. 반야의 현묘한 뜻이란 바로 이것을 말하는 것이 아니겠는가. 만일 일들을 하나하나 갖추어 진술한다면, 말은 이십만 송을 넘는다. 그러나 그 핵심을 추려 내면 이치는 열네 줄에 다한다. 이로써 진리를 설명하는 가르침은 혹 넓고 혹 간략하게 인연을 따르고, 말을 초월한 종지는 그 성품이 원만히 통하여 함께 드러난다는 것을 알 수 있다. 『반야심경』이란 실로 어두운 길을 밝히는 높은 횃불이며, 고해를 건너게 하는 빠른 배이고, 중생을 건지고 미혹한 이들을 인도함에는 이보다 [3] 더 뛰어난 것이 없다. 그렇다면 반야는 신묘한 비춤을 체(體)로 삼고, 바라밀다는 피안에 도달함을 공능으로 삼으며, ‘심(心)’은 핵심적이고 오묘한 귀결처를 나타내고, ‘경(經)’은 언교를 꿰뚫어 잇는다. 법을 따르고 비유에 나아가, 뜻을 설명하는 것으로 제목을 삼았으므로, 『반야바라밀다심경』이라 한다.</w:t>
      </w:r>
    </w:p>
    <w:p>
      <w:pPr>
        <w:pStyle w:val="EditorialNote"/>
      </w:pPr>
      <w:r>
        <w:t>교감·번역 메모 | 원문의 [2]와 [3]은 대응 주석 내용이 TXT에 없는 편집 참조번호이므로 그대로 보존하였다.</w:t>
      </w:r>
    </w:p>
    <w:p>
      <w:pPr>
        <w:pStyle w:val="EditorialNote"/>
      </w:pPr>
      <w:r>
        <w:t>교감·번역 메모 | 원문의 「奧頤」는 다른 전자본에서 「奧賾」으로도 보이므로 원문은 수정하지 않고 문맥에 따라 번역하였다.</w:t>
      </w:r>
    </w:p>
    <w:p>
      <w:pPr>
        <w:pStyle w:val="Heading2"/>
      </w:pPr>
      <w:r>
        <w:t>문단 002  ·  [0552a28]</w:t>
      </w:r>
    </w:p>
    <w:p>
      <w:pPr/>
      <w:r>
        <w:t>원문</w:t>
      </w:r>
    </w:p>
    <w:p>
      <w:pPr>
        <w:pStyle w:val="SourceText"/>
      </w:pPr>
      <w:r>
        <w:t>[0552a28] 將釋此經五門分別。一教興。二藏攝。三宗趣。四釋題。五解文。初教興者。依大智度論云。如須彌山王。非無因緣非少因緣令得振動。般若教興亦復如是。具多因緣。一謂欲破外道諸邪見故。二欲迴二乘。令入大乘故。三令小菩薩不迷空故。四令悟二諦中道生正見故。五顯佛勝德生淨信故。六欲令發大菩提心故。七令修菩薩深廣行故。八令斷一切諸重障故。九令得菩提涅槃果故。十流至後代益眾生故。略說此十具收彼意。令此教興。第二藏攝者。謂三藏之中契經藏攝。二藏之內菩薩藏收。權實教中實教所攝。第三宗趣者。語之所表曰宗。宗之所歸曰趣。然先總後別。總以三種般若為宗。一實相。謂所觀真性。二觀照。謂能觀妙慧。三文字。謂詮上之教。不越此三故以為宗。別亦有三。一教義一對。以文字教為宗。餘二義為趣。二境智一對。以真空境為宗。觀照智為趣。三因果一對。以菩提因行為宗。菩提果德為趣。</w:t>
      </w:r>
    </w:p>
    <w:p>
      <w:pPr/>
      <w:r>
        <w:t>한국어 직역</w:t>
      </w:r>
    </w:p>
    <w:p>
      <w:pPr>
        <w:pStyle w:val="TranslationText"/>
      </w:pPr>
      <w:r>
        <w:t>이 경을 해석하려 하면서 다섯 문으로 나누어 분별한다. 첫째는 교흥(教興)이다. 둘째는 장섭(藏攝)이다. 셋째는 종취(宗趣)이다. 넷째는 제목의 해석이다. 다섯째는 본문의 해석이다. 첫째, 교흥이란 『대지도론』에 의거하면 다음과 같이 말한다. 수미산왕과 같아서, 인연이 없거나 적은 인연으로 진동하게 되는 것이 아니다. 반야의 가르침이 일어나는 것도 또한 이와 같다. 여러 인연을 갖춘다. 첫째, 외도의 여러 삿된 견해를 깨뜨리고자 하기 때문이다. 둘째, 이승(二乘)을 돌이켜 대승에 들어가게 하고자 하기 때문이다. 셋째, 소보살(小菩薩)로 하여금 공에 미혹되지 않게 하기 때문이다. 넷째, 이제의 중도를 깨달아 바른 견해를 내게 하기 때문이다. 다섯째, 부처님의 뛰어난 덕을 드러내어 청정한 믿음을 내게 하기 때문이다. 여섯째, 큰 보리심을 일으키게 하고자 하기 때문이다. 일곱째, 보살의 깊고 넓은 행을 닦게 하기 때문이다. 여덟째, 일체의 무거운 장애를 끊게 하기 때문이다. 아홉째, 보리와 열반의 과를 얻게 하기 때문이다. 열째, 후대에까지 유통되어 중생을 이롭게 하기 때문이다. 이 열 가지로 간략히 말하면 그 뜻을 모두 포섭하니, 이러한 까닭으로 이 가르침이 일어났다. 둘째, 장섭이란 삼장 가운데서는 계경장(契經藏)에 포섭되고, 이장(二藏) 가운데서는 보살장에 들어가며, 권교와 실교 가운데서는 실교에 포섭된다는 것이다. 셋째, 종취란 말이 드러내는 바를 종(宗)이라 하고, 종이 귀결되는 바를 취(趣)라 한다. 그러나 먼저 총론하고 뒤에 별론한다. 총론에서는 세 가지 반야를 종으로 삼는다. 첫째는 실상(實相)이다. 곧 관찰되는 참된 성품이다. 둘째는 관조(觀照)이다. 곧 관찰하는 오묘한 지혜이다. 셋째는 문자(文字)이다. 곧 앞의 두 반야를 설명하는 가르침이다. 이 셋을 벗어나지 않으므로 종으로 삼는다. 별론에도 또한 세 가지가 있다. 첫째, 교와 의의 한 쌍이다. 문자의 가르침을 종으로 삼고, 나머지 두 의(義)를 취로 삼는다. 둘째, 경(境)과 지(智)의 한 쌍이다. 진공의 경계를 종으로 삼고, 관조의 지혜를 취로 삼는다. 셋째, 인과의 한 쌍이다. 보리의 인행(因行)을 종으로 삼고, 보리의 과덕(果德)을 취로 삼는다.</w:t>
      </w:r>
    </w:p>
    <w:p>
      <w:pPr>
        <w:pStyle w:val="Heading2"/>
      </w:pPr>
      <w:r>
        <w:t>문단 003  ·  [0552b19]</w:t>
      </w:r>
    </w:p>
    <w:p>
      <w:pPr/>
      <w:r>
        <w:t>원문</w:t>
      </w:r>
    </w:p>
    <w:p>
      <w:pPr>
        <w:pStyle w:val="SourceText"/>
      </w:pPr>
      <w:r>
        <w:t>[0552b19] 般若波羅蜜多心[4]經　第四釋題者亦有三。初教義分二。謂般若心。是所詮之義。經之一字是能詮之教。即能詮般若之經依義立名。二就所詮義中法喻分二。謂般若等是所詮之法。心之一字是所引之喻。即般若內統要衷之妙義。況人心藏為主為要。統極之本。三就前法中有體用分二。謂般若是體。此云智慧。即神悟玄奧妙證真源也。波羅蜜多是用。此云到彼岸。即由斯妙慧翻生死過盡。至真空之際。即簡不到彼岸之慧。故以為名。謂體即用故。法之喻故。義之教故。立斯名耳。</w:t>
      </w:r>
    </w:p>
    <w:p>
      <w:pPr/>
      <w:r>
        <w:t>한국어 직역</w:t>
      </w:r>
    </w:p>
    <w:p>
      <w:pPr>
        <w:pStyle w:val="TranslationText"/>
      </w:pPr>
      <w:r>
        <w:t>『반야바라밀다심[4]경』. 넷째, 제목의 해석에도 세 가지가 있다. 첫째, 교와 의로 나누면 둘이다. 곧 ‘반야심’은 설명되는 뜻이고, ‘경’ 한 글자는 설명하는 가르침이다. 곧 반야를 설명하는 경이므로 뜻에 의거하여 이름을 세운 것이다. 둘째, 설명되는 뜻 가운데 법과 비유로 나누면 둘이다. 곧 ‘반야’ 등은 설명되는 법이고, ‘심’ 한 글자는 끌어온 비유이다. 곧 반야 가운데 핵심 요체를 총괄하는 오묘한 뜻을 가리킨다. 사람의 심장(心藏)에 비유하면, 그것이 주체이자 요체가 되고, 모든 것을 총괄하는 근본이 되는 것과 같다. 셋째, 앞의 법 가운데 체와 용으로 나누면 둘이다. 곧 반야는 체이다. 이를 지혜라고 한다. 곧 신묘하게 현오(玄奧)를 깨닫고 오묘하게 진원(真源)을 증득하는 것이다. 바라밀다는 용(用)이다. 이를 ‘피안에 이른다’고 한다. 곧 이 오묘한 지혜로 말미암아 생사라는 허물을 뒤집어 다 없애고, 진공의 경계에 이르는 것이다. 곧 피안에 이르지 못하는 지혜와 구별한다. 그러므로 이것으로 이름을 삼는다. 곧 체가 곧 용이고, 법에 비유를 붙이며, 뜻에 가르침을 붙여 이 이름을 세운 것이다.</w:t>
      </w:r>
    </w:p>
    <w:p>
      <w:pPr>
        <w:pStyle w:val="EditorialNote"/>
      </w:pPr>
      <w:r>
        <w:t>교감·번역 메모 | 원문의 [4]는 대응 주석 내용이 TXT에 없는 편집 참조번호이므로 그대로 보존하였다.</w:t>
      </w:r>
    </w:p>
    <w:p>
      <w:pPr>
        <w:pStyle w:val="Heading2"/>
      </w:pPr>
      <w:r>
        <w:t>문단 004  ·  [0552c02]</w:t>
      </w:r>
    </w:p>
    <w:p>
      <w:pPr/>
      <w:r>
        <w:t>원문</w:t>
      </w:r>
    </w:p>
    <w:p>
      <w:pPr>
        <w:pStyle w:val="SourceText"/>
      </w:pPr>
      <w:r>
        <w:t>[0552c02] 觀自在菩薩　自下第五解文。此既心經。是以無序及流通也。文中分二。初顯了般若。後即說呪曰下。明祕密般若。何以辨此二者。謂顯了明說。令生慧解滅煩惱障。以呪祕密言。令誦生福滅罪業障。為滅二障成二嚴故。說此二分。就前文中亦二。初略標綱要分二。從舍利子色不異空下。明廣陳實義分。以義非頓顯故先略標。非略能具故次廣釋。又前是據行略標。後即就解廣陳。前中有四。一能觀人。二所行行。三觀行境。四明能觀利益。且初能觀人。觀自在菩薩者。是能觀人也。謂於理事無閡之境。觀達自在故立此名。又觀機往救自在無閡。故以為名焉。前釋就智後釋就悲。菩謂菩提。此謂之覺。薩者薩埵。此曰眾生。謂此人以智上求菩提。用悲下救眾生。從境得名故。</w:t>
      </w:r>
    </w:p>
    <w:p>
      <w:pPr/>
      <w:r>
        <w:t>한국어 직역</w:t>
      </w:r>
    </w:p>
    <w:p>
      <w:pPr>
        <w:pStyle w:val="TranslationText"/>
      </w:pPr>
      <w:r>
        <w:t>‘관자재보살’. 이 아래부터는 다섯째, 본문의 해석이다. 이것이 『심경』이므로, 서분과 유통분이 없다. 본문은 둘로 나뉜다. 처음은 현료반야(顯了般若)이고, 뒤는 ‘즉시설주왈(即說呪曰)’ 이하로서, 비밀반야(祕密般若)를 밝힌다. 어떻게 이 둘을 구별하는가. 현료는 분명하게 설하여, 지혜의 이해를 내게 하고 번뇌장을 없애게 한다. 주문은 비밀한 말로써 독송하게 하여 복을 낳고 죄업의 장애를 없애게 한다. 두 장애를 없애고 두 장엄을 이루기 위하여, 이 두 부분을 설한다. 앞의 본문에서도 또한 둘이다. 첫째는 강요를 간략히 표하는 부분이고, 둘째는 ‘사리자 색불이공’ 이하부터는 실제의 뜻을 널리 진술하는 부분을 밝힌다. 뜻은 단번에 드러나지 않으므로 먼저 간략히 표하고, 간략한 것만으로는 갖출 수 없으므로 다음에 널리 해석한다. 또 앞부분은 행(行)에 근거하여 간략히 표한 것이고, 뒷부분은 해(解)에 나아가 널리 진술한 것이다. 앞부분에는 네 가지가 있다. 첫째, 관찰하는 사람. 둘째, 행하는 행. 셋째, 관행의 경계. 넷째, 능관(能觀)의 이익을 밝힘이다. 우선 첫째는 관찰하는 사람이다. ‘관자재보살’이란 관찰하는 사람이다. 곧 이(理)와 사(事)가 걸림 없는 경계에서 관찰하여 통달함이 자재하므로 이 이름을 세웠다. 또 중생의 근기를 살펴 나아가 구제하는 데 자재하고 걸림이 없으므로, 이것으로 이름을 삼았다. 앞의 해석은 지혜에 나아간 것이고 뒤의 해석은 자비에 나아간 것이다. ‘보(菩)’는 보리(菩提)를 말하며, 이를 각(覺)이라 한다. ‘살(薩)’은 살타(薩埵)이며, 이를 중생이라 한다. 곧 이 사람은 지혜로 위로 보리를 구하고, 자비를 써서 아래로 중생을 구제하니, 경계에 따라 이름을 얻었기 때문이다.</w:t>
      </w:r>
    </w:p>
    <w:p>
      <w:pPr>
        <w:pStyle w:val="Heading2"/>
      </w:pPr>
      <w:r>
        <w:t>문단 005  ·  [0552c19]</w:t>
      </w:r>
    </w:p>
    <w:p>
      <w:pPr/>
      <w:r>
        <w:t>원문</w:t>
      </w:r>
    </w:p>
    <w:p>
      <w:pPr>
        <w:pStyle w:val="SourceText"/>
      </w:pPr>
      <w:r>
        <w:t>[0552c19] 行深般若波羅蜜多時　二明所行之行。謂般若妙行有其二種。一淺即人空般若。二深即法空般若。今簡淺異深。故云行深般若。言時者。謂此菩薩有時。亦同二乘入人空觀。故法華云。應以聲聞身得度者。即現聲聞身等。今非彼時故云行深時也。</w:t>
      </w:r>
    </w:p>
    <w:p>
      <w:pPr/>
      <w:r>
        <w:t>한국어 직역</w:t>
      </w:r>
    </w:p>
    <w:p>
      <w:pPr>
        <w:pStyle w:val="TranslationText"/>
      </w:pPr>
      <w:r>
        <w:t>‘깊은 반야바라밀다를 행할 때’. 둘째, 행하는 행을 밝힌다. 반야의 오묘한 행에는 두 가지가 있다. 첫째, 얕은 것은 곧 인공반야(人空般若)이고, 둘째, 깊은 것은 곧 법공반야(法空般若)이다. 이제 얕은 것을 가려 깊은 것과 구별하므로, ‘깊은 반야를 행한다’고 말한다. ‘때’라고 한 것은 이 보살에게 어떤 때에는 또한 이승과 같이 인공관에 들어가는 경우도 있음을 말한다. 그러므로 『법화경』에서 말한다. ‘성문의 몸으로 제도받아야 할 자에게는 곧 성문의 몸을 나타낸다’고 하는 것 등이다. 지금은 그런 때가 아니므로 ‘깊은 반야를 행할 때’라고 말한다.</w:t>
      </w:r>
    </w:p>
    <w:p>
      <w:pPr>
        <w:pStyle w:val="Heading2"/>
      </w:pPr>
      <w:r>
        <w:t>문단 006  ·  [0552c25]</w:t>
      </w:r>
    </w:p>
    <w:p>
      <w:pPr/>
      <w:r>
        <w:t>원문</w:t>
      </w:r>
    </w:p>
    <w:p>
      <w:pPr>
        <w:pStyle w:val="SourceText"/>
      </w:pPr>
      <w:r>
        <w:t>[0552c25] 照見五蘊皆空　三明觀行境。謂達見五蘊自性。皆空即二空理深慧所見也。</w:t>
      </w:r>
    </w:p>
    <w:p>
      <w:pPr/>
      <w:r>
        <w:t>한국어 직역</w:t>
      </w:r>
    </w:p>
    <w:p>
      <w:pPr>
        <w:pStyle w:val="TranslationText"/>
      </w:pPr>
      <w:r>
        <w:t>‘오온이 모두 공함을 비추어 보았다’. 셋째, 관행의 경계를 밝힌다. 곧 오온의 자성이 모두 공함을 통달하여 보는 것이다. 이는 이공(二空)의 이치로서 깊은 지혜가 관찰한 바이다.</w:t>
      </w:r>
    </w:p>
    <w:p>
      <w:pPr>
        <w:pStyle w:val="Heading2"/>
      </w:pPr>
      <w:r>
        <w:t>문단 007  ·  [0552c27]</w:t>
      </w:r>
    </w:p>
    <w:p>
      <w:pPr/>
      <w:r>
        <w:t>원문</w:t>
      </w:r>
    </w:p>
    <w:p>
      <w:pPr>
        <w:pStyle w:val="SourceText"/>
      </w:pPr>
      <w:r>
        <w:t>[0552c27] 度一切苦厄　四明利益。謂證見真空苦惱斯盡。當得遠離分段變易二種生死。證菩提涅槃究竟樂果。故云度一切苦厄也。上來略標竟。</w:t>
      </w:r>
    </w:p>
    <w:p>
      <w:pPr/>
      <w:r>
        <w:t>한국어 직역</w:t>
      </w:r>
    </w:p>
    <w:p>
      <w:pPr>
        <w:pStyle w:val="TranslationText"/>
      </w:pPr>
      <w:r>
        <w:t>‘일체의 고액을 건너 벗어났다’. 넷째, 이익을 밝힌다. 곧 진공을 증득하여 관하면 괴로움이 모두 다한다. 마땅히 분단생사와 변역생사라는 두 가지 생사를 멀리 여의게 되고, 보리와 열반이라는 궁극의 즐거운 과를 증득한다. 그러므로 ‘일체의 고액을 건넌다’고 한다. 이상으로 간략한 표방을 마친다.</w:t>
      </w:r>
    </w:p>
    <w:p>
      <w:pPr>
        <w:pStyle w:val="Heading2"/>
      </w:pPr>
      <w:r>
        <w:t>문단 008  ·  [0553a02]</w:t>
      </w:r>
    </w:p>
    <w:p>
      <w:pPr/>
      <w:r>
        <w:t>원문</w:t>
      </w:r>
    </w:p>
    <w:p>
      <w:pPr>
        <w:pStyle w:val="SourceText"/>
      </w:pPr>
      <w:r>
        <w:t>[0553a02] 舍利子。色不異空空不異色。色即是空空即是色。受想行識亦復如是　自下第二明廣陳實義分。於中有五。一拂外疑。二顯法體。三明所離。四辨所得。五結歎勝能。初段文有四釋。一正去小乘疑。二兼釋菩薩疑。三便顯正義。四就觀行釋。初中言舍利子者。舉疑人也。舍利是鳥名。此翻為鶖鷺鳥。以其人母聰悟迅疾如彼鳥眼。因立其名。是彼之子。連母為號故曰鶖子。是則母因鳥名。子連母號。聰慧第一。標為上首。故對之釋疑也。彼疑云。我小乘有餘位中見蘊無人。亦云法空與此何別。今釋云。汝宗蘊中無人名蘊空。非蘊自空。是則蘊異於空。今明諸蘊自性本空。而不同彼。故云色不異空等。又疑云。我小乘中入無餘位身智俱盡。亦空無色等與此何別。釋云。汝宗即色非空滅色方空。今則不爾。色即是空非色滅空。故不同彼。以二乘疑不出此二。故就釋之。二兼釋菩薩疑者。依寶性論云。空亂意菩薩有三種疑。一疑空異色。取色外空。今明色不異空。以斷彼疑。二疑空滅色。取斷滅空。今明色即是空。非色滅空。以斷彼疑。三疑空是物。取空為有。今明空[1]即色。不可以空取空。以斷彼疑。三疑既盡。真空自顯也。三便顯正義者。但色空相望有其三義。一相違義。下文云。空中無色等。以空害色故。準此應云色中無空。以色違空故。若以互存必互亡故。二不相閡義。謂以色是幻色必不閡空。以空是真空必不妨幻色若閡於色即是斷空。非真空故。若閡於空即是實色。非幻色故。三明相作義。謂若此幻色舉體非空。不成幻色。是故由色即空。方得有色故。大品云。若諸法不空。即無道無果等。中論云。以有空義故一切法得成。故真空亦爾。準上應知。是故真空通有四義。一廢己成他義。以空即是色故。即色現空隱也。二泯他顯己義。以色是空故。即色盡空顯也。三自他俱存義。以隱顯無二是真空故。謂色不異空為幻色色存也。空不異色名真空空顯也。以互不相礙二俱存也。四自他俱泯義。以舉體相即全奪兩亡絕二邊故。色望於空亦有四義。一顯他自盡。二自顯隱他。三俱存。四俱泯。並準前思之。是則幻色存亡無閡。真空隱顯自在。合為一味圓通無寄。是其法也。四就觀行釋者有三。一觀色即空以成止行。觀空即色以成觀行。空色無二一念頓現。即止觀俱行方為究竟。二見色即空。成大智而不住生死。見空即色。成大悲而不住涅槃。以色空境不二悲智念不殊成。無住處行。三智者大師依瓔珞經立一心三觀義。一從假入空觀。謂[2]即是空故。二從空入假觀。謂空即是色故。三空假平等觀。謂色空無異故。</w:t>
      </w:r>
    </w:p>
    <w:p>
      <w:pPr/>
      <w:r>
        <w:t>한국어 직역</w:t>
      </w:r>
    </w:p>
    <w:p>
      <w:pPr>
        <w:pStyle w:val="TranslationText"/>
      </w:pPr>
      <w:r>
        <w:t>‘사리자’. 색은 공과 다르지 않고 공은 색과 다르지 않으며, 색이 곧 공이고 공이 곧 색이며, 수·상·행·식도 또한 이와 같다. 이 아래부터 둘째, 실제의 뜻을 널리 진술하는 부분을 밝힌다. 그 가운데 다섯 가지가 있다. 첫째, 외부의 의심을 떨쳐 냄. 둘째, 법의 체를 드러냄. 셋째, 여의는 바를 밝힘. 넷째, 얻는 바를 분별함. 다섯째, 뛰어난 공능을 맺어 찬탄함이다. 첫 단락의 글에는 네 가지 해석이 있다. 첫째, 바로 소승의 의심을 제거함. 둘째, 겸하여 보살의 의심을 해석함. 셋째, 아울러 바른 뜻을 드러냄. 넷째, 관행에 나아가 해석함이다. 첫째 가운데 ‘사리자’라고 한 것은 의심하는 사람을 든 것이다. 사리(舍利)는 새의 이름이다. 여기서는 추로조(鶖鷺鳥)라고 번역한다. 그 사람의 어머니가 총명하고 깨닫는 것이 신속하기가 저 새의 눈과 같았기 때문에, 그것에 따라 이름을 세웠다. 그는 그 여인의 아들이므로, 어머니의 이름을 이어 호칭하여 ‘추자(鶖子)’라고 한다. 곧 어머니는 새를 따라 이름을 얻었고, 아들은 어머니의 호칭을 이었다. 총명한 지혜가 제일이어서, 상수(上首)로 표시되었으므로, 그를 상대하여 의심을 해석한 것이다. 그 의심에서 말한다. ‘우리 소승에서는 유여위(有餘位) 가운데 온(蘊)에는 사람이 없음을 본다. 또한 법공이라고도 하는데 이것과 무엇이 다른가?’ 이제 해석하여 말한다. ‘너희 종에서는 온 가운데 사람이 없는 것을 온공(蘊空)이라 이름할 뿐, 온 자체가 공한 것은 아니다. 그렇다면 온은 공과 다른 것이다. 지금은 모든 온의 자성이 본래 공함을 밝히므로, 저것과 같지 않다. 그러므로 색이 공과 다르지 않다고 하는 것 등이다.’ 또 의심하여 말한다. ‘우리 소승에서는 무여위(無餘位)에 들어가 몸과 지혜가 함께 다하면, 또한 공하여 색 등이 없는데 이것과 무엇이 다른가?’ 해석하여 말한다. ‘너희 종에서는 색 자체가 공한 것이 아니라 색을 없앤 뒤에야 공하다. 지금은 그렇지 않다. 색이 곧 공이지 색을 없애서 공한 것이 아니다. 그러므로 저것과 같지 않다.’ 이승의 의심은 이 두 가지를 벗어나지 않으므로, 이에 나아가 해석한 것이다. 둘째, 겸하여 보살의 의심을 해석한다. 『보성론』에 의거하여 말한다. 공에 대한 생각이 어지러운 보살에게는 세 가지 의심이 있다. 첫째, 공이 색과 다르다고 의심하여, 색 밖의 공을 취한다. 지금 색이 공과 다르지 않음을 밝힘으로써, 그 의심을 끊는다. 둘째, 공이 색을 없앤다고 의심하여, 단멸의 공을 취한다. 지금 색이 곧 공임을 밝히니, 색을 없애서 공한 것이 아니다. 이로써 그 의심을 끊는다. 셋째, 공이 하나의 사물이라고 의심하여, 공을 유라고 취한다. 지금 공[1]이 곧 색임을 밝히니, 공을 가지고 다시 공을 취할 수는 없다. 이로써 그 의심을 끊는다. 세 가지 의심이 이미 다하면, 진공이 스스로 드러난다. 셋째, 아울러 바른 뜻을 드러낸다. 다만 색과 공을 서로 대하여 보면 세 가지 뜻이 있다. 첫째는 서로 어긋나는 뜻이다. 아래 글에서 말한다. ‘공 가운데 색이 없다’고 한다. 공이 색을 해치기 때문이다. 이에 준하면 마땅히 ‘색 가운데 공이 없다’고 해야 한다. 색이 공에 어긋나기 때문이다. 만약 서로 존립한다고 본다면 반드시 서로 없어져야 하기 때문이다. 둘째는 서로 걸림이 없는 뜻이다. 곧 색은 환색(幻色)이므로 반드시 공을 방해하지 않고, 공은 진공이므로 반드시 환색을 방해하지 않는다. 만일 색을 방해한다면 곧 단공(斷空)이어서, 진공이 아니기 때문이다. 만일 공을 방해한다면 곧 실색(實色)이어서, 환색이 아니기 때문이다. 셋째는 서로 성립시켜 주는 뜻을 밝힌다. 곧 만일 이 환색의 전체가 공이 아니라면, 환색을 이룰 수 없다. 그러므로 색이 곧 공이기 때문에, 비로소 색이 있을 수 있다. 『대품』에서 말한다. ‘만일 모든 법이 공하지 않다면, 곧 도도 없고 과도 없다’고 하는 것 등이다. 『중론』에서 말한다. ‘공의 뜻이 있기 때문에 일체법이 성립할 수 있다.’ 그러므로 진공도 또한 그러하다. 위에 준하여 알아야 한다. 그러므로 진공에는 통틀어 네 가지 뜻이 있다. 첫째는 자기를 버리고 남을 이루는 뜻이다. 공이 곧 색이기 때문에, 곧 색은 드러나고 공은 숨는다. 둘째는 남을 없애고 자기를 드러내는 뜻이다. 색이 공이기 때문에, 곧 색은 다하고 공은 드러난다. 셋째는 자기와 남이 함께 존재하는 뜻이다. 숨음과 드러남이 둘이 아닌 것이 진공이기 때문이다. 곧 색이 공과 다르지 않다는 것은 환색으로서 색이 존재하는 것이고, 공이 색과 다르지 않다는 것은 진공이라 이름하여 공이 드러나는 것이다. 서로 방해하지 않기 때문에 둘이 함께 존재한다. 넷째는 자기와 남이 함께 없어지는 뜻이다. 전체 그대로 서로 즉하여 온전히 서로 빼앗으므로 둘이 다 없어져 두 변을 끊기 때문이다. 색이 공을 대하는 데에도 또한 네 가지 뜻이 있다. 첫째, 남을 드러내고 자신은 다하는 뜻, 둘째, 자신을 드러내고 남을 숨기는 뜻, 셋째, 둘이 함께 존재하는 뜻, 넷째, 둘이 함께 없어지는 뜻이다. 모두 앞에 준하여 생각해야 한다. 그렇다면 환색은 존재하고 없어짐에 걸림이 없고, 진공은 숨고 드러남이 자재하다. 합하여 한맛이 되어 원만히 통하고 어느 한쪽에도 의지하지 않는다. 이것이 바로 그 법의 뜻이다. 넷째, 관행에 나아가 해석하는 데 세 가지가 있다. 첫째, 색이 곧 공임을 관하여 지행(止行)을 이룬다. 공이 곧 색임을 관하여 관행(觀行)을 이룬다. 공과 색이 둘이 아니어서 한 생각에 단번에 드러나면, 지와 관을 함께 행하는 것이 비로소 궁극이 된다. 둘째, 색이 곧 공임을 보면, 대지(大智)를 이루어 생사에 머물지 않는다. 공이 곧 색임을 보면, 대비(大悲)를 이루어 열반에 머물지 않는다. 색과 공의 경계가 둘이 아니고 자비와 지혜의 생각도 다르지 않아, 이루는 것은 무주처행(無住處行)이다. 셋째, 지자대사는 『영락경』에 의거하여 일심삼관의 뜻을 세웠다. 첫째, 가(假)에서 공으로 들어가는 관이다. 곧 [2] 공이기 때문이다. 둘째, 공에서 가로 들어가는 관이다. 곧 ‘공이 곧 색이기’ 때문이다. 셋째, 공과 가가 평등한 관이다. 곧 ‘색과 공이 다르지 않기’ 때문이다.</w:t>
      </w:r>
    </w:p>
    <w:p>
      <w:pPr>
        <w:pStyle w:val="EditorialNote"/>
      </w:pPr>
      <w:r>
        <w:t>교감·번역 메모 | 원문의 [1]과 [2]는 대응 주석 내용이 TXT에 없는 편집 참조번호이므로 그대로 보존하였다.</w:t>
      </w:r>
    </w:p>
    <w:p>
      <w:pPr>
        <w:pStyle w:val="Heading2"/>
      </w:pPr>
      <w:r>
        <w:t>문단 009  ·  [0553b25]</w:t>
      </w:r>
    </w:p>
    <w:p>
      <w:pPr/>
      <w:r>
        <w:t>원문</w:t>
      </w:r>
    </w:p>
    <w:p>
      <w:pPr>
        <w:pStyle w:val="SourceText"/>
      </w:pPr>
      <w:r>
        <w:t>[0553b25] 舍利子。是諸法空相　第二顯法體。於中有二。先總後別。今初也。言是諸法空相者。謂蘊等非一故云諸法。顯此空狀故云空相。中邊論云。無二有此無是二名空相。言無二者無能取所取。有言。有此無者有能取所取。無是二不二名為空相。</w:t>
      </w:r>
    </w:p>
    <w:p>
      <w:pPr/>
      <w:r>
        <w:t>한국어 직역</w:t>
      </w:r>
    </w:p>
    <w:p>
      <w:pPr>
        <w:pStyle w:val="TranslationText"/>
      </w:pPr>
      <w:r>
        <w:t>‘사리자’. ‘이 모든 법은 공의 상(相)이다.’ 둘째, 법의 체를 드러낸다. 그 가운데 둘이 있다. 먼저 총론하고 뒤에 별론한다. 지금은 첫째이다. ‘이 모든 법은 공의 모습이다’라고 한 것은, 온 등이 하나가 아니므로 ‘모든 법’이라 하고, 이 공의 형상을 드러내므로 ‘공상(空相)’이라 하는 것이다. 『중변론』에서 말한다. ‘둘이 없고, 이 없음이 있으니, 이 둘을 공상이라 한다.’ ‘둘이 없다’고 한 것은 능취(能取)와 소취(所取)라는 유(有)가 없다는 뜻이다. 여기서 ‘유(有)’는 앞 구절의 ‘능취·소취’에 이어 읽는다. ‘이 없음이 있다’고 한 것은 능취와 소취가 없는 그 ‘없음’이 있다는 뜻이다. 이 둘이 불이(不二)인 것을 공상(空相)이라 한다.</w:t>
      </w:r>
    </w:p>
    <w:p>
      <w:pPr>
        <w:pStyle w:val="EditorialNote"/>
      </w:pPr>
      <w:r>
        <w:t>교감·번역 메모 | 『중변론』 인용부는 TXT의 구두만 따르면 문맥이 어색해질 수 있어 「無二有此無，是二名空相」 및 이어지는 능취·소취 구절의 연속 구조를 반영하여 번역하였다. 원문 글자는 바꾸지 않았다.</w:t>
      </w:r>
    </w:p>
    <w:p>
      <w:pPr>
        <w:pStyle w:val="Heading2"/>
      </w:pPr>
      <w:r>
        <w:t>문단 010  ·  [0553c02]</w:t>
      </w:r>
    </w:p>
    <w:p>
      <w:pPr/>
      <w:r>
        <w:t>원문</w:t>
      </w:r>
    </w:p>
    <w:p>
      <w:pPr>
        <w:pStyle w:val="SourceText"/>
      </w:pPr>
      <w:r>
        <w:t>[0553c02] 不生不滅。不垢不淨。不增不減　二別顯中有三對六不。然有三釋。一就位釋。二就法釋。三就觀行釋。初就位釋者。一不生不滅。在道前凡位。謂諸凡夫死此生彼。流轉長劫。是生滅位。真空離此故云不生不滅也。二不垢不淨者。在道中菩薩等位。謂諸菩薩障染未盡淨行已修。名垢淨位。真空離此故名不垢不淨。三不增不減者。在道後佛果位中。生死惑障昔未盡。而今盡是減也。修生萬德昔未圜。而今圜是增也。真空離此故云不增不減。又佛性論中。立三種佛性。一道前名自性住佛性。二道中名引出佛性。三道後名至得果佛性。佛性唯一就位分三。今真空無異。亦就位分異。又法界無差別論中。初名染位。次名染淨位。後名純淨位。皆同此也。二就法釋者。謂此真空雖即色等。然色從緣起。真空不生色。從緣謝。真空不滅。又隨流不染。出障非淨。又障盡非減。德滿不增。此生滅等是有為法相。翻此以顯真空之相。故云空相也。三就觀行釋者。謂於三性立三無性觀。一於遍計所執性作無相觀。謂彼即空無可生滅。二於依他起性作無生觀。謂依他染淨從緣無性。三於圜成實性作無性觀。謂前二不有而非減。觀智照現而不增。又在纏出障性無增減。又妄法無生滅。緣起非染淨。真空無增減。以此三無性顯彼真空相。</w:t>
      </w:r>
    </w:p>
    <w:p>
      <w:pPr/>
      <w:r>
        <w:t>한국어 직역</w:t>
      </w:r>
    </w:p>
    <w:p>
      <w:pPr>
        <w:pStyle w:val="TranslationText"/>
      </w:pPr>
      <w:r>
        <w:t>‘나지도 않고 멸하지도 않는다.’ ‘더럽지도 않고 깨끗하지도 않는다.’ ‘늘지도 않고 줄지도 않는다.’ 둘째, 별도로 드러내는 가운데 세 쌍의 여섯 부정이 있다. 그런데 세 가지 해석이 있다. 첫째, 지위에 나아가 해석한다. 둘째, 법에 나아가 해석한다. 셋째, 관행에 나아가 해석한다. 첫째, 지위에 나아가 해석하면, 첫째는 불생불멸이다. 도(道) 이전의 범부 지위에 해당한다. 곧 모든 범부는 여기서 죽어 저기에 태어나며, 긴 겁 동안 유전한다. 이것이 생멸의 지위이다. 진공은 이것을 떠나므로 ‘나지도 않고 멸하지도 않는다’고 한다. 둘째, 불구부정이란 도 가운데의 보살 등의 지위에 해당한다. 곧 모든 보살은 장애와 오염이 아직 다하지 않았고 청정한 행은 이미 닦았으므로, 구정위(垢淨位)라 한다. 진공은 이것을 떠나므로 ‘더럽지도 않고 깨끗하지도 않다’고 한다. 셋째, 부증불감이란 도 이후의 불과(佛果) 지위에 해당한다. 생사의 미혹과 장애가 예전에는 다하지 않았으나, 지금 다한 것이 ‘감소’이다. 수행하여 생긴 만덕이 예전에는 원만하지 않았으나, 지금 원만해진 것이 ‘증가’이다. 진공은 이것을 떠나므로 ‘늘지도 않고 줄지도 않는다’고 한다. 또 『불성론』에서는 세 종류의 불성을 세운다. 첫째, 도 이전을 자성주불성(自性住佛性)이라 하고, 둘째, 도 가운데를 인출불성(引出佛性)이라 하며, 셋째, 도 이후를 지득과불성(至得果佛性)이라 한다. 불성은 오직 하나이지만 지위에 나아가 셋으로 나눈 것이다. 지금 진공도 이와 다르지 않으며, 역시 지위에 따라 차이를 나눈다. 또 『법계무차별론』에서는 처음을 염위(染位)라 하고, 다음을 염정위(染淨位)라 하며, 뒤를 순정위(純淨位)라 한다. 모두 이것과 같다. 둘째, 법에 나아가 해석하면, 이 진공은 비록 곧 색 등이지만, 색은 인연을 따라 일어난다. 진공은 생겨나지 않으며, 색은 인연을 따라 사라지고, 진공은 멸하지 않는다. 또 유전(流轉)을 따르더라도 물들지 않고, 장애에서 벗어났다고 해서 새로 청정해지는 것도 아니다. 또 장애가 다했다고 해서 감소하는 것도 아니고, 덕이 원만하다고 해서 증가하는 것도 아니다. 이 생멸 등은 유위법의 모습이다. 이것을 뒤집어 진공의 모습을 드러내므로, 공상이라고 한다. 셋째, 관행에 나아가 해석하면, 삼성(三性)에 대하여 삼무성관(三無性觀)을 세운다. 첫째, 변계소집성에 대하여 무상관(無相觀)을 짓는다. 곧 그것은 공하여 생멸할 것이 없다는 것이다. 둘째, 의타기성에 대하여 무생관(無生觀)을 짓는다. 곧 의타기성의 염정은 인연을 따라 일어나 자성이 없다는 것이다. 셋째, 원성실성에 대하여 무성관(無性觀)을 짓는다. 곧 앞의 두 가지가 있지 않다고 해서 감소하는 것은 아니고, 관지(觀智)가 비추어 나타난다고 해서 증가하는 것도 아니다. 또 번뇌에 얽힌 상태와 장애에서 벗어난 상태에서도 성품에는 증가와 감소가 없다. 또 망법에는 생멸이 없고, 연기에는 염정이 아니며, 진공에는 증감이 없다. 이 세 무성으로 저 진공의 모습을 드러낸다.</w:t>
      </w:r>
    </w:p>
    <w:p>
      <w:pPr>
        <w:pStyle w:val="EditorialNote"/>
      </w:pPr>
      <w:r>
        <w:t>교감·번역 메모 | 「真空不生色。從緣謝。真空不滅」 부분은 대구 구조상 「色從緣起，真空不生；色從緣謝，真空不滅」로 이어 읽어 번역하되, TXT 원문 자체는 그대로 보존하였다.</w:t>
      </w:r>
    </w:p>
    <w:p>
      <w:pPr>
        <w:pStyle w:val="Heading2"/>
      </w:pPr>
      <w:r>
        <w:t>문단 011  ·  [0553c29]</w:t>
      </w:r>
    </w:p>
    <w:p>
      <w:pPr/>
      <w:r>
        <w:t>원문</w:t>
      </w:r>
    </w:p>
    <w:p>
      <w:pPr>
        <w:pStyle w:val="SourceText"/>
      </w:pPr>
      <w:r>
        <w:t>[0553c29] 是故空中無色無受想行識。無眼耳鼻舌身意。無色聲香味觸法。無眼界乃至無意識界　第三明所離。然真空所離歷法多門。統略有四。一法相開合門。二緣起逆順門。三染淨因果門。四境智能所門。初是故空中者。是前不生不滅等。真空中故。無色等者。彼真空中無五蘊等法。此就相違門故云無也。理實皆悉不壞色等。以自性空不待壞故。下並準知。此中五蘊。即合色為一開心為四。二無眼等者。空無十二處。十二處即合心為一半。謂意處全及法處一分。開色為十半。謂五根五境為十處。及法處一分。三無眼界等者。空無十八界。十八界中即色心俱開。準上可知釋此三科具如對法等論也。</w:t>
      </w:r>
    </w:p>
    <w:p>
      <w:pPr/>
      <w:r>
        <w:t>한국어 직역</w:t>
      </w:r>
    </w:p>
    <w:p>
      <w:pPr>
        <w:pStyle w:val="TranslationText"/>
      </w:pPr>
      <w:r>
        <w:t>‘그러므로 공 가운데에는 색도 없고 수·상·행·식도 없다.’ ‘안·이·비·설·신·의도 없고,’ ‘색·성·향·미·촉·법도 없으며,’ ‘안계에서부터 의식계에 이르기까지도 없다.’ 셋째, 여의는 바를 밝힌다. 그러나 진공이 여의는 바는 여러 법문에 걸쳐 있으나, 통틀어 간략히 네 가지가 있다. 첫째, 법상의 개합문. 둘째, 연기의 역순문. 셋째, 염정의 인과문. 넷째, 경계와 지혜의 능소문이다. 첫째, ‘그러므로 공 가운데’라고 한 것은, 앞에서 말한 불생불멸 등의 진공 가운데라는 뜻이다. ‘색 등이 없다’고 한 것은, 저 진공 가운데 오온 등의 법이 없다는 것이다. 이는 상위문(相違門)에 나아갔기 때문에 ‘없다’고 말한 것이다. 실제로는 모두 색 등을 무너뜨리지 않는다. 자성이 공하므로 무너뜨리기를 기다리지 않기 때문이다. 아래도 모두 이에 준하여 알아야 한다. 이 가운데 오온은 곧 색을 합하여 하나로 하고 마음을 열어 넷으로 한 것이다. 둘째, ‘안 등도 없다’고 한 것은, 공 가운데 십이처가 없다는 것이다. 십이처는 곧 마음을 하나 반으로 합한 것이다. 곧 의처 전체와 법처의 한 부분이다. 색을 열면 열 반이 된다. 곧 오근과 오경이 십처가 되고, 법처의 한 부분이 더해진다. 셋째, ‘안계 등도 없다’고 한 것은, 공 가운데 십팔계가 없다는 것이다. 십팔계에서는 곧 색과 마음을 모두 펼친다. 위에 준하여 알 수 있으며, 이 삼과(三科)에 대한 자세한 해석은 『대법』 등의 논서에 자세하다.</w:t>
      </w:r>
    </w:p>
    <w:p>
      <w:pPr>
        <w:pStyle w:val="Heading2"/>
      </w:pPr>
      <w:r>
        <w:t>문단 012  ·  [0554a14]</w:t>
      </w:r>
    </w:p>
    <w:p>
      <w:pPr/>
      <w:r>
        <w:t>원문</w:t>
      </w:r>
    </w:p>
    <w:p>
      <w:pPr>
        <w:pStyle w:val="SourceText"/>
      </w:pPr>
      <w:r>
        <w:t>[0554a14] 無無明亦無無明盡。乃至無老死。亦無老死盡　二明緣起逆順門。無無明者。順觀無明流轉門。以其性空故云無無明也。亦無無明盡。逆觀無明還滅門。以真空故無可盡也。此舉初支。中間十支。皆應準此。故云乃至。末後一支。謂老死亦流轉還滅皆空也。</w:t>
      </w:r>
    </w:p>
    <w:p>
      <w:pPr/>
      <w:r>
        <w:t>한국어 직역</w:t>
      </w:r>
    </w:p>
    <w:p>
      <w:pPr>
        <w:pStyle w:val="TranslationText"/>
      </w:pPr>
      <w:r>
        <w:t>‘무명도 없고 또한 무명이 다함도 없다.’ ‘나아가 노사도 없고,’ ‘또한 노사가 다함도 없다.’ 둘째, 연기의 역순문을 밝힌다. ‘무명이 없다’고 한 것은, 무명의 유전문을 순관(順觀)하는 것이다. 그 자성이 공하므로 ‘무명이 없다’고 한다. ‘또한 무명이 다함도 없다’고 한 것은, 무명의 환멸문을 역관(逆觀)하는 것이다. 진공이므로 다할 만한 것이 없기 때문이다. 여기서는 첫째 지분을 든 것이다. 중간의 열 지분도 모두 이에 준해야 한다. 그러므로 ‘나아가’라고 한다. 맨 마지막 한 지분은 곧 노사로서, 유전과 환멸이 모두 공하다는 것이다.</w:t>
      </w:r>
    </w:p>
    <w:p>
      <w:pPr>
        <w:pStyle w:val="Heading2"/>
      </w:pPr>
      <w:r>
        <w:t>문단 013  ·  [0554a20]</w:t>
      </w:r>
    </w:p>
    <w:p>
      <w:pPr/>
      <w:r>
        <w:t>원문</w:t>
      </w:r>
    </w:p>
    <w:p>
      <w:pPr>
        <w:pStyle w:val="SourceText"/>
      </w:pPr>
      <w:r>
        <w:t>[0554a20] 無苦集滅道　三染淨因果門。苦集是世間因果。謂苦是生死報。先舉令生厭。集是彼因。謂是煩惱業。厭苦斷集先果後因故也。滅道是出世間因果。滅是涅槃果。先舉令欣。道是彼因。謂八正道。修之於後。皆空無有也。</w:t>
      </w:r>
    </w:p>
    <w:p>
      <w:pPr/>
      <w:r>
        <w:t>한국어 직역</w:t>
      </w:r>
    </w:p>
    <w:p>
      <w:pPr>
        <w:pStyle w:val="TranslationText"/>
      </w:pPr>
      <w:r>
        <w:t>‘고·집·멸·도도 없다.’ 셋째, 염정의 인과문이다. 고와 집은 세간의 인과이다. 곧 고는 생사의 과보이다. 먼저 들어 싫어하는 마음을 내게 한다. 집은 그 원인이다. 곧 번뇌와 업이다. 고를 싫어하고 집을 끊게 하려는 까닭에 과를 먼저 들고 인을 뒤에 든 것이다. 멸과 도는 출세간의 인과이다. 멸은 열반의 과이다. 먼저 들어 기뻐하게 한다. 도는 그 원인이다. 곧 팔정도이다. 그것을 뒤에 닦는다. 모두 공하여 존재하지 않는다.</w:t>
      </w:r>
    </w:p>
    <w:p>
      <w:pPr>
        <w:pStyle w:val="Heading2"/>
      </w:pPr>
      <w:r>
        <w:t>문단 014  ·  [0554a26]</w:t>
      </w:r>
    </w:p>
    <w:p>
      <w:pPr/>
      <w:r>
        <w:t>원문</w:t>
      </w:r>
    </w:p>
    <w:p>
      <w:pPr>
        <w:pStyle w:val="SourceText"/>
      </w:pPr>
      <w:r>
        <w:t>[0554a26] 無智亦無得　四境智能所門。非但空中無前諸法。彼知空智亦不可得。故云無智也。即此所知空理亦不可得。故云無得也。問前云空即是色等。明色等不亡。何以此文一切皆無。豈非此空是滅色耶。答前雖不閡存而未甞不盡。今此都亡未甞不立。故大品云。諸法無所有。如是有此無。此就無所有。前據如是有。又前就相作門。此就相害門。一法二義隨說無違。</w:t>
      </w:r>
    </w:p>
    <w:p>
      <w:pPr/>
      <w:r>
        <w:t>한국어 직역</w:t>
      </w:r>
    </w:p>
    <w:p>
      <w:pPr>
        <w:pStyle w:val="TranslationText"/>
      </w:pPr>
      <w:r>
        <w:t>‘지혜도 없고 또한 얻음도 없다.’ 넷째, 경계와 지혜의 능소문이다. 공 가운데 앞의 여러 법만 없는 것이 아니다. 저 공을 아는 지혜도 또한 얻을 수 없다. 그러므로 ‘지혜도 없다’고 한다. 곧 이 지혜가 대상으로 아는 공의 이치도 또한 얻을 수 없다. 그러므로 ‘얻음도 없다’고 한다. 묻는다. 앞에서는 ‘공이 곧 색이다’라고 하는 등을 말하여, 색 등이 없어지지 않음을 밝혔다. 그런데 어찌하여 이 글에서는 일체가 모두 없다고 하는가. 어찌 이 공이 색을 없애는 것이 아니겠는가. 답한다. 앞에서는 비록 [색 등의] 존립을 방해하지 않지만 그렇다고 전혀 다 없어지지 않는 것도 아니며, 지금 여기서는 모두 없어진다고 하지만 그렇다고 전혀 성립하지 않는 것도 아니다. 그러므로 『대품』에서 말한다. ‘모든 법은 있는 바가 없으면서 이와 같이 존재한다.’ 여기에서 말한 ‘없음’은 ‘있는 바가 없음’에 나아간 것이고, 앞에서는 ‘이와 같이 존재함’에 근거한 것이다. 또 앞에서는 상작문(相作門)에 나아갔고, 여기서는 상해문(相害門)에 나아갔다. 한 법에 두 가지 뜻이 있으므로 설명에 따라 서로 어긋남이 없다.</w:t>
      </w:r>
    </w:p>
    <w:p>
      <w:pPr>
        <w:pStyle w:val="EditorialNote"/>
      </w:pPr>
      <w:r>
        <w:t>교감·번역 메모 | 「諸法無所有。如是有此無」 부분은 문맥상 「諸法無所有，如是有。此無……」의 구두를 반영하여 번역하되, TXT 원문은 수정하지 않았다.</w:t>
      </w:r>
    </w:p>
    <w:p>
      <w:pPr>
        <w:pStyle w:val="Heading2"/>
      </w:pPr>
      <w:r>
        <w:t>문단 015  ·  [0554b07]</w:t>
      </w:r>
    </w:p>
    <w:p>
      <w:pPr/>
      <w:r>
        <w:t>원문</w:t>
      </w:r>
    </w:p>
    <w:p>
      <w:pPr>
        <w:pStyle w:val="SourceText"/>
      </w:pPr>
      <w:r>
        <w:t>[0554b07] 以無所得故　第四明其所得有二。初牒前起後。二正明所得。今初也。言以無所得故者。牒前起後也。以者由也。故者因也。由前無所得為因。令後有所得也。大品云無所得故而得。</w:t>
      </w:r>
    </w:p>
    <w:p>
      <w:pPr/>
      <w:r>
        <w:t>한국어 직역</w:t>
      </w:r>
    </w:p>
    <w:p>
      <w:pPr>
        <w:pStyle w:val="TranslationText"/>
      </w:pPr>
      <w:r>
        <w:t>‘얻는 바가 없기 때문에.’ 넷째, 그 얻는 바를 밝히는 데 둘이 있다. 첫째, 앞을 들어 뒤를 일으킨다. 둘째, 바로 얻는 바를 밝힌다. 지금은 첫째이다. ‘얻는 바가 없기 때문에’라고 한 것은, 앞을 들어 뒤를 일으킨 것이다. ‘이(以)’는 ‘말미암아’라는 뜻이고, ‘고(故)’는 원인이라는 뜻이다. 앞의 무소득을 원인으로 삼기 때문에 뒤의 유소득이 있게 된다. 『대품』에서 ‘얻는 바가 없기 때문에 얻는다’고 말한다.</w:t>
      </w:r>
    </w:p>
    <w:p>
      <w:pPr>
        <w:pStyle w:val="Heading2"/>
      </w:pPr>
      <w:r>
        <w:t>문단 016  ·  [0554b12]</w:t>
      </w:r>
    </w:p>
    <w:p>
      <w:pPr/>
      <w:r>
        <w:t>원문</w:t>
      </w:r>
    </w:p>
    <w:p>
      <w:pPr>
        <w:pStyle w:val="SourceText"/>
      </w:pPr>
      <w:r>
        <w:t>[0554b12] 菩提薩埵依般若波羅蜜多故　二正明所得有二。先明菩薩得涅槃斷果。後明諸佛得菩提智果。前中亦二。先舉人依法。後斷障得果。今初也。言菩提薩埵者舉人也。義如前解。依般若波羅蜜多故者。明依此法行也。故者起後也。</w:t>
      </w:r>
    </w:p>
    <w:p>
      <w:pPr/>
      <w:r>
        <w:t>한국어 직역</w:t>
      </w:r>
    </w:p>
    <w:p>
      <w:pPr>
        <w:pStyle w:val="TranslationText"/>
      </w:pPr>
      <w:r>
        <w:t>‘보리살타는 반야바라밀다에 의지하기 때문에.’ 둘째, 바로 얻는 바를 밝히는 데 둘이 있다. 먼저 보살이 열반의 단과(斷果)를 얻음을 밝히고, 뒤에 모든 부처가 보리의 지과(智果)를 얻음을 밝힌다. 앞부분에도 또한 둘이 있다. 먼저 사람을 들고 법에 의지함을 밝히며, 뒤에 장애를 끊고 과를 얻음을 밝힌다. 지금은 첫째이다. ‘보리살타’라고 한 것은 사람을 든 것이다. 뜻은 앞에서 해석한 것과 같다. ‘반야바라밀다에 의지하기 때문에’라고 한 것은, 이 법에 의지하여 행함을 밝힌 것이다. ‘고(故)’는 뒤의 내용을 일으키는 말이다.</w:t>
      </w:r>
    </w:p>
    <w:p>
      <w:pPr>
        <w:pStyle w:val="Heading2"/>
      </w:pPr>
      <w:r>
        <w:t>문단 017  ·  [0554b18]</w:t>
      </w:r>
    </w:p>
    <w:p>
      <w:pPr/>
      <w:r>
        <w:t>원문</w:t>
      </w:r>
    </w:p>
    <w:p>
      <w:pPr>
        <w:pStyle w:val="SourceText"/>
      </w:pPr>
      <w:r>
        <w:t>[0554b18] 心無罣閡　二斷障得果中有三。初行成。二斷障。三得果。今初也。言心無罣閡者行成也。謂惑不閡心故。境不閡智故。</w:t>
      </w:r>
    </w:p>
    <w:p>
      <w:pPr/>
      <w:r>
        <w:t>한국어 직역</w:t>
      </w:r>
    </w:p>
    <w:p>
      <w:pPr>
        <w:pStyle w:val="TranslationText"/>
      </w:pPr>
      <w:r>
        <w:t>‘마음에 걸림이 없다.’ 둘째, 장애를 끊고 과를 얻는 가운데 셋이 있다. 첫째, 행을 이룸. 둘째, 장애를 끊음. 셋째, 과를 얻음이다. 지금은 첫째이다. ‘마음에 걸림이 없다’고 한 것은 행이 이루어진 것이다. 곧 미혹이 마음을 가로막지 않고, 경계가 지혜를 가로막지 않기 때문이다.</w:t>
      </w:r>
    </w:p>
    <w:p>
      <w:pPr>
        <w:pStyle w:val="Heading2"/>
      </w:pPr>
      <w:r>
        <w:t>문단 018  ·  [0554b21]</w:t>
      </w:r>
    </w:p>
    <w:p>
      <w:pPr/>
      <w:r>
        <w:t>원문</w:t>
      </w:r>
    </w:p>
    <w:p>
      <w:pPr>
        <w:pStyle w:val="SourceText"/>
      </w:pPr>
      <w:r>
        <w:t>[0554b21] 無罣閡故無有恐怖。遠離顛倒夢想　二斷障也。言無罣閡故牒前起後也。無有恐怖者。外無魔冤之怖。即惡緣息也。遠離顛倒夢想者。內無惑障之倒。即惡因盡也。</w:t>
      </w:r>
    </w:p>
    <w:p>
      <w:pPr/>
      <w:r>
        <w:t>한국어 직역</w:t>
      </w:r>
    </w:p>
    <w:p>
      <w:pPr>
        <w:pStyle w:val="TranslationText"/>
      </w:pPr>
      <w:r>
        <w:t>‘걸림이 없기 때문에 두려움이 없다.’ ‘전도된 몽상을 멀리 여읜다.’ 둘째, 장애를 끊는 것이다. ‘걸림이 없기 때문에’라고 한 것은 앞을 들어 뒤를 일으킨 것이다. ‘두려움이 없다’고 한 것은, 밖으로는 마구니와 원수로 인한 두려움이 없는 것이다. 곧 악한 인연이 그친 것이다. ‘전도된 몽상을 멀리 여읜다’고 한 것은, 안으로는 미혹과 장애의 전도가 없는 것이다. 곧 악한 원인이 다한 것이다.</w:t>
      </w:r>
    </w:p>
    <w:p>
      <w:pPr>
        <w:pStyle w:val="Heading2"/>
      </w:pPr>
      <w:r>
        <w:t>문단 019  ·  [0554b25]</w:t>
      </w:r>
    </w:p>
    <w:p>
      <w:pPr/>
      <w:r>
        <w:t>원문</w:t>
      </w:r>
    </w:p>
    <w:p>
      <w:pPr>
        <w:pStyle w:val="SourceText"/>
      </w:pPr>
      <w:r>
        <w:t>[0554b25] 究竟涅槃　三得果也。涅槃此云圜寂。謂德無不備稱圜。障無不盡稱寂。簡異小乘化城權立。今則一得永常故云究竟。又釋智能究竟盡涅槃之際。故云究竟。</w:t>
      </w:r>
    </w:p>
    <w:p>
      <w:pPr/>
      <w:r>
        <w:t>한국어 직역</w:t>
      </w:r>
    </w:p>
    <w:p>
      <w:pPr>
        <w:pStyle w:val="TranslationText"/>
      </w:pPr>
      <w:r>
        <w:t>‘궁극의 열반.’ 셋째, 과를 얻는 것이다. 열반은 여기서 원적(圜寂)이라 한다. 곧 덕이 갖추어지지 않은 것이 없음을 ‘원(圜)’이라 하고, 장애가 다하지 않은 것이 없음을 ‘적(寂)’이라 한다. 소승에서 화성(化城)을 방편으로 세운 것과 구별한다. 지금은 한 번 얻으면 영원히 상주하므로 ‘궁극’이라 한다. 또 다른 해석으로는 지혜가 궁극에 이르러 열반의 경계까지 다한다는 뜻이므로, ‘궁극’이라고 한다.</w:t>
      </w:r>
    </w:p>
    <w:p>
      <w:pPr>
        <w:pStyle w:val="Heading2"/>
      </w:pPr>
      <w:r>
        <w:t>문단 020  ·  [0554c01]</w:t>
      </w:r>
    </w:p>
    <w:p>
      <w:pPr/>
      <w:r>
        <w:t>원문</w:t>
      </w:r>
    </w:p>
    <w:p>
      <w:pPr>
        <w:pStyle w:val="SourceText"/>
      </w:pPr>
      <w:r>
        <w:t>[0554c01] 三世諸佛依般若波羅蜜多故　第二得菩提智果。於中有二。初舉人依法。二明得果。今初也。謂三世諸佛更無異路。唯此一門。故云依般若波羅蜜多故也。</w:t>
      </w:r>
    </w:p>
    <w:p>
      <w:pPr/>
      <w:r>
        <w:t>한국어 직역</w:t>
      </w:r>
    </w:p>
    <w:p>
      <w:pPr>
        <w:pStyle w:val="TranslationText"/>
      </w:pPr>
      <w:r>
        <w:t>‘삼세의 모든 부처는 반야바라밀다에 의지하기 때문에.’ 둘째, 보리의 지과(智果)를 얻음을 밝힌다. 그 가운데 둘이 있다. 첫째, 사람을 들고 법에 의지함을 밝힌다. 둘째, 과를 얻음을 밝힌다. 지금은 첫째이다. 곧 삼세의 모든 부처에게 다시 다른 길은 없고, 오직 이 한 문뿐이다. 그러므로 ‘반야바라밀다에 의지하기 때문에’라고 말한 것이다.</w:t>
      </w:r>
    </w:p>
    <w:p>
      <w:pPr>
        <w:pStyle w:val="Heading2"/>
      </w:pPr>
      <w:r>
        <w:t>문단 021  ·  [0554c05]</w:t>
      </w:r>
    </w:p>
    <w:p>
      <w:pPr/>
      <w:r>
        <w:t>원문</w:t>
      </w:r>
    </w:p>
    <w:p>
      <w:pPr>
        <w:pStyle w:val="SourceText"/>
      </w:pPr>
      <w:r>
        <w:t>[0554c05] 得阿耨多羅三藐三菩提　二正明得果也。阿耨多羅此云無上也。三藐者此云正也。次三者此云等也。菩提此云覺也。即無上正等覺也。覺有二義。一正覺。即如理智。正觀真諦。二等覺。即如量智。遍觀俗諦。皆至極無邊。故云無上也。上來所得竟。</w:t>
      </w:r>
    </w:p>
    <w:p>
      <w:pPr/>
      <w:r>
        <w:t>한국어 직역</w:t>
      </w:r>
    </w:p>
    <w:p>
      <w:pPr>
        <w:pStyle w:val="TranslationText"/>
      </w:pPr>
      <w:r>
        <w:t>‘아뇩다라삼먁삼보리를 얻는다.’ 둘째, 바로 과를 얻음을 밝힌 것이다. ‘아뇩다라’는 여기서 ‘무상(無上)’이라 한다. ‘삼먁’은 여기서 ‘정(正)’이라 한다. 그 다음의 ‘삼’은 여기서 ‘등(等)’이라 한다. ‘보리’는 여기서 ‘각(覺)’이라 한다. 곧 무상정등각(無上正等覺)이다. 각(覺)에는 두 가지 뜻이 있다. 첫째는 정각(正覺)이다. 곧 여리지(如理智)이다. 진제(真諦)를 바르게 관한다. 둘째는 등각(等覺)이다. 곧 여량지(如量智)이다. 속제(俗諦)를 두루 관한다. 두 지혜가 모두 지극하여 끝이 없다. 그러므로 ‘무상’이라 한다. 이상으로 얻는 바에 대한 설명을 마친다.</w:t>
      </w:r>
    </w:p>
    <w:p>
      <w:pPr>
        <w:pStyle w:val="Heading2"/>
      </w:pPr>
      <w:r>
        <w:t>문단 022  ·  [0554c11]</w:t>
      </w:r>
    </w:p>
    <w:p>
      <w:pPr/>
      <w:r>
        <w:t>원문</w:t>
      </w:r>
    </w:p>
    <w:p>
      <w:pPr>
        <w:pStyle w:val="SourceText"/>
      </w:pPr>
      <w:r>
        <w:t>[0554c11] 故知。般若波羅蜜多是大神呪。是大明呪。是無上呪。是無等等呪　第五結歎勝能。於中有二。先別歎。後總結。今初也。言故知者[1]牃前起後也。由佛菩薩依般若。得菩提涅槃果。故知。般若是大神呪等。歎其勝能。略歎四德。然有三釋。一就法釋。一除障不虛名為神呪。二智鑒無昧名為明呪。三更無加過名無上呪。四獨絕無倫名無等等呪。二約功能釋。一能破煩惱。二能破無明。三令因行滿。四令果德圜。三就位釋。一過凡。二越小。三超因。四齊果。謂無等之位互相[2]濟等。故云無等等。十地論云無等者。謂佛比餘眾生彼非等故。重言等者此彼法身等故。何故不但說無等耶。示現等正覺故。</w:t>
      </w:r>
    </w:p>
    <w:p>
      <w:pPr/>
      <w:r>
        <w:t>한국어 직역</w:t>
      </w:r>
    </w:p>
    <w:p>
      <w:pPr>
        <w:pStyle w:val="TranslationText"/>
      </w:pPr>
      <w:r>
        <w:t>‘그러므로 알아야 한다.’ ‘반야바라밀다는 대신주(大神呪)이고,’ ‘대명주(大明呪)이며,’ ‘무상주(無上呪)이고,’ ‘무등등주(無等等呪)이다.’ 다섯째, 뛰어난 능력을 맺어 찬탄한다. 그 가운데 둘이 있다. 먼저 따로 찬탄하고, 뒤에 총괄하여 맺는다. 지금은 첫째이다. ‘그러므로 알아야 한다’고 한 것은 [1] 앞을 거듭 들어 뒤를 일으킨 것이다. 부처와 보살이 반야에 의지하여 보리와 열반의 과를 얻기 때문에, 그러므로 반야가 대신주 등임을 알아야 한다. 이는 그 뛰어난 능력을 찬탄한 것이다. 간략히 네 가지 덕을 찬탄한다. 그런데 세 가지 해석이 있다. 첫째, 법에 나아가 해석한다. 첫째, 장애를 없애는 것이 헛되지 않으므로 신주(神呪)라 한다. 둘째, 지혜의 비춤에 어두움이 없으므로 명주(明呪)라 한다. 셋째, 다시 그보다 더 뛰어난 것이 없으므로 무상주(無上呪)라 한다. 넷째, 홀로 뛰어나 견줄 것이 없으므로 무등등주(無等等呪)라 한다. 둘째, 공능에 의거하여 해석한다. 첫째, 능히 번뇌를 깨뜨린다. 둘째, 능히 무명을 깨뜨린다. 셋째, 인위(因位)의 행을 원만하게 한다. 넷째, 과덕(果德)을 원만하게 한다. 셋째, 지위에 나아가 해석한다. 첫째, 범부를 넘어선다. 둘째, 소승을 뛰어넘는다. 셋째, 인위(因位)를 초월한다. 넷째, 과위(果位)와 동등하다. 이른바 ‘무등(無等)’의 지위가 서로 보완되어 ‘등(等)’의 뜻과 통한다는 것이다. 그러므로 ‘무등등’이라 한다. 『십지론』에서 ‘무등’이라고 한 것은, 곧 부처를 다른 중생들과 견주면 그들은 부처와 동등하지 않기 때문이라고 한다. ‘등’을 거듭 말한 것은 이와 저의 법신이 평등하기 때문이다. 어찌하여 단지 ‘무등’이라고만 말하지 않는가? 정등각(正等覺)을 나타내기 때문이다.</w:t>
      </w:r>
    </w:p>
    <w:p>
      <w:pPr>
        <w:pStyle w:val="EditorialNote"/>
      </w:pPr>
      <w:r>
        <w:t>교감·번역 메모 | 원문의 [1]과 [2]는 대응 주석 내용이 TXT에 없는 편집 참조번호이므로 그대로 보존하였다.</w:t>
      </w:r>
    </w:p>
    <w:p>
      <w:pPr>
        <w:pStyle w:val="EditorialNote"/>
      </w:pPr>
      <w:r>
        <w:t>교감·번역 메모 | 「互相濟等」은 문법적 결합이 압축적이어서 문맥에 따라 「서로 보완되어 등(等)의 뜻과 통한다」는 취지로 옮겼다.</w:t>
      </w:r>
    </w:p>
    <w:p>
      <w:pPr>
        <w:pStyle w:val="Heading2"/>
      </w:pPr>
      <w:r>
        <w:t>문단 023  ·  [0554c25]</w:t>
      </w:r>
    </w:p>
    <w:p>
      <w:pPr/>
      <w:r>
        <w:t>원문</w:t>
      </w:r>
    </w:p>
    <w:p>
      <w:pPr>
        <w:pStyle w:val="SourceText"/>
      </w:pPr>
      <w:r>
        <w:t>[0554c25] 能除一切苦真實不虛　二總結勝能。謂三苦八苦一切苦也。又分段變易。亦云一切苦也。除苦決定故云真實不虛也。上來廣略不同。總明顯了般若竟。</w:t>
      </w:r>
    </w:p>
    <w:p>
      <w:pPr/>
      <w:r>
        <w:t>한국어 직역</w:t>
      </w:r>
    </w:p>
    <w:p>
      <w:pPr>
        <w:pStyle w:val="TranslationText"/>
      </w:pPr>
      <w:r>
        <w:t>‘능히 일체의 괴로움을 없애며 진실하여 헛되지 않다.’ 둘째, 뛰어난 능력을 총괄하여 맺는다. 곧 삼고(三苦)와 팔고(八苦) 등 일체의 괴로움이다. 또 분단생사와 변역생사도 또한 ‘일체의 괴로움’이라 한다. 괴로움을 없애는 것이 결정되어 있기 때문에 ‘진실하여 헛되지 않다’고 한다. 이상에서 넓게 설명한 것과 간략히 설명한 것은 서로 다르지만, 총괄하여 현료반야(顯了般若)를 밝히는 일을 마친다.</w:t>
      </w:r>
    </w:p>
    <w:p>
      <w:pPr>
        <w:pStyle w:val="Heading2"/>
      </w:pPr>
      <w:r>
        <w:t>문단 024  ·  [0555a01]</w:t>
      </w:r>
    </w:p>
    <w:p>
      <w:pPr/>
      <w:r>
        <w:t>원문</w:t>
      </w:r>
    </w:p>
    <w:p>
      <w:pPr>
        <w:pStyle w:val="SourceText"/>
      </w:pPr>
      <w:r>
        <w:t>[0555a01] 故說般若波羅蜜多呪即說呪曰　自下第二段明祕密般若。於中有二。初牒前起後。二正說呪詞。今初也。前云是大神呪。未顯呪詞故今說之。</w:t>
      </w:r>
    </w:p>
    <w:p>
      <w:pPr/>
      <w:r>
        <w:t>한국어 직역</w:t>
      </w:r>
    </w:p>
    <w:p>
      <w:pPr>
        <w:pStyle w:val="TranslationText"/>
      </w:pPr>
      <w:r>
        <w:t>‘그러므로 반야바라밀다의 주문을 설하니, 곧 주문을 설하여 말한다.’ 이 아래는 둘째 단락으로 비밀반야(祕密般若)를 밝힌다. 그 가운데 둘이 있다. 첫째는 앞을 들어 뒤를 일으키는 것이고, 둘째는 바로 주문의 말을 설하는 것이다. 지금은 첫째이다. 앞에서 ‘이것은 대신주이다’라고 말하였으나, 주문의 말을 드러내지 않았으므로 지금 그것을 설한다.</w:t>
      </w:r>
    </w:p>
    <w:p>
      <w:pPr>
        <w:pStyle w:val="Heading2"/>
      </w:pPr>
      <w:r>
        <w:t>문단 025  ·  [0555a05]</w:t>
      </w:r>
    </w:p>
    <w:p>
      <w:pPr/>
      <w:r>
        <w:t>원문</w:t>
      </w:r>
    </w:p>
    <w:p>
      <w:pPr>
        <w:pStyle w:val="SourceText"/>
      </w:pPr>
      <w:r>
        <w:t>[0555a05] 羯諦羯諦波羅羯諦波羅僧羯諦菩提薩婆訶</w:t>
      </w:r>
    </w:p>
    <w:p>
      <w:pPr/>
      <w:r>
        <w:t>한국어 직역</w:t>
      </w:r>
    </w:p>
    <w:p>
      <w:pPr>
        <w:pStyle w:val="TranslationText"/>
      </w:pPr>
      <w:r>
        <w:t>아제 아제 바라아제 바라승아제 모지 사바하.</w:t>
      </w:r>
    </w:p>
    <w:p>
      <w:pPr>
        <w:pStyle w:val="Heading2"/>
      </w:pPr>
      <w:r>
        <w:t>문단 026  ·  [0555a06]</w:t>
      </w:r>
    </w:p>
    <w:p>
      <w:pPr/>
      <w:r>
        <w:t>원문</w:t>
      </w:r>
    </w:p>
    <w:p>
      <w:pPr>
        <w:pStyle w:val="SourceText"/>
      </w:pPr>
      <w:r>
        <w:t>[0555a06] 二正說呪詞。此有二義。一不可釋。以是諸佛祕語非因位所解。但當誦持除障增福。亦不須強釋也。二若欲強釋者。羯諦者。此云去也度也。即深慧功能。重言羯諦者。自度度他也。波羅羯諦者。波羅此云彼岸。即度所到處也。波羅僧羯諦者。僧者總也溥也。即謂自他溥度總到彼岸也。言菩提者。至何等彼岸。謂大菩提處也。言薩婆訶者。此云速疾令前所作速疾成就故也。</w:t>
      </w:r>
    </w:p>
    <w:p>
      <w:pPr/>
      <w:r>
        <w:t>한국어 직역</w:t>
      </w:r>
    </w:p>
    <w:p>
      <w:pPr>
        <w:pStyle w:val="TranslationText"/>
      </w:pPr>
      <w:r>
        <w:t>둘째, 바로 주문의 말을 설한다. 여기에는 두 가지 뜻이 있다. 첫째, 해석할 수 없다는 것이다. 이는 모든 부처의 비밀한 말로서 인위(因位)에 있는 이가 이해할 수 있는 것이 아니기 때문이다. 다만 마땅히 외우고 지녀 장애를 없애고 복을 늘릴 뿐이며, 또한 억지로 해석할 필요가 없다. 둘째, 만약 억지로 해석하고자 한다면, ‘아제[羯諦]’라는 것은 여기서 ‘가다[去]’, ‘건너다[度]’라고 한다. 곧 깊은 지혜의 공능이다. ‘아제’를 거듭 말한 것은 스스로 건너고 또한 남을 건너게 하는 것이다. ‘바라아제[波羅羯諦]’라는 것은, ‘바라[波羅]’는 여기서 ‘피안’이라 한다. 곧 건너서 도달하는 곳이다. ‘바라승아제[波羅僧羯諦]’라는 것은, ‘승[僧]’은 ‘모두[總]’, ‘두루[溥]’라는 뜻이다. 곧 자신과 남을 두루 건너게 하여 모두 피안에 이르게 한다는 뜻이다. ‘보리[菩提]’라고 한 것은, 어떠한 피안에 이르는가를 말한 것이다. 곧 대보리(大菩提)의 처소이다. ‘사바하[薩婆訶]’라고 한 것은, 여기서 ‘빠르게’라고 하니, 앞에서 행한 바가 빠르게 성취되게 한다는 뜻이다.</w:t>
      </w:r>
    </w:p>
    <w:p>
      <w:pPr>
        <w:pStyle w:val="Heading2"/>
      </w:pPr>
      <w:r>
        <w:t>문단 027  ·  [0555a15]</w:t>
      </w:r>
    </w:p>
    <w:p>
      <w:pPr/>
      <w:r>
        <w:t>원문</w:t>
      </w:r>
    </w:p>
    <w:p>
      <w:pPr>
        <w:pStyle w:val="SourceText"/>
      </w:pPr>
      <w:r>
        <w:t>[0555a15] 略釋絕筆述懷頌曰　般若深邃　累劫難逢　隨分讚釋　冀會真宗。</w:t>
      </w:r>
    </w:p>
    <w:p>
      <w:pPr/>
      <w:r>
        <w:t>한국어 직역</w:t>
      </w:r>
    </w:p>
    <w:p>
      <w:pPr>
        <w:pStyle w:val="TranslationText"/>
      </w:pPr>
      <w:r>
        <w:t>간략한 해석을 마치고 붓을 놓으며 회포를 읊은 게송에서 말한다. ‘반야는 깊고 심오하여 / 여러 겁 동안 만나기 어렵네. / 자신의 분수에 따라 찬탄하고 해석하니 / 참된 종지에 계합하기를 바라네.’</w:t>
      </w:r>
    </w:p>
    <w:p>
      <w:pPr>
        <w:pStyle w:val="Heading1"/>
      </w:pPr>
      <w:r>
        <w:t>번역 검증 보고</w:t>
      </w:r>
    </w:p>
    <w:p>
      <w:pPr>
        <w:pStyle w:val="SmallMeta"/>
      </w:pPr>
      <w:r>
        <w:t>원문·번역 대응과 저본 이상 표지의 최종 점검</w:t>
      </w:r>
    </w:p>
    <w:p>
      <w:pPr>
        <w:pStyle w:val="Heading2"/>
      </w:pPr>
      <w:r>
        <w:t>중점 검토 위치</w:t>
      </w:r>
    </w:p>
    <w:p>
      <w:pPr/>
      <w:r>
        <w:t>[0552a14] 「奧頤」 이문 가능성 · [0553b25] 『중변론』 인용 구두 · [0553c02] 「色從緣起／從緣謝」 대구 구두 · [0554a26] 「如是有。此無」 구두 · [0554c11] 「互相濟等」 압축 구문</w:t>
      </w:r>
    </w:p>
    <w:p>
      <w:pPr>
        <w:pStyle w:val="Heading2"/>
      </w:pPr>
      <w:r>
        <w:t>편집 표지</w:t>
      </w:r>
    </w:p>
    <w:p>
      <w:pPr/>
      <w:r>
        <w:t>본문의 [1]–[4] 편집 참조번호는 첨부 저본에 있는 그대로 보존하였다. 해당 번호에 대응하는 교감 주기나 각주는 파일에 포함되어 있지 않으므로 임의로 복원하지 않았다.</w:t>
      </w:r>
    </w:p>
    <w:p>
      <w:pPr>
        <w:pStyle w:val="Heading2"/>
      </w:pPr>
      <w:r>
        <w:t>번역상 한계</w:t>
      </w:r>
    </w:p>
    <w:p>
      <w:pPr/>
      <w:r>
        <w:t>이 문서는 첨부 TXT의 글자와 위치표지를 번역 저본으로 삼아 재배열한 전문 직역본이다. 일부 구두와 이문 판단에는 통행 전자본을 보조적으로 참고했으나, 첨부 TXT의 원문 글자를 교체하거나 삭제하지 않았다.</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sz w:val="18"/>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sz w:val="18"/>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전체 선독</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완료</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원문 문단</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위치 표지 기준 27개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번역 문단</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27개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미번역 문단</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0개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순서 대조</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TXT의 27개 위치 표지와 번역 문단의 순서·개수 일치</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편집 참조번호</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[1] 2회 · [2] 3회 · [3] 1회 · [4] 1회, 총 7회 보존</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중점 검토</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[0552a14] · [0553b25] · [0553c02] · [0554a26] · [0554c11]</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외부 교감</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구두·이문 난점 확인에 한하여 보조 참조; 본문 배열과 원문은 첨부 TXT 기준</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sz w:val="18"/>
              </w:rPr>
              <w:t>원문 변개</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8"/>
              </w:rPr>
              <w:t>없음. 위치 표지와 원문을 그대로 수록함</w:t>
            </w:r>
          </w:p>
        </w:tc>
      </w:tr>
    </w:tbl>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