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0F766E"/>
          <w:spacing w:val="60"/>
          <w:sz w:val="20"/>
          <w:szCs w:val="20"/>
        </w:rPr>
        <w:t xml:space="preserve">VALUE PROPOSITION</w:t>
      </w:r>
    </w:p>
    <w:p>
      <w:pPr>
        <w:spacing w:after="80"/>
      </w:pPr>
      <w:r>
        <w:rPr>
          <w:rFonts w:ascii="Calibri" w:cs="Calibri" w:eastAsia="Calibri" w:hAnsi="Calibri"/>
          <w:b/>
          <w:bCs/>
          <w:color w:val="14213D"/>
          <w:sz w:val="56"/>
          <w:szCs w:val="56"/>
        </w:rPr>
        <w:t xml:space="preserve">The Excavation</w:t>
      </w:r>
    </w:p>
    <w:p>
      <w:pPr>
        <w:spacing w:after="160"/>
      </w:pPr>
      <w:r>
        <w:rPr>
          <w:rFonts w:ascii="Calibri" w:cs="Calibri" w:eastAsia="Calibri" w:hAnsi="Calibri"/>
          <w:color w:val="1F4E9E"/>
          <w:sz w:val="26"/>
          <w:szCs w:val="26"/>
        </w:rPr>
        <w:t xml:space="preserve">Know Thy Self × The Excavation · School Edition</w:t>
      </w:r>
    </w:p>
    <w:p>
      <w:pPr>
        <w:pBdr>
          <w:bottom w:val="single" w:color="1F4E9E" w:sz="12" w:space="8"/>
        </w:pBdr>
        <w:spacing w:after="240"/>
      </w:pPr>
      <w:r>
        <w:rPr>
          <w:rFonts w:ascii="Calibri" w:cs="Calibri" w:eastAsia="Calibri" w:hAnsi="Calibri"/>
          <w:color w:val="475569"/>
          <w:sz w:val="20"/>
          <w:szCs w:val="20"/>
        </w:rPr>
        <w:t xml:space="preserve">Prepared for the CEO  ·  12 October 2026  ·  Holiday Malepe</w:t>
      </w:r>
    </w:p>
    <w:p>
      <w:pPr>
        <w:pStyle w:val="Heading1"/>
        <w:keepNext/>
        <w:spacing w:after="160" w:before="360"/>
      </w:pPr>
      <w:r>
        <w:rPr>
          <w:rFonts w:ascii="Calibri" w:cs="Calibri" w:eastAsia="Calibri" w:hAnsi="Calibri"/>
          <w:b/>
          <w:bCs/>
          <w:color w:val="14213D"/>
          <w:sz w:val="34"/>
          <w:szCs w:val="34"/>
        </w:rPr>
        <w:t xml:space="preserve">The proposition</w:t>
      </w:r>
    </w:p>
    <w:p>
      <w:pPr>
        <w:spacing w:after="120" w:line="288"/>
      </w:pPr>
      <w:r>
        <w:rPr>
          <w:rFonts w:ascii="Calibri" w:cs="Calibri" w:eastAsia="Calibri" w:hAnsi="Calibri"/>
          <w:b/>
          <w:bCs/>
        </w:rPr>
        <w:t xml:space="preserve">Grade 9 learners don't choose the wrong subjects. They choose blind. </w:t>
      </w:r>
      <w:r>
        <w:rPr>
          <w:rFonts w:ascii="Calibri" w:cs="Calibri" w:eastAsia="Calibri" w:hAnsi="Calibri"/>
        </w:rPr>
        <w:t xml:space="preserve">The Excavation gives every learner evidence about themselves, in one guided session, so the choice that shapes their next three years rests on who they are, not only on their marks, their friends, or a few minutes with a busy teacher.</w:t>
      </w:r>
    </w:p>
    <w:p>
      <w:pPr>
        <w:spacing w:after="120" w:line="288"/>
      </w:pPr>
      <w:r>
        <w:rPr>
          <w:rFonts w:ascii="Calibri" w:cs="Calibri" w:eastAsia="Calibri" w:hAnsi="Calibri"/>
          <w:b/>
          <w:bCs/>
        </w:rPr>
        <w:t xml:space="preserve">In one line. </w:t>
      </w:r>
      <w:r>
        <w:rPr>
          <w:rFonts w:ascii="Calibri" w:cs="Calibri" w:eastAsia="Calibri" w:hAnsi="Calibri"/>
        </w:rPr>
        <w:t xml:space="preserve">The Excavation turns a guess about the future into an informed choice, for a whole Grade 9 class, safely, in about an hour or two.</w:t>
      </w:r>
    </w:p>
    <w:p>
      <w:pPr>
        <w:spacing w:after="120" w:line="288"/>
      </w:pPr>
      <w:r>
        <w:rPr>
          <w:rFonts w:ascii="Calibri" w:cs="Calibri" w:eastAsia="Calibri" w:hAnsi="Calibri"/>
          <w:b/>
          <w:bCs/>
        </w:rPr>
        <w:t xml:space="preserve">In 30 seconds. </w:t>
      </w:r>
      <w:r>
        <w:rPr>
          <w:rFonts w:ascii="Calibri" w:cs="Calibri" w:eastAsia="Calibri" w:hAnsi="Calibri"/>
        </w:rPr>
        <w:t xml:space="preserve">At about 15, South African learners pick the subjects that open or close doors to study and work. Today they do it with a marks sheet and advice from people with no time. We give each learner a guided experience: questions about what pulls them, short skill checks and real tasters, and a conversation with a Guide. They leave with a clear, illustrated report and a plan. Teachers get a short summary the learner chooses to share. It is built for schools: parental consent, a safeguarding alarm, human review, and privacy tools are part of the product.</w:t>
      </w:r>
    </w:p>
    <w:p>
      <w:pPr>
        <w:spacing w:after="120" w:line="288"/>
      </w:pPr>
      <w:r>
        <w:rPr>
          <w:rFonts w:ascii="Calibri" w:cs="Calibri" w:eastAsia="Calibri" w:hAnsi="Calibri"/>
          <w:b/>
          <w:bCs/>
        </w:rPr>
        <w:t xml:space="preserve">In two minutes, add three facts. </w:t>
      </w:r>
      <w:r>
        <w:rPr>
          <w:rFonts w:ascii="Calibri" w:cs="Calibri" w:eastAsia="Calibri" w:hAnsi="Calibri"/>
        </w:rPr>
        <w:t xml:space="preserve">It is built and live, with a five-minute demo anyone can open. It is tested like a product that handles children's data, with 336 automated tests, database security tests, and accessibility tests on every screen. And we are asking for one small, supervised pilot, with a clear list of what must be signed off first.</w:t>
      </w:r>
    </w:p>
    <w:p>
      <w:pPr>
        <w:pStyle w:val="Heading1"/>
        <w:keepNext/>
        <w:spacing w:after="160" w:before="360"/>
      </w:pPr>
      <w:r>
        <w:rPr>
          <w:rFonts w:ascii="Calibri" w:cs="Calibri" w:eastAsia="Calibri" w:hAnsi="Calibri"/>
          <w:b/>
          <w:bCs/>
          <w:color w:val="14213D"/>
          <w:sz w:val="34"/>
          <w:szCs w:val="34"/>
        </w:rPr>
        <w:t xml:space="preserve">The problem: a decision that closes doors, made without evidence</w:t>
      </w:r>
    </w:p>
    <w:p>
      <w:pPr>
        <w:spacing w:after="120" w:line="288"/>
      </w:pPr>
      <w:r>
        <w:rPr>
          <w:rFonts w:ascii="Calibri" w:cs="Calibri" w:eastAsia="Calibri" w:hAnsi="Calibri"/>
        </w:rPr>
        <w:t xml:space="preserve">A Grade 9 learner chooses Grade 10 subjects at around 15. Those subjects set which courses they can enter and which careers stay open. The choice is hard to undo: a learner who drops Mathematics or Physical Sciences in Grade 10 usually cannot reach the degrees that need them.</w:t>
      </w:r>
    </w:p>
    <w:p>
      <w:pPr>
        <w:spacing w:after="120" w:line="288"/>
      </w:pPr>
      <w:r>
        <w:rPr>
          <w:rFonts w:ascii="Calibri" w:cs="Calibri" w:eastAsia="Calibri" w:hAnsi="Calibri"/>
        </w:rPr>
        <w:t xml:space="preserve">The learner is not the failure. The system hands them the decision without the information:</w:t>
      </w:r>
    </w:p>
    <w:p>
      <w:pPr>
        <w:pStyle w:val="ListParagraph"/>
        <w:numPr>
          <w:ilvl w:val="0"/>
          <w:numId w:val="2"/>
        </w:numPr>
        <w:spacing w:after="60" w:line="276"/>
      </w:pPr>
      <w:r>
        <w:rPr>
          <w:rFonts w:ascii="Calibri" w:cs="Calibri" w:eastAsia="Calibri" w:hAnsi="Calibri"/>
          <w:b/>
          <w:bCs/>
        </w:rPr>
        <w:t xml:space="preserve">Marks tell part of the story. </w:t>
      </w:r>
      <w:r>
        <w:rPr>
          <w:rFonts w:ascii="Calibri" w:cs="Calibri" w:eastAsia="Calibri" w:hAnsi="Calibri"/>
        </w:rPr>
        <w:t xml:space="preserve">They show what a learner has done, not what they enjoy, how they work, or what they could do with the right support.</w:t>
      </w:r>
    </w:p>
    <w:p>
      <w:pPr>
        <w:pStyle w:val="ListParagraph"/>
        <w:numPr>
          <w:ilvl w:val="0"/>
          <w:numId w:val="2"/>
        </w:numPr>
        <w:spacing w:after="60" w:line="276"/>
      </w:pPr>
      <w:r>
        <w:rPr>
          <w:rFonts w:ascii="Calibri" w:cs="Calibri" w:eastAsia="Calibri" w:hAnsi="Calibri"/>
          <w:b/>
          <w:bCs/>
        </w:rPr>
        <w:t xml:space="preserve">Friends and family steer. </w:t>
      </w:r>
      <w:r>
        <w:rPr>
          <w:rFonts w:ascii="Calibri" w:cs="Calibri" w:eastAsia="Calibri" w:hAnsi="Calibri"/>
        </w:rPr>
        <w:t xml:space="preserve">Learners often pick what friends take, or what sounds impressive, or what a parent wants, and may not know they are doing it.</w:t>
      </w:r>
    </w:p>
    <w:p>
      <w:pPr>
        <w:pStyle w:val="ListParagraph"/>
        <w:numPr>
          <w:ilvl w:val="0"/>
          <w:numId w:val="2"/>
        </w:numPr>
        <w:spacing w:after="60" w:line="276"/>
      </w:pPr>
      <w:r>
        <w:rPr>
          <w:rFonts w:ascii="Calibri" w:cs="Calibri" w:eastAsia="Calibri" w:hAnsi="Calibri"/>
          <w:b/>
          <w:bCs/>
        </w:rPr>
        <w:t xml:space="preserve">Advice is thin. </w:t>
      </w:r>
      <w:r>
        <w:rPr>
          <w:rFonts w:ascii="Calibri" w:cs="Calibri" w:eastAsia="Calibri" w:hAnsi="Calibri"/>
        </w:rPr>
        <w:t xml:space="preserve">A Life Orientation teacher may have a class of 40 and little time for each learner. Private one-to-one assessments exist but are expensive and out of reach for most.</w:t>
      </w:r>
    </w:p>
    <w:p>
      <w:pPr>
        <w:pStyle w:val="ListParagraph"/>
        <w:numPr>
          <w:ilvl w:val="0"/>
          <w:numId w:val="2"/>
        </w:numPr>
        <w:spacing w:after="60" w:line="276"/>
      </w:pPr>
      <w:r>
        <w:rPr>
          <w:rFonts w:ascii="Calibri" w:cs="Calibri" w:eastAsia="Calibri" w:hAnsi="Calibri"/>
          <w:b/>
          <w:bCs/>
        </w:rPr>
        <w:t xml:space="preserve">The cost shows up late. </w:t>
      </w:r>
      <w:r>
        <w:rPr>
          <w:rFonts w:ascii="Calibri" w:cs="Calibri" w:eastAsia="Calibri" w:hAnsi="Calibri"/>
        </w:rPr>
        <w:t xml:space="preserve">A poor fit appears in Grade 11 or 12 as falling marks, a switch that is no longer possible, a repeated year, or a course the learner never wanted.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3E8" w:sz="4"/>
              <w:left w:val="single" w:color="1F4E9E" w:sz="24"/>
              <w:bottom w:val="single" w:color="C5D3E8" w:sz="4"/>
              <w:right w:val="single" w:color="C5D3E8" w:sz="4"/>
            </w:tcBorders>
            <w:shd w:fill="E9E3F6" w:color="auto" w:val="clear"/>
            <w:tcMar>
              <w:top w:type="dxa" w:w="140"/>
              <w:left w:type="dxa" w:w="200"/>
              <w:bottom w:type="dxa" w:w="140"/>
              <w:right w:type="dxa" w:w="200"/>
            </w:tcMar>
          </w:tcPr>
          <w:p>
            <w:pPr>
              <w:spacing w:after="80"/>
            </w:pPr>
            <w:r>
              <w:rPr>
                <w:rFonts w:ascii="Calibri" w:cs="Calibri" w:eastAsia="Calibri" w:hAnsi="Calibri"/>
                <w:b/>
                <w:bCs/>
                <w:color w:val="14213D"/>
                <w:sz w:val="22"/>
                <w:szCs w:val="22"/>
              </w:rPr>
              <w:t xml:space="preserve">To confirm before the meeting</w:t>
            </w:r>
          </w:p>
          <w:p>
            <w:pPr>
              <w:spacing w:after="60" w:line="276"/>
            </w:pPr>
            <w:r>
              <w:rPr>
                <w:rFonts w:ascii="Calibri" w:cs="Calibri" w:eastAsia="Calibri" w:hAnsi="Calibri"/>
              </w:rPr>
              <w:t xml:space="preserve">Add one sourced statistic here, for example subject-switching, repeat or dropout rates, with the source named. Don't present a number you cannot cite.</w:t>
            </w:r>
          </w:p>
        </w:tc>
      </w:tr>
    </w:tbl>
    <w:p>
      <w:pPr>
        <w:pStyle w:val="Heading1"/>
        <w:keepNext/>
        <w:spacing w:after="160" w:before="360"/>
      </w:pPr>
      <w:r>
        <w:rPr>
          <w:rFonts w:ascii="Calibri" w:cs="Calibri" w:eastAsia="Calibri" w:hAnsi="Calibri"/>
          <w:b/>
          <w:bCs/>
          <w:color w:val="14213D"/>
          <w:sz w:val="34"/>
          <w:szCs w:val="34"/>
        </w:rPr>
        <w:t xml:space="preserve">The solution: four steps from a guess to a plan</w:t>
      </w:r>
    </w:p>
    <w:p>
      <w:pPr>
        <w:spacing w:after="120" w:line="288"/>
      </w:pPr>
      <w:r>
        <w:rPr>
          <w:rFonts w:ascii="Calibri" w:cs="Calibri" w:eastAsia="Calibri" w:hAnsi="Calibri"/>
        </w:rPr>
        <w:t xml:space="preserve">Each learner logs in with two codes on any phone or computer. No email or password is needed. Their progress saves after every answer.</w:t>
      </w:r>
    </w:p>
    <w:p>
      <w:pPr>
        <w:pStyle w:val="ListParagraph"/>
        <w:numPr>
          <w:ilvl w:val="0"/>
          <w:numId w:val="3"/>
        </w:numPr>
        <w:spacing w:after="60" w:line="276"/>
      </w:pPr>
      <w:r>
        <w:rPr>
          <w:rFonts w:ascii="Calibri" w:cs="Calibri" w:eastAsia="Calibri" w:hAnsi="Calibri"/>
          <w:b/>
          <w:bCs/>
        </w:rPr>
        <w:t xml:space="preserve">Know yourself. </w:t>
      </w:r>
      <w:r>
        <w:rPr>
          <w:rFonts w:ascii="Calibri" w:cs="Calibri" w:eastAsia="Calibri" w:hAnsi="Calibri"/>
        </w:rPr>
        <w:t xml:space="preserve">Illustrated questions about what pulls them, how they work, and what matters most. A Listen button reads each question aloud using the phone's own voice, so reading level is never a barrier.</w:t>
      </w:r>
    </w:p>
    <w:p>
      <w:pPr>
        <w:pStyle w:val="ListParagraph"/>
        <w:numPr>
          <w:ilvl w:val="0"/>
          <w:numId w:val="3"/>
        </w:numPr>
        <w:spacing w:after="60" w:line="276"/>
      </w:pPr>
      <w:r>
        <w:rPr>
          <w:rFonts w:ascii="Calibri" w:cs="Calibri" w:eastAsia="Calibri" w:hAnsi="Calibri"/>
          <w:b/>
          <w:bCs/>
        </w:rPr>
        <w:t xml:space="preserve">Try yourself. </w:t>
      </w:r>
      <w:r>
        <w:rPr>
          <w:rFonts w:ascii="Calibri" w:cs="Calibri" w:eastAsia="Calibri" w:hAnsi="Calibri"/>
        </w:rPr>
        <w:t xml:space="preserve">Short skill checks and hands-on taster tasks, so choices rest on doing, not only on opinions. A check can only help: a low score never lowers anything.</w:t>
      </w:r>
    </w:p>
    <w:p>
      <w:pPr>
        <w:pStyle w:val="ListParagraph"/>
        <w:numPr>
          <w:ilvl w:val="0"/>
          <w:numId w:val="3"/>
        </w:numPr>
        <w:spacing w:after="60" w:line="276"/>
      </w:pPr>
      <w:r>
        <w:rPr>
          <w:rFonts w:ascii="Calibri" w:cs="Calibri" w:eastAsia="Calibri" w:hAnsi="Calibri"/>
          <w:b/>
          <w:bCs/>
        </w:rPr>
        <w:t xml:space="preserve">Talk it through. </w:t>
      </w:r>
      <w:r>
        <w:rPr>
          <w:rFonts w:ascii="Calibri" w:cs="Calibri" w:eastAsia="Calibri" w:hAnsi="Calibri"/>
        </w:rPr>
        <w:t xml:space="preserve">A conversation with the Guide, who asks follow-up questions in plain language, like an older cousin who pays attention. Every message is safety-checked before the Guide sees it.</w:t>
      </w:r>
    </w:p>
    <w:p>
      <w:pPr>
        <w:pStyle w:val="ListParagraph"/>
        <w:numPr>
          <w:ilvl w:val="0"/>
          <w:numId w:val="3"/>
        </w:numPr>
        <w:spacing w:after="60" w:line="276"/>
      </w:pPr>
      <w:r>
        <w:rPr>
          <w:rFonts w:ascii="Calibri" w:cs="Calibri" w:eastAsia="Calibri" w:hAnsi="Calibri"/>
          <w:b/>
          <w:bCs/>
        </w:rPr>
        <w:t xml:space="preserve">Take it with you. </w:t>
      </w:r>
      <w:r>
        <w:rPr>
          <w:rFonts w:ascii="Calibri" w:cs="Calibri" w:eastAsia="Calibri" w:hAnsi="Calibri"/>
        </w:rPr>
        <w:t xml:space="preserve">A clear report with charts and illustrations: their strongest pulls, how they work, which subject combinations fit them, which to be careful with, the doors each choice keeps open, and one thing to do this week. It downloads as a PDF. A person reviews early reports before they are released.</w:t>
      </w:r>
    </w:p>
    <w:p>
      <w:pPr>
        <w:spacing w:after="120" w:line="288"/>
      </w:pPr>
      <w:r>
        <w:rPr>
          <w:rFonts w:ascii="Calibri" w:cs="Calibri" w:eastAsia="Calibri" w:hAnsi="Calibri"/>
        </w:rPr>
        <w:t xml:space="preserve">The teacher gets a short summary, only if the learner agrees to share it. The learner is never ranked, never given a score or a label, and never told what to be.</w:t>
      </w:r>
    </w:p>
    <w:p>
      <w:pPr>
        <w:pStyle w:val="Heading1"/>
        <w:keepNext/>
        <w:spacing w:after="160" w:before="360"/>
      </w:pPr>
      <w:r>
        <w:rPr>
          <w:rFonts w:ascii="Calibri" w:cs="Calibri" w:eastAsia="Calibri" w:hAnsi="Calibri"/>
          <w:b/>
          <w:bCs/>
          <w:color w:val="14213D"/>
          <w:sz w:val="34"/>
          <w:szCs w:val="34"/>
        </w:rPr>
        <w:t xml:space="preserve">Who gains what</w:t>
      </w:r>
    </w:p>
    <w:p>
      <w:pPr>
        <w:spacing w:after="120" w:line="288"/>
      </w:pPr>
      <w:r>
        <w:rPr>
          <w:rFonts w:ascii="Calibri" w:cs="Calibri" w:eastAsia="Calibri" w:hAnsi="Calibri"/>
        </w:rPr>
        <w:t xml:space="preserve">Every party gets something they cannot get today. The first four are the intended benefits; the pilot measures whether they appear.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938"/>
      </w:tblGrid>
      <w:tr>
        <w:trPr>
          <w:tblHeader/>
        </w:trPr>
        <w:tc>
          <w:tcPr>
            <w:tcW w:type="dxa" w:w="17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Who</w:t>
            </w:r>
          </w:p>
        </w:tc>
        <w:tc>
          <w:tcPr>
            <w:tcW w:type="dxa" w:w="40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What they get</w:t>
            </w:r>
          </w:p>
        </w:tc>
        <w:tc>
          <w:tcPr>
            <w:tcW w:type="dxa" w:w="39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Why it matters to them</w:t>
            </w:r>
          </w:p>
        </w:tc>
      </w:tr>
      <w:tr>
        <w:trPr>
          <w:cantSplit/>
        </w:trPr>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Learner</w:t>
            </w:r>
          </w:p>
        </w:tc>
        <w:tc>
          <w:tcPr>
            <w:tcW w:type="dxa" w:w="4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report in plain words and pictures, a plan, and a conversation that takes them seriously</w:t>
            </w:r>
          </w:p>
        </w:tc>
        <w:tc>
          <w:tcPr>
            <w:tcW w:type="dxa" w:w="39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choice they can explain and own, with fewer surprises in Grade 11</w:t>
            </w:r>
          </w:p>
        </w:tc>
      </w:tr>
      <w:tr>
        <w:trPr>
          <w:cantSplit/>
        </w:trPr>
        <w:tc>
          <w:tcPr>
            <w:tcW w:type="dxa" w:w="1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Parent or guardian</w:t>
            </w:r>
          </w:p>
        </w:tc>
        <w:tc>
          <w:tcPr>
            <w:tcW w:type="dxa" w:w="40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family summary and a consent process that treats their child's information carefully</w:t>
            </w:r>
          </w:p>
        </w:tc>
        <w:tc>
          <w:tcPr>
            <w:tcW w:type="dxa" w:w="39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Confidence, and something concrete to discuss at home</w:t>
            </w:r>
          </w:p>
        </w:tc>
      </w:tr>
      <w:tr>
        <w:trPr>
          <w:cantSplit/>
        </w:trPr>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Teacher</w:t>
            </w:r>
          </w:p>
        </w:tc>
        <w:tc>
          <w:tcPr>
            <w:tcW w:type="dxa" w:w="4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short, learner-approved summary and class progress, with no marking</w:t>
            </w:r>
          </w:p>
        </w:tc>
        <w:tc>
          <w:tcPr>
            <w:tcW w:type="dxa" w:w="39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Better subject-choice conversations in the time they have</w:t>
            </w:r>
          </w:p>
        </w:tc>
      </w:tr>
      <w:tr>
        <w:trPr>
          <w:cantSplit/>
        </w:trPr>
        <w:tc>
          <w:tcPr>
            <w:tcW w:type="dxa" w:w="1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School</w:t>
            </w:r>
          </w:p>
        </w:tc>
        <w:tc>
          <w:tcPr>
            <w:tcW w:type="dxa" w:w="40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repeatable, safe process for a whole grade, with safeguarding alerts and audit trails</w:t>
            </w:r>
          </w:p>
        </w:tc>
        <w:tc>
          <w:tcPr>
            <w:tcW w:type="dxa" w:w="39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Better placement, fewer late switches, and a documented duty of care</w:t>
            </w:r>
          </w:p>
        </w:tc>
      </w:tr>
      <w:tr>
        <w:trPr>
          <w:cantSplit/>
        </w:trPr>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The company</w:t>
            </w:r>
          </w:p>
        </w:tc>
        <w:tc>
          <w:tcPr>
            <w:tcW w:type="dxa" w:w="4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school-grade product that earns trust, a data asset (with consent) for research, and a pilot that proves the model</w:t>
            </w:r>
          </w:p>
        </w:tc>
        <w:tc>
          <w:tcPr>
            <w:tcW w:type="dxa" w:w="39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defensible position in a market where safety is the barrier to entry</w:t>
            </w:r>
          </w:p>
        </w:tc>
      </w:tr>
    </w:tbl>
    <w:p>
      <w:pPr>
        <w:pStyle w:val="Heading1"/>
        <w:keepNext/>
        <w:spacing w:after="160" w:before="360"/>
      </w:pPr>
      <w:r>
        <w:rPr>
          <w:rFonts w:ascii="Calibri" w:cs="Calibri" w:eastAsia="Calibri" w:hAnsi="Calibri"/>
          <w:b/>
          <w:bCs/>
          <w:color w:val="14213D"/>
          <w:sz w:val="34"/>
          <w:szCs w:val="34"/>
        </w:rPr>
        <w:t xml:space="preserve">Why this wins</w:t>
      </w:r>
    </w:p>
    <w:p>
      <w:pPr>
        <w:spacing w:after="120" w:line="288"/>
      </w:pPr>
      <w:r>
        <w:rPr>
          <w:rFonts w:ascii="Calibri" w:cs="Calibri" w:eastAsia="Calibri" w:hAnsi="Calibri"/>
        </w:rPr>
        <w:t xml:space="preserve">There are two alternatives today, and each fails a school in a different way. We sit between them: personal enough to matter, light enough to run for a whole grade, and safe enough for a school to say yes.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3938"/>
      </w:tblGrid>
      <w:tr>
        <w:trPr>
          <w:tblHeader/>
        </w:trPr>
        <w:tc>
          <w:tcPr>
            <w:tcW w:type="dxa" w:w="15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
            </w:r>
          </w:p>
        </w:tc>
        <w:tc>
          <w:tcPr>
            <w:tcW w:type="dxa" w:w="20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Generic online quiz</w:t>
            </w:r>
          </w:p>
        </w:tc>
        <w:tc>
          <w:tcPr>
            <w:tcW w:type="dxa" w:w="22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One-to-one assessment</w:t>
            </w:r>
          </w:p>
        </w:tc>
        <w:tc>
          <w:tcPr>
            <w:tcW w:type="dxa" w:w="39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The Excavation</w:t>
            </w:r>
          </w:p>
        </w:tc>
      </w:tr>
      <w:tr>
        <w:trPr>
          <w:cantSplit/>
        </w:trPr>
        <w:tc>
          <w:tcPr>
            <w:tcW w:type="dxa" w:w="1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Built for</w:t>
            </w:r>
          </w:p>
        </w:tc>
        <w:tc>
          <w:tcPr>
            <w:tcW w:type="dxa" w:w="2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Anyone, mainly adults</w:t>
            </w:r>
          </w:p>
        </w:tc>
        <w:tc>
          <w:tcPr>
            <w:tcW w:type="dxa" w:w="2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One client at a time</w:t>
            </w:r>
          </w:p>
        </w:tc>
        <w:tc>
          <w:tcPr>
            <w:tcW w:type="dxa" w:w="39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South African school grade</w:t>
            </w:r>
          </w:p>
        </w:tc>
      </w:tr>
      <w:tr>
        <w:trPr>
          <w:cantSplit/>
        </w:trPr>
        <w:tc>
          <w:tcPr>
            <w:tcW w:type="dxa" w:w="1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Evidence used</w:t>
            </w:r>
          </w:p>
        </w:tc>
        <w:tc>
          <w:tcPr>
            <w:tcW w:type="dxa" w:w="20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Self-reported likes</w:t>
            </w:r>
          </w:p>
        </w:tc>
        <w:tc>
          <w:tcPr>
            <w:tcW w:type="dxa" w:w="2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Specialist tests and interview</w:t>
            </w:r>
          </w:p>
        </w:tc>
        <w:tc>
          <w:tcPr>
            <w:tcW w:type="dxa" w:w="39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Interests, personality, values, marks, skill checks, tasters and a conversation</w:t>
            </w:r>
          </w:p>
        </w:tc>
      </w:tr>
      <w:tr>
        <w:trPr>
          <w:cantSplit/>
        </w:trPr>
        <w:tc>
          <w:tcPr>
            <w:tcW w:type="dxa" w:w="1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Cost to reach a class</w:t>
            </w:r>
          </w:p>
        </w:tc>
        <w:tc>
          <w:tcPr>
            <w:tcW w:type="dxa" w:w="2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Cheap</w:t>
            </w:r>
          </w:p>
        </w:tc>
        <w:tc>
          <w:tcPr>
            <w:tcW w:type="dxa" w:w="2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Out of reach for most families</w:t>
            </w:r>
          </w:p>
        </w:tc>
        <w:tc>
          <w:tcPr>
            <w:tcW w:type="dxa" w:w="39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Designed to run for a whole class in a session or two</w:t>
            </w:r>
          </w:p>
        </w:tc>
      </w:tr>
      <w:tr>
        <w:trPr>
          <w:cantSplit/>
        </w:trPr>
        <w:tc>
          <w:tcPr>
            <w:tcW w:type="dxa" w:w="1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Safeguarding</w:t>
            </w:r>
          </w:p>
        </w:tc>
        <w:tc>
          <w:tcPr>
            <w:tcW w:type="dxa" w:w="20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Usually none</w:t>
            </w:r>
          </w:p>
        </w:tc>
        <w:tc>
          <w:tcPr>
            <w:tcW w:type="dxa" w:w="2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Handled by the practitioner</w:t>
            </w:r>
          </w:p>
        </w:tc>
        <w:tc>
          <w:tcPr>
            <w:tcW w:type="dxa" w:w="39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Every message screened; school confirmation; automatic escalation</w:t>
            </w:r>
          </w:p>
        </w:tc>
      </w:tr>
      <w:tr>
        <w:trPr>
          <w:cantSplit/>
        </w:trPr>
        <w:tc>
          <w:tcPr>
            <w:tcW w:type="dxa" w:w="1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Children's data</w:t>
            </w:r>
          </w:p>
        </w:tc>
        <w:tc>
          <w:tcPr>
            <w:tcW w:type="dxa" w:w="2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Often unclear</w:t>
            </w:r>
          </w:p>
        </w:tc>
        <w:tc>
          <w:tcPr>
            <w:tcW w:type="dxa" w:w="2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Practitioner's records</w:t>
            </w:r>
          </w:p>
        </w:tc>
        <w:tc>
          <w:tcPr>
            <w:tcW w:type="dxa" w:w="39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Guardian consent, export and erase, retention limits, audit log</w:t>
            </w:r>
          </w:p>
        </w:tc>
      </w:tr>
      <w:tr>
        <w:trPr>
          <w:cantSplit/>
        </w:trPr>
        <w:tc>
          <w:tcPr>
            <w:tcW w:type="dxa" w:w="1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Output</w:t>
            </w:r>
          </w:p>
        </w:tc>
        <w:tc>
          <w:tcPr>
            <w:tcW w:type="dxa" w:w="20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label or a list of jobs</w:t>
            </w:r>
          </w:p>
        </w:tc>
        <w:tc>
          <w:tcPr>
            <w:tcW w:type="dxa" w:w="2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report after weeks</w:t>
            </w:r>
          </w:p>
        </w:tc>
        <w:tc>
          <w:tcPr>
            <w:tcW w:type="dxa" w:w="39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plain-language, illustrated report and plan, with human review</w:t>
            </w:r>
          </w:p>
        </w:tc>
      </w:tr>
      <w:tr>
        <w:trPr>
          <w:cantSplit/>
        </w:trPr>
        <w:tc>
          <w:tcPr>
            <w:tcW w:type="dxa" w:w="1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Fit for the learner</w:t>
            </w:r>
          </w:p>
        </w:tc>
        <w:tc>
          <w:tcPr>
            <w:tcW w:type="dxa" w:w="2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Reading-heavy, English only</w:t>
            </w:r>
          </w:p>
        </w:tc>
        <w:tc>
          <w:tcPr>
            <w:tcW w:type="dxa" w:w="2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Depends on the practitioner</w:t>
            </w:r>
          </w:p>
        </w:tc>
        <w:tc>
          <w:tcPr>
            <w:tcW w:type="dxa" w:w="39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Read-aloud, pictures, phone-first, light and dark mode</w:t>
            </w:r>
          </w:p>
        </w:tc>
      </w:tr>
    </w:tbl>
    <w:p>
      <w:pPr>
        <w:spacing w:after="80"/>
      </w:pPr>
    </w:p>
    <w:p>
      <w:pPr>
        <w:spacing w:after="120" w:line="288"/>
      </w:pPr>
      <w:r>
        <w:rPr>
          <w:rFonts w:ascii="Calibri" w:cs="Calibri" w:eastAsia="Calibri" w:hAnsi="Calibri"/>
        </w:rPr>
        <w:t xml:space="preserve">Our edge is not any single feature. It is that safety, privacy and the school workflow were built first, which is the part a quiz maker cannot copy quickly and a school cannot do without.</w:t>
      </w:r>
    </w:p>
    <w:p>
      <w:pPr>
        <w:pStyle w:val="Heading1"/>
        <w:keepNext/>
        <w:spacing w:after="160" w:before="360"/>
      </w:pPr>
      <w:r>
        <w:rPr>
          <w:rFonts w:ascii="Calibri" w:cs="Calibri" w:eastAsia="Calibri" w:hAnsi="Calibri"/>
          <w:b/>
          <w:bCs/>
          <w:color w:val="14213D"/>
          <w:sz w:val="34"/>
          <w:szCs w:val="34"/>
        </w:rPr>
        <w:t xml:space="preserve">Proof: it is built, live and tested</w:t>
      </w:r>
    </w:p>
    <w:p>
      <w:pPr>
        <w:spacing w:after="120" w:line="288"/>
      </w:pPr>
      <w:r>
        <w:rPr>
          <w:rFonts w:ascii="Calibri" w:cs="Calibri" w:eastAsia="Calibri" w:hAnsi="Calibri"/>
        </w:rPr>
        <w:t xml:space="preserve">The product exists. Open the five-minute demo at </w:t>
      </w:r>
      <w:r>
        <w:rPr>
          <w:rFonts w:ascii="Calibri" w:cs="Calibri" w:eastAsia="Calibri" w:hAnsi="Calibri"/>
          <w:b/>
          <w:bCs/>
          <w:color w:val="1F4E9E"/>
        </w:rPr>
        <w:t xml:space="preserve">https://excavation-virid.vercel.app/demo</w:t>
      </w:r>
      <w:r>
        <w:rPr>
          <w:rFonts w:ascii="Calibri" w:cs="Calibri" w:eastAsia="Calibri" w:hAnsi="Calibri"/>
        </w:rPr>
        <w:t xml:space="preserve"> to see all three parts: a taste of the questions, a skill check and Guide chat, and a finished sample report with a PDF. It uses a fictional learner and a scripted Guide, and it makes no AI calls.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338"/>
        <w:gridCol w:w="2000"/>
      </w:tblGrid>
      <w:tr>
        <w:trPr>
          <w:tblHeader/>
        </w:trPr>
        <w:tc>
          <w:tcPr>
            <w:tcW w:type="dxa" w:w="23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Evidence</w:t>
            </w:r>
          </w:p>
        </w:tc>
        <w:tc>
          <w:tcPr>
            <w:tcW w:type="dxa" w:w="53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What it shows</w:t>
            </w:r>
          </w:p>
        </w:tc>
        <w:tc>
          <w:tcPr>
            <w:tcW w:type="dxa" w:w="20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Measured</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Automated unit tests</w:t>
            </w:r>
          </w:p>
        </w:tc>
        <w:tc>
          <w:tcPr>
            <w:tcW w:type="dxa" w:w="53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Scoring, subject-fit logic, safeguarding rules, privacy tools and the Guide behave as specified</w:t>
            </w:r>
          </w:p>
        </w:tc>
        <w:tc>
          <w:tcPr>
            <w:tcW w:type="dxa" w:w="2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336 passing</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Database security tests</w:t>
            </w:r>
          </w:p>
        </w:tc>
        <w:tc>
          <w:tcPr>
            <w:tcW w:type="dxa" w:w="53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One learner or school cannot read another's data, tested on a real database</w:t>
            </w:r>
          </w:p>
        </w:tc>
        <w:tc>
          <w:tcPr>
            <w:tcW w:type="dxa" w:w="20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17 passing</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Browser tests</w:t>
            </w:r>
          </w:p>
        </w:tc>
        <w:tc>
          <w:tcPr>
            <w:tcW w:type="dxa" w:w="53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Security headers, access control, and accessibility (WCAG A and AA) on every public and demo screen, in light and dark</w:t>
            </w:r>
          </w:p>
        </w:tc>
        <w:tc>
          <w:tcPr>
            <w:tcW w:type="dxa" w:w="2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34 passing</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Automated pipeline</w:t>
            </w:r>
          </w:p>
        </w:tc>
        <w:tc>
          <w:tcPr>
            <w:tcW w:type="dxa" w:w="53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Type checks, tests, secret scan and dependency audit must pass before any change ships</w:t>
            </w:r>
          </w:p>
        </w:tc>
        <w:tc>
          <w:tcPr>
            <w:tcW w:type="dxa" w:w="20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On every change</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Secret scan</w:t>
            </w:r>
          </w:p>
        </w:tc>
        <w:tc>
          <w:tcPr>
            <w:tcW w:type="dxa" w:w="53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AI key and database key cannot reach a learner's browser</w:t>
            </w:r>
          </w:p>
        </w:tc>
        <w:tc>
          <w:tcPr>
            <w:tcW w:type="dxa" w:w="2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Checked with decoy secrets</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Staff two-step sign-in</w:t>
            </w:r>
          </w:p>
        </w:tc>
        <w:tc>
          <w:tcPr>
            <w:tcW w:type="dxa" w:w="53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Anyone who can see learner data needs a password and an authenticator code</w:t>
            </w:r>
          </w:p>
        </w:tc>
        <w:tc>
          <w:tcPr>
            <w:tcW w:type="dxa" w:w="20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All staff roles</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Hosting</w:t>
            </w:r>
          </w:p>
        </w:tc>
        <w:tc>
          <w:tcPr>
            <w:tcW w:type="dxa" w:w="53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Data stored in Ireland; AI provider in the United States, disclosed and subject to legal sign-off</w:t>
            </w:r>
          </w:p>
        </w:tc>
        <w:tc>
          <w:tcPr>
            <w:tcW w:type="dxa" w:w="20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In place</w:t>
            </w:r>
          </w:p>
        </w:tc>
      </w:tr>
    </w:tbl>
    <w:p>
      <w:pPr>
        <w:spacing w:after="80"/>
      </w:pPr>
    </w:p>
    <w:p>
      <w:pPr>
        <w:spacing w:after="120" w:line="288"/>
      </w:pPr>
      <w:r>
        <w:rPr>
          <w:rFonts w:ascii="Calibri" w:cs="Calibri" w:eastAsia="Calibri" w:hAnsi="Calibri"/>
        </w:rPr>
        <w:t xml:space="preserve">What is </w:t>
      </w:r>
      <w:r>
        <w:rPr>
          <w:rFonts w:ascii="Calibri" w:cs="Calibri" w:eastAsia="Calibri" w:hAnsi="Calibri"/>
          <w:b/>
          <w:bCs/>
        </w:rPr>
        <w:t xml:space="preserve">not</w:t>
      </w:r>
      <w:r>
        <w:rPr>
          <w:rFonts w:ascii="Calibri" w:cs="Calibri" w:eastAsia="Calibri" w:hAnsi="Calibri"/>
        </w:rPr>
        <w:t xml:space="preserve"> yet proven, and we say so: the safety screen has not had clinical review, the skill checks are drafts awaiting teacher review, and whether the checks predict later marks needs pilot data.</w:t>
      </w:r>
    </w:p>
    <w:p>
      <w:pPr>
        <w:pStyle w:val="Heading1"/>
        <w:keepNext/>
        <w:spacing w:after="160" w:before="360"/>
      </w:pPr>
      <w:r>
        <w:rPr>
          <w:rFonts w:ascii="Calibri" w:cs="Calibri" w:eastAsia="Calibri" w:hAnsi="Calibri"/>
          <w:b/>
          <w:bCs/>
          <w:color w:val="14213D"/>
          <w:sz w:val="34"/>
          <w:szCs w:val="34"/>
        </w:rPr>
        <w:t xml:space="preserve">The business case: what the CEO needs to see</w:t>
      </w:r>
    </w:p>
    <w:p>
      <w:pPr>
        <w:spacing w:after="120" w:line="288"/>
      </w:pPr>
      <w:r>
        <w:rPr>
          <w:rFonts w:ascii="Calibri" w:cs="Calibri" w:eastAsia="Calibri" w:hAnsi="Calibri"/>
        </w:rPr>
        <w:t xml:space="preserve">The value is clear; the numbers are not yet ours to state. These are the figures to bring to the meeting, with where each will come from. Fill the blanks from real data and leave nothing you cannot defend.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3138"/>
        <w:gridCol w:w="1700"/>
      </w:tblGrid>
      <w:tr>
        <w:trPr>
          <w:tblHeader/>
        </w:trPr>
        <w:tc>
          <w:tcPr>
            <w:tcW w:type="dxa" w:w="29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Question</w:t>
            </w:r>
          </w:p>
        </w:tc>
        <w:tc>
          <w:tcPr>
            <w:tcW w:type="dxa" w:w="19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Why the CEO will ask</w:t>
            </w:r>
          </w:p>
        </w:tc>
        <w:tc>
          <w:tcPr>
            <w:tcW w:type="dxa" w:w="31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Where the answer comes from</w:t>
            </w:r>
          </w:p>
        </w:tc>
        <w:tc>
          <w:tcPr>
            <w:tcW w:type="dxa" w:w="17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Answer</w:t>
            </w:r>
          </w:p>
        </w:tc>
      </w:tr>
      <w:tr>
        <w:trPr>
          <w:cantSplit/>
        </w:trPr>
        <w:tc>
          <w:tcPr>
            <w:tcW w:type="dxa" w:w="2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Who pays: school, school group, province, parents or a sponsor?</w:t>
            </w:r>
          </w:p>
        </w:tc>
        <w:tc>
          <w:tcPr>
            <w:tcW w:type="dxa" w:w="1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Sets the whole model</w:t>
            </w:r>
          </w:p>
        </w:tc>
        <w:tc>
          <w:tcPr>
            <w:tcW w:type="dxa" w:w="3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Customer conversations before the pilot</w:t>
            </w:r>
          </w:p>
        </w:tc>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Open</w:t>
            </w:r>
          </w:p>
        </w:tc>
      </w:tr>
      <w:tr>
        <w:trPr>
          <w:cantSplit/>
        </w:trPr>
        <w:tc>
          <w:tcPr>
            <w:tcW w:type="dxa" w:w="2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Price per learner or per school</w:t>
            </w:r>
          </w:p>
        </w:tc>
        <w:tc>
          <w:tcPr>
            <w:tcW w:type="dxa" w:w="1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Revenue per class</w:t>
            </w:r>
          </w:p>
        </w:tc>
        <w:tc>
          <w:tcPr>
            <w:tcW w:type="dxa" w:w="31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Comparable school programmes; your own costing</w:t>
            </w:r>
          </w:p>
        </w:tc>
        <w:tc>
          <w:tcPr>
            <w:tcW w:type="dxa" w:w="1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Open</w:t>
            </w:r>
          </w:p>
        </w:tc>
      </w:tr>
      <w:tr>
        <w:trPr>
          <w:cantSplit/>
        </w:trPr>
        <w:tc>
          <w:tcPr>
            <w:tcW w:type="dxa" w:w="2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Market size: Grade 9 learners in the target segment</w:t>
            </w:r>
          </w:p>
        </w:tc>
        <w:tc>
          <w:tcPr>
            <w:tcW w:type="dxa" w:w="1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ceiling</w:t>
            </w:r>
          </w:p>
        </w:tc>
        <w:tc>
          <w:tcPr>
            <w:tcW w:type="dxa" w:w="3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Education department figures, with the source cited</w:t>
            </w:r>
          </w:p>
        </w:tc>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Open</w:t>
            </w:r>
          </w:p>
        </w:tc>
      </w:tr>
      <w:tr>
        <w:trPr>
          <w:cantSplit/>
        </w:trPr>
        <w:tc>
          <w:tcPr>
            <w:tcW w:type="dxa" w:w="2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Cost to serve one learner (AI, hosting, reviewer time)</w:t>
            </w:r>
          </w:p>
        </w:tc>
        <w:tc>
          <w:tcPr>
            <w:tcW w:type="dxa" w:w="1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Margin</w:t>
            </w:r>
          </w:p>
        </w:tc>
        <w:tc>
          <w:tcPr>
            <w:tcW w:type="dxa" w:w="31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Measured in the pilot; the AI cost is capped per session, per minute and per day</w:t>
            </w:r>
          </w:p>
        </w:tc>
        <w:tc>
          <w:tcPr>
            <w:tcW w:type="dxa" w:w="1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Open</w:t>
            </w:r>
          </w:p>
        </w:tc>
      </w:tr>
      <w:tr>
        <w:trPr>
          <w:cantSplit/>
        </w:trPr>
        <w:tc>
          <w:tcPr>
            <w:tcW w:type="dxa" w:w="2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Cost of the blockers (attorney, clinical advisor, language reviewers, monitoring, hosting plan)</w:t>
            </w:r>
          </w:p>
        </w:tc>
        <w:tc>
          <w:tcPr>
            <w:tcW w:type="dxa" w:w="1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budget line</w:t>
            </w:r>
          </w:p>
        </w:tc>
        <w:tc>
          <w:tcPr>
            <w:tcW w:type="dxa" w:w="3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Quotes</w:t>
            </w:r>
          </w:p>
        </w:tc>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Open</w:t>
            </w:r>
          </w:p>
        </w:tc>
      </w:tr>
      <w:tr>
        <w:trPr>
          <w:cantSplit/>
        </w:trPr>
        <w:tc>
          <w:tcPr>
            <w:tcW w:type="dxa" w:w="2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Competitors, named</w:t>
            </w:r>
          </w:p>
        </w:tc>
        <w:tc>
          <w:tcPr>
            <w:tcW w:type="dxa" w:w="1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Whether the gap is real</w:t>
            </w:r>
          </w:p>
        </w:tc>
        <w:tc>
          <w:tcPr>
            <w:tcW w:type="dxa" w:w="31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Desk research on two or three alternatives</w:t>
            </w:r>
          </w:p>
        </w:tc>
        <w:tc>
          <w:tcPr>
            <w:tcW w:type="dxa" w:w="1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Open</w:t>
            </w:r>
          </w:p>
        </w:tc>
      </w:tr>
      <w:tr>
        <w:trPr>
          <w:cantSplit/>
        </w:trPr>
        <w:tc>
          <w:tcPr>
            <w:tcW w:type="dxa" w:w="2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Rights to the Know Thy Self instrument and brand</w:t>
            </w:r>
          </w:p>
        </w:tc>
        <w:tc>
          <w:tcPr>
            <w:tcW w:type="dxa" w:w="1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Whether we can build on it</w:t>
            </w:r>
          </w:p>
        </w:tc>
        <w:tc>
          <w:tcPr>
            <w:tcW w:type="dxa" w:w="3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Licence or ownership position</w:t>
            </w:r>
          </w:p>
        </w:tc>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Open</w:t>
            </w:r>
          </w:p>
        </w:tc>
      </w:tr>
    </w:tbl>
    <w:p>
      <w:pPr>
        <w:spacing w:after="80"/>
      </w:pPr>
    </w:p>
    <w:p>
      <w:pPr>
        <w:spacing w:after="120" w:line="288"/>
      </w:pPr>
      <w:r>
        <w:rPr>
          <w:rFonts w:ascii="Calibri" w:cs="Calibri" w:eastAsia="Calibri" w:hAnsi="Calibri"/>
        </w:rPr>
        <w:t xml:space="preserve">Pilot success measures, agreed before it starts: completion rate, where learners drop off, how much a reviewer edits each report, time for a school to confirm a safeguarding alert, and teacher and learner satisfaction.</w:t>
      </w:r>
    </w:p>
    <w:p>
      <w:pPr>
        <w:pStyle w:val="Heading1"/>
        <w:keepNext/>
        <w:spacing w:after="160" w:before="360"/>
      </w:pPr>
      <w:r>
        <w:rPr>
          <w:rFonts w:ascii="Calibri" w:cs="Calibri" w:eastAsia="Calibri" w:hAnsi="Calibri"/>
          <w:b/>
          <w:bCs/>
          <w:color w:val="14213D"/>
          <w:sz w:val="34"/>
          <w:szCs w:val="34"/>
        </w:rPr>
        <w:t xml:space="preserve">Risks, stated first</w:t>
      </w:r>
    </w:p>
    <w:p>
      <w:pPr>
        <w:spacing w:after="120" w:line="288"/>
      </w:pPr>
      <w:r>
        <w:rPr>
          <w:rFonts w:ascii="Calibri" w:cs="Calibri" w:eastAsia="Calibri" w:hAnsi="Calibri"/>
        </w:rPr>
        <w:t xml:space="preserve">We would rather show you the risks than have you find them. The biggest is not the software failing. It is a vulnerable child saying something and the process around the software failing to respond.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tblHeader/>
        </w:trPr>
        <w:tc>
          <w:tcPr>
            <w:tcW w:type="dxa" w:w="17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Risk</w:t>
            </w:r>
          </w:p>
        </w:tc>
        <w:tc>
          <w:tcPr>
            <w:tcW w:type="dxa" w:w="43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Control in place</w:t>
            </w:r>
          </w:p>
        </w:tc>
        <w:tc>
          <w:tcPr>
            <w:tcW w:type="dxa" w:w="36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Still needed before a pilot</w:t>
            </w:r>
          </w:p>
        </w:tc>
      </w:tr>
      <w:tr>
        <w:trPr>
          <w:cantSplit/>
        </w:trPr>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Child safety</w:t>
            </w:r>
          </w:p>
        </w:tc>
        <w:tc>
          <w:tcPr>
            <w:tcW w:type="dxa" w:w="4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Every message screened before the Guide sees it; school confirms alerts; automatic escalation after four school hours; human review of early reports</w:t>
            </w:r>
          </w:p>
        </w:tc>
        <w:tc>
          <w:tcPr>
            <w:tcW w:type="dxa" w:w="36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Clinical review of the screen; rehearse the alert path with each school</w:t>
            </w:r>
          </w:p>
        </w:tc>
      </w:tr>
      <w:tr>
        <w:trPr>
          <w:cantSplit/>
        </w:trPr>
        <w:tc>
          <w:tcPr>
            <w:tcW w:type="dxa" w:w="1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Legal and privacy</w:t>
            </w:r>
          </w:p>
        </w:tc>
        <w:tc>
          <w:tcPr>
            <w:tcW w:type="dxa" w:w="4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Guardian consent blocks login; export, erase and retention tools; audit log; draft privacy notice and breach plan</w:t>
            </w:r>
          </w:p>
        </w:tc>
        <w:tc>
          <w:tcPr>
            <w:tcW w:type="dxa" w:w="36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Attorney sign-off; school and provider agreements; cross-border transfer opinion</w:t>
            </w:r>
          </w:p>
        </w:tc>
      </w:tr>
      <w:tr>
        <w:trPr>
          <w:cantSplit/>
        </w:trPr>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AI behaviour</w:t>
            </w:r>
          </w:p>
        </w:tc>
        <w:tc>
          <w:tcPr>
            <w:tcW w:type="dxa" w:w="4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Screening, prompt rules, human review, daily cost cap, a stop rule if the Guide says anything harmful</w:t>
            </w:r>
          </w:p>
        </w:tc>
        <w:tc>
          <w:tcPr>
            <w:tcW w:type="dxa" w:w="36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Bias review across language, gender and school type</w:t>
            </w:r>
          </w:p>
        </w:tc>
      </w:tr>
      <w:tr>
        <w:trPr>
          <w:cantSplit/>
        </w:trPr>
        <w:tc>
          <w:tcPr>
            <w:tcW w:type="dxa" w:w="1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Content validity</w:t>
            </w:r>
          </w:p>
        </w:tc>
        <w:tc>
          <w:tcPr>
            <w:tcW w:type="dxa" w:w="4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Reports framed as a conversation starter, never a prediction or a diagnosis</w:t>
            </w:r>
          </w:p>
        </w:tc>
        <w:tc>
          <w:tcPr>
            <w:tcW w:type="dxa" w:w="36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Teacher and assessment-specialist review; a validity study from pilot data</w:t>
            </w:r>
          </w:p>
        </w:tc>
      </w:tr>
      <w:tr>
        <w:trPr>
          <w:cantSplit/>
        </w:trPr>
        <w:tc>
          <w:tcPr>
            <w:tcW w:type="dxa" w:w="1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Operations</w:t>
            </w:r>
          </w:p>
        </w:tc>
        <w:tc>
          <w:tcPr>
            <w:tcW w:type="dxa" w:w="4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Health checks, runbook, two-step sign-in, cost kill switch</w:t>
            </w:r>
          </w:p>
        </w:tc>
        <w:tc>
          <w:tcPr>
            <w:tcW w:type="dxa" w:w="36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Uptime and error monitoring; backups with a tested restore; hosting plan for the 15-minute safeguarding check</w:t>
            </w:r>
          </w:p>
        </w:tc>
      </w:tr>
    </w:tbl>
    <w:p>
      <w:pPr>
        <w:pStyle w:val="Heading1"/>
        <w:keepNext/>
        <w:spacing w:after="160" w:before="360"/>
      </w:pPr>
      <w:r>
        <w:rPr>
          <w:rFonts w:ascii="Calibri" w:cs="Calibri" w:eastAsia="Calibri" w:hAnsi="Calibri"/>
          <w:b/>
          <w:bCs/>
          <w:color w:val="14213D"/>
          <w:sz w:val="34"/>
          <w:szCs w:val="34"/>
        </w:rPr>
        <w:t xml:space="preserve">The ask: approve a supervised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3E8" w:sz="4"/>
              <w:left w:val="single" w:color="1F4E9E" w:sz="24"/>
              <w:bottom w:val="single" w:color="C5D3E8" w:sz="4"/>
              <w:right w:val="single" w:color="C5D3E8" w:sz="4"/>
            </w:tcBorders>
            <w:shd w:fill="EAF1FB" w:color="auto" w:val="clear"/>
            <w:tcMar>
              <w:top w:type="dxa" w:w="140"/>
              <w:left w:type="dxa" w:w="200"/>
              <w:bottom w:type="dxa" w:w="140"/>
              <w:right w:type="dxa" w:w="200"/>
            </w:tcMar>
          </w:tcPr>
          <w:p>
            <w:pPr>
              <w:spacing w:after="80"/>
            </w:pPr>
            <w:r>
              <w:rPr>
                <w:rFonts w:ascii="Calibri" w:cs="Calibri" w:eastAsia="Calibri" w:hAnsi="Calibri"/>
                <w:b/>
                <w:bCs/>
                <w:color w:val="14213D"/>
                <w:sz w:val="22"/>
                <w:szCs w:val="22"/>
              </w:rPr>
              <w:t xml:space="preserve">The ask</w:t>
            </w:r>
          </w:p>
          <w:p>
            <w:pPr>
              <w:spacing w:after="60" w:line="276"/>
            </w:pPr>
            <w:r>
              <w:rPr>
                <w:rFonts w:ascii="Calibri" w:cs="Calibri" w:eastAsia="Calibri" w:hAnsi="Calibri"/>
              </w:rPr>
              <w:t xml:space="preserve">We ask the CEO to approve one supervised pilot, in one school, one grade and one class of about 30 to 40 learners, and to release the budget for the items that must be signed off first.</w:t>
            </w:r>
          </w:p>
        </w:tc>
      </w:tr>
    </w:tbl>
    <w:p>
      <w:pPr>
        <w:spacing w:after="80"/>
      </w:pPr>
    </w:p>
    <w:p>
      <w:pPr>
        <w:spacing w:after="120" w:line="288"/>
      </w:pPr>
      <w:r>
        <w:rPr>
          <w:rFonts w:ascii="Calibri" w:cs="Calibri" w:eastAsia="Calibri" w:hAnsi="Calibri"/>
        </w:rPr>
        <w:t xml:space="preserve">The first 90 days:</w:t>
      </w:r>
    </w:p>
    <w:p>
      <w:pPr>
        <w:pStyle w:val="ListParagraph"/>
        <w:numPr>
          <w:ilvl w:val="0"/>
          <w:numId w:val="4"/>
        </w:numPr>
        <w:spacing w:after="60" w:line="276"/>
      </w:pPr>
      <w:r>
        <w:rPr>
          <w:rFonts w:ascii="Calibri" w:cs="Calibri" w:eastAsia="Calibri" w:hAnsi="Calibri"/>
          <w:b/>
          <w:bCs/>
        </w:rPr>
        <w:t xml:space="preserve">Days 1 to 30: clear the blockers. </w:t>
      </w:r>
      <w:r>
        <w:rPr>
          <w:rFonts w:ascii="Calibri" w:cs="Calibri" w:eastAsia="Calibri" w:hAnsi="Calibri"/>
        </w:rPr>
        <w:t xml:space="preserve">Attorney review of the consent form, privacy notice, terms and school agreement. Clinical and language review of the safety screen. Uptime monitoring, backups with a restore drill, and the hosting plan. Teacher review of the skill checks.</w:t>
      </w:r>
    </w:p>
    <w:p>
      <w:pPr>
        <w:pStyle w:val="ListParagraph"/>
        <w:numPr>
          <w:ilvl w:val="0"/>
          <w:numId w:val="4"/>
        </w:numPr>
        <w:spacing w:after="60" w:line="276"/>
      </w:pPr>
      <w:r>
        <w:rPr>
          <w:rFonts w:ascii="Calibri" w:cs="Calibri" w:eastAsia="Calibri" w:hAnsi="Calibri"/>
          <w:b/>
          <w:bCs/>
        </w:rPr>
        <w:t xml:space="preserve">Days 31 to 45: prepare the school. </w:t>
      </w:r>
      <w:r>
        <w:rPr>
          <w:rFonts w:ascii="Calibri" w:cs="Calibri" w:eastAsia="Calibri" w:hAnsi="Calibri"/>
        </w:rPr>
        <w:t xml:space="preserve">Sign the school agreement, collect guardian consent, train the Life Orientation teacher, rehearse the safeguarding alert with the school's contact.</w:t>
      </w:r>
    </w:p>
    <w:p>
      <w:pPr>
        <w:pStyle w:val="ListParagraph"/>
        <w:numPr>
          <w:ilvl w:val="0"/>
          <w:numId w:val="4"/>
        </w:numPr>
        <w:spacing w:after="60" w:line="276"/>
      </w:pPr>
      <w:r>
        <w:rPr>
          <w:rFonts w:ascii="Calibri" w:cs="Calibri" w:eastAsia="Calibri" w:hAnsi="Calibri"/>
          <w:b/>
          <w:bCs/>
        </w:rPr>
        <w:t xml:space="preserve">Days 46 to 60: run the pilot. </w:t>
      </w:r>
      <w:r>
        <w:rPr>
          <w:rFonts w:ascii="Calibri" w:cs="Calibri" w:eastAsia="Calibri" w:hAnsi="Calibri"/>
        </w:rPr>
        <w:t xml:space="preserve">One class, supervised, with the teacher in the room. Stop at once if an urgent alert goes unconfirmed, data is seen by the wrong person, or consent is withdrawn and not honoured the same day.</w:t>
      </w:r>
    </w:p>
    <w:p>
      <w:pPr>
        <w:pStyle w:val="ListParagraph"/>
        <w:numPr>
          <w:ilvl w:val="0"/>
          <w:numId w:val="4"/>
        </w:numPr>
        <w:spacing w:after="60" w:line="276"/>
      </w:pPr>
      <w:r>
        <w:rPr>
          <w:rFonts w:ascii="Calibri" w:cs="Calibri" w:eastAsia="Calibri" w:hAnsi="Calibri"/>
          <w:b/>
          <w:bCs/>
        </w:rPr>
        <w:t xml:space="preserve">Days 61 to 90: learn and decide. </w:t>
      </w:r>
      <w:r>
        <w:rPr>
          <w:rFonts w:ascii="Calibri" w:cs="Calibri" w:eastAsia="Calibri" w:hAnsi="Calibri"/>
        </w:rPr>
        <w:t xml:space="preserve">Review the measures, the reviewers' edits and the cost per learner, then bring the CEO a go or no-go on a wider rollout, with real numbers.</w:t>
      </w:r>
    </w:p>
    <w:p>
      <w:pPr>
        <w:spacing w:after="80"/>
      </w:pPr>
    </w:p>
    <w:p>
      <w:pPr>
        <w:spacing w:before="120"/>
      </w:pPr>
      <w:r>
        <w:rPr>
          <w:rFonts w:ascii="Calibri" w:cs="Calibri" w:eastAsia="Calibri" w:hAnsi="Calibri"/>
          <w:i/>
          <w:iCs/>
          <w:color w:val="14213D"/>
          <w:sz w:val="24"/>
          <w:szCs w:val="24"/>
        </w:rPr>
        <w:t xml:space="preserve">If it works, a learner stops guessing and starts choosing. If it does not, we will know why, in one class, at small cost.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The Excavation · Value proposition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Excavation: Value Proposition for the CEO</dc:title>
  <dc:creator>Holiday Malepe</dc:creator>
  <cp:lastModifiedBy>Un-named</cp:lastModifiedBy>
  <cp:revision>1</cp:revision>
  <dcterms:created xsi:type="dcterms:W3CDTF">2026-10-12T18:25:31.565Z</dcterms:created>
  <dcterms:modified xsi:type="dcterms:W3CDTF">2026-10-12T18:25:31.566Z</dcterms:modified>
</cp:coreProperties>
</file>

<file path=docProps/custom.xml><?xml version="1.0" encoding="utf-8"?>
<Properties xmlns="http://schemas.openxmlformats.org/officeDocument/2006/custom-properties" xmlns:vt="http://schemas.openxmlformats.org/officeDocument/2006/docPropsVTypes"/>
</file>