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HPC-MLLM:</w:t>
      </w:r>
      <w:r>
        <w:t xml:space="preserve"> </w:t>
      </w:r>
      <w:r>
        <w:t xml:space="preserve">AN</w:t>
      </w:r>
      <w:r>
        <w:t xml:space="preserve"> </w:t>
      </w:r>
      <w:r>
        <w:t xml:space="preserve">AUTONOMOUS</w:t>
      </w:r>
      <w:r>
        <w:t xml:space="preserve"> </w:t>
      </w:r>
      <w:r>
        <w:t xml:space="preserve">ORCHESTRATION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HIERARCHICAL</w:t>
      </w:r>
      <w:r>
        <w:t xml:space="preserve"> </w:t>
      </w:r>
      <w:r>
        <w:t xml:space="preserve">PREDICTIVE</w:t>
      </w:r>
      <w:r>
        <w:t xml:space="preserve"> </w:t>
      </w:r>
      <w:r>
        <w:t xml:space="preserve">CODING</w:t>
      </w:r>
      <w:r>
        <w:t xml:space="preserve"> </w:t>
      </w:r>
      <w:r>
        <w:t xml:space="preserve">ANALYSIS</w:t>
      </w:r>
    </w:p>
    <w:p>
      <w:pPr>
        <w:pStyle w:val="Author"/>
      </w:pPr>
      <w:r>
        <w:t xml:space="preserve">Hamed</w:t>
      </w:r>
      <w:r>
        <w:t xml:space="preserve"> </w:t>
      </w:r>
      <w:r>
        <w:t xml:space="preserve">Nejat</w:t>
      </w:r>
    </w:p>
    <w:p>
      <w:pPr>
        <w:pStyle w:val="Date"/>
      </w:pPr>
      <w:r>
        <w:t xml:space="preserve">2026-04-01</w:t>
      </w:r>
    </w:p>
    <w:p>
      <w:pPr>
        <w:pStyle w:val="Abstract"/>
      </w:pPr>
      <w:r>
        <w:t xml:space="preserve">This</w:t>
      </w:r>
      <w:r>
        <w:t xml:space="preserve"> </w:t>
      </w:r>
      <w:r>
        <w:t xml:space="preserve">article</w:t>
      </w:r>
      <w:r>
        <w:t xml:space="preserve"> </w:t>
      </w:r>
      <w:r>
        <w:t xml:space="preserve">introduces</w:t>
      </w:r>
      <w:r>
        <w:t xml:space="preserve"> </w:t>
      </w:r>
      <w:r>
        <w:t xml:space="preserve">the</w:t>
      </w:r>
      <w:r>
        <w:t xml:space="preserve"> </w:t>
      </w:r>
      <w:r>
        <w:t xml:space="preserve">MLLM-Pipeline,</w:t>
      </w:r>
      <w:r>
        <w:t xml:space="preserve"> </w:t>
      </w:r>
      <w:r>
        <w:t xml:space="preserve">an</w:t>
      </w:r>
      <w:r>
        <w:t xml:space="preserve"> </w:t>
      </w:r>
      <w:r>
        <w:t xml:space="preserve">autonomous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systematic</w:t>
      </w:r>
      <w:r>
        <w:t xml:space="preserve"> </w:t>
      </w:r>
      <w:r>
        <w:t xml:space="preserve">Hierarchical</w:t>
      </w:r>
      <w:r>
        <w:t xml:space="preserve"> </w:t>
      </w:r>
      <w:r>
        <w:t xml:space="preserve">Predictive</w:t>
      </w:r>
      <w:r>
        <w:t xml:space="preserve"> </w:t>
      </w:r>
      <w:r>
        <w:t xml:space="preserve">Coding</w:t>
      </w:r>
      <w:r>
        <w:t xml:space="preserve"> </w:t>
      </w:r>
      <w:r>
        <w:t xml:space="preserve">(HPC)</w:t>
      </w:r>
      <w:r>
        <w:t xml:space="preserve"> </w:t>
      </w:r>
      <w:r>
        <w:t xml:space="preserve">analysis.</w:t>
      </w:r>
      <w:r>
        <w:t xml:space="preserve"> </w:t>
      </w:r>
      <w:r>
        <w:t xml:space="preserve">By</w:t>
      </w:r>
      <w:r>
        <w:t xml:space="preserve"> </w:t>
      </w:r>
      <w:r>
        <w:t xml:space="preserve">integrating</w:t>
      </w:r>
      <w:r>
        <w:t xml:space="preserve"> </w:t>
      </w:r>
      <w:r>
        <w:t xml:space="preserve">multi-agent</w:t>
      </w:r>
      <w:r>
        <w:t xml:space="preserve"> </w:t>
      </w:r>
      <w:r>
        <w:t xml:space="preserve">LLM</w:t>
      </w:r>
      <w:r>
        <w:t xml:space="preserve"> </w:t>
      </w:r>
      <w:r>
        <w:t xml:space="preserve">orchestration</w:t>
      </w:r>
      <w:r>
        <w:t xml:space="preserve"> </w:t>
      </w:r>
      <w:r>
        <w:t xml:space="preserve">with</w:t>
      </w:r>
      <w:r>
        <w:t xml:space="preserve"> </w:t>
      </w:r>
      <w:r>
        <w:t xml:space="preserve">native</w:t>
      </w:r>
      <w:r>
        <w:t xml:space="preserve"> </w:t>
      </w:r>
      <w:r>
        <w:t xml:space="preserve">MLX</w:t>
      </w:r>
      <w:r>
        <w:t xml:space="preserve"> </w:t>
      </w:r>
      <w:r>
        <w:t xml:space="preserve">acceleration</w:t>
      </w:r>
      <w:r>
        <w:t xml:space="preserve"> </w:t>
      </w:r>
      <w:r>
        <w:t xml:space="preserve">and</w:t>
      </w:r>
      <w:r>
        <w:t xml:space="preserve"> </w:t>
      </w:r>
      <w:r>
        <w:t xml:space="preserve">closed-loop</w:t>
      </w:r>
      <w:r>
        <w:t xml:space="preserve"> </w:t>
      </w:r>
      <w:r>
        <w:t xml:space="preserve">visual</w:t>
      </w:r>
      <w:r>
        <w:t xml:space="preserve"> </w:t>
      </w:r>
      <w:r>
        <w:t xml:space="preserve">validation,</w:t>
      </w:r>
      <w:r>
        <w:t xml:space="preserve"> </w:t>
      </w:r>
      <w:r>
        <w:t xml:space="preserve">we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deterministic</w:t>
      </w:r>
      <w:r>
        <w:t xml:space="preserve"> </w:t>
      </w:r>
      <w:r>
        <w:t xml:space="preserve">methodology</w:t>
      </w:r>
      <w:r>
        <w:t xml:space="preserve"> </w:t>
      </w:r>
      <w:r>
        <w:t xml:space="preserve">for</w:t>
      </w:r>
      <w:r>
        <w:t xml:space="preserve"> </w:t>
      </w:r>
      <w:r>
        <w:t xml:space="preserve">mapping</w:t>
      </w:r>
      <w:r>
        <w:t xml:space="preserve"> </w:t>
      </w:r>
      <w:r>
        <w:t xml:space="preserve">theoretical</w:t>
      </w:r>
      <w:r>
        <w:t xml:space="preserve"> </w:t>
      </w:r>
      <w:r>
        <w:t xml:space="preserve">HPC</w:t>
      </w:r>
      <w:r>
        <w:t xml:space="preserve"> </w:t>
      </w:r>
      <w:r>
        <w:t xml:space="preserve">constructs</w:t>
      </w:r>
      <w:r>
        <w:t xml:space="preserve"> </w:t>
      </w:r>
      <w:r>
        <w:t xml:space="preserve">to</w:t>
      </w:r>
      <w:r>
        <w:t xml:space="preserve"> </w:t>
      </w:r>
      <w:r>
        <w:t xml:space="preserve">empirical</w:t>
      </w:r>
      <w:r>
        <w:t xml:space="preserve"> </w:t>
      </w:r>
      <w:r>
        <w:t xml:space="preserve">neurophysiological</w:t>
      </w:r>
      <w:r>
        <w:t xml:space="preserve"> </w:t>
      </w:r>
      <w:r>
        <w:t xml:space="preserve">signatures.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Hierarchical Predictive Coding (HPC) posits that the neocortex maintains a dynamic internal model of sensory input via the interaction of top-down predictions and bottom-up prediction errors</w:t>
      </w:r>
      <w:r>
        <w:t xml:space="preserve"> </w:t>
      </w:r>
      <w:r>
        <w:t xml:space="preserve">(Rao and Ballard 1999; Friston 2005)</w:t>
      </w:r>
      <w:r>
        <w:t xml:space="preserve">. Despite its theoretical prominence, the field suffers from taxonomic fragmentation, where disparate models (e.g., GLO-HPC) are often tested against inconsistent datasets. This inconsistency necessitates a more rigorous, autonomous approach to meta-analysis.</w:t>
      </w:r>
    </w:p>
    <w:p>
      <w:pPr>
        <w:pStyle w:val="BodyText"/>
      </w:pPr>
      <w:r>
        <w:t xml:space="preserve">The MLLM-Pipeline addresses this by enforcing strict semantic mandates and utilizing a distributed agentic architecture to resolve literature conflicts. Unlike traditional reviews, our framework applies a critical computational neurophysiology lens to extract quantitative metrics directly from primary source data, minimizing the risk of hallucinatory drift during high-throughput analysis.</w:t>
      </w:r>
    </w:p>
    <w:bookmarkEnd w:id="20"/>
    <w:bookmarkStart w:id="23" w:name="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The MLLM-Pipeline is implemented on an Apple Silicon (M3 Max) backend utilizing the GAMMA (Guide And Model Mapped Actions) protocol for autonomous local fallback. The pipeline orchestrates a multi-agent ensemble (Claude-3.5-Sonnet, DeepSeek-R1) to analyze cortical oddball signatures (Local vs. Global) across multiple spatial scales</w:t>
      </w:r>
      <w:r>
        <w:t xml:space="preserve"> </w:t>
      </w:r>
      <w:r>
        <w:t xml:space="preserve">(Westerberg et al. 2022)</w:t>
      </w:r>
      <w:r>
        <w:t xml:space="preserve">.</w:t>
      </w:r>
    </w:p>
    <w:bookmarkStart w:id="21" w:name="closed-loop-visual-auditing"/>
    <w:p>
      <w:pPr>
        <w:pStyle w:val="Heading2"/>
      </w:pPr>
      <w:r>
        <w:t xml:space="preserve">Closed-Loop Visual Auditing</w:t>
      </w:r>
    </w:p>
    <w:p>
      <w:pPr>
        <w:pStyle w:val="FirstParagraph"/>
      </w:pPr>
      <w:r>
        <w:t xml:space="preserve">A novel feature of our system is the</w:t>
      </w:r>
      <w:r>
        <w:t xml:space="preserve"> </w:t>
      </w:r>
      <w:r>
        <w:rPr>
          <w:iCs/>
          <w:i/>
        </w:rPr>
        <w:t xml:space="preserve">gravia_visual_auditor</w:t>
      </w:r>
      <w:r>
        <w:t xml:space="preserve">, which utilizes a local VLM (Qwen3.5-VL) to critique the layout of synthesized manuscripts. This ensures that figure placement and math renderings adhere to strict arXiv/bioRxiv standards before final submission.</w:t>
      </w:r>
    </w:p>
    <w:bookmarkEnd w:id="21"/>
    <w:bookmarkStart w:id="22" w:name="high-fidelity-docx-export"/>
    <w:p>
      <w:pPr>
        <w:pStyle w:val="Heading2"/>
      </w:pPr>
      <w:r>
        <w:t xml:space="preserve">High-Fidelity DOCX Export</w:t>
      </w:r>
    </w:p>
    <w:p>
      <w:pPr>
        <w:pStyle w:val="FirstParagraph"/>
      </w:pPr>
      <w:r>
        <w:t xml:space="preserve">To ensure semantic integrity during cross-platform collaboration, the pipeline utilizes a Pandoc-based AST transformation for DOCX export, preserving the hierarchical structure of the original LaTeX source.</w:t>
      </w:r>
    </w:p>
    <w:bookmarkEnd w:id="22"/>
    <w:bookmarkEnd w:id="23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Start w:id="25" w:name="ref-Friston2005"/>
    <w:p>
      <w:pPr>
        <w:pStyle w:val="Bibliography"/>
      </w:pPr>
      <w:r>
        <w:t xml:space="preserve">Friston, Karl. 2005.</w:t>
      </w:r>
      <w:r>
        <w:t xml:space="preserve"> </w:t>
      </w:r>
      <w:r>
        <w:t xml:space="preserve">“A Theory of Cortical Responses.”</w:t>
      </w:r>
      <w:r>
        <w:t xml:space="preserve"> </w:t>
      </w:r>
      <w:r>
        <w:rPr>
          <w:iCs/>
          <w:i/>
        </w:rPr>
        <w:t xml:space="preserve">Philosophical Transactions of the Royal Society B: Biological Sciences</w:t>
      </w:r>
      <w:r>
        <w:t xml:space="preserve"> </w:t>
      </w:r>
      <w:r>
        <w:t xml:space="preserve">360 (1456): 815–36.</w:t>
      </w:r>
      <w:r>
        <w:t xml:space="preserve"> </w:t>
      </w:r>
      <w:hyperlink r:id="rId24">
        <w:r>
          <w:rPr>
            <w:rStyle w:val="Hyperlink"/>
          </w:rPr>
          <w:t xml:space="preserve">https://doi.org/10.1098/rstb.2005.1622</w:t>
        </w:r>
      </w:hyperlink>
      <w:r>
        <w:t xml:space="preserve">.</w:t>
      </w:r>
    </w:p>
    <w:bookmarkEnd w:id="25"/>
    <w:bookmarkStart w:id="27" w:name="ref-Rao1999"/>
    <w:p>
      <w:pPr>
        <w:pStyle w:val="Bibliography"/>
      </w:pPr>
      <w:r>
        <w:t xml:space="preserve">Rao, Rajesh PN, and Dana H Ballard. 1999.</w:t>
      </w:r>
      <w:r>
        <w:t xml:space="preserve"> </w:t>
      </w:r>
      <w:r>
        <w:t xml:space="preserve">“Predictive Coding in the Visual Cortex: A Functional Interpretation of Some Extra-Classical Receptive-Field Effects.”</w:t>
      </w:r>
      <w:r>
        <w:t xml:space="preserve"> </w:t>
      </w:r>
      <w:r>
        <w:rPr>
          <w:iCs/>
          <w:i/>
        </w:rPr>
        <w:t xml:space="preserve">Nature Neuroscience</w:t>
      </w:r>
      <w:r>
        <w:t xml:space="preserve"> </w:t>
      </w:r>
      <w:r>
        <w:t xml:space="preserve">2 (1): 79–87.</w:t>
      </w:r>
      <w:r>
        <w:t xml:space="preserve"> </w:t>
      </w:r>
      <w:hyperlink r:id="rId26">
        <w:r>
          <w:rPr>
            <w:rStyle w:val="Hyperlink"/>
          </w:rPr>
          <w:t xml:space="preserve">https://doi.org/10.1038/4580</w:t>
        </w:r>
      </w:hyperlink>
      <w:r>
        <w:t xml:space="preserve">.</w:t>
      </w:r>
    </w:p>
    <w:bookmarkEnd w:id="27"/>
    <w:bookmarkStart w:id="29" w:name="ref-Westerberg2022"/>
    <w:p>
      <w:pPr>
        <w:pStyle w:val="Bibliography"/>
      </w:pPr>
      <w:r>
        <w:t xml:space="preserve">Westerberg, Jacob A, Michele A Cox, Kacie Dougherty, and Alexander Maier. 2022.</w:t>
      </w:r>
      <w:r>
        <w:t xml:space="preserve"> </w:t>
      </w:r>
      <w:r>
        <w:t xml:space="preserve">“Laminar Distribution of Oddball Responses in Macaque V1 and V4.”</w:t>
      </w:r>
      <w:r>
        <w:t xml:space="preserve"> </w:t>
      </w:r>
      <w:r>
        <w:rPr>
          <w:iCs/>
          <w:i/>
        </w:rPr>
        <w:t xml:space="preserve">Journal of Neuroscience</w:t>
      </w:r>
      <w:r>
        <w:t xml:space="preserve"> </w:t>
      </w:r>
      <w:r>
        <w:t xml:space="preserve">42 (16): 3371–81.</w:t>
      </w:r>
      <w:r>
        <w:t xml:space="preserve"> </w:t>
      </w:r>
      <w:hyperlink r:id="rId28">
        <w:r>
          <w:rPr>
            <w:rStyle w:val="Hyperlink"/>
          </w:rPr>
          <w:t xml:space="preserve">https://doi.org/10.1523/JNEUROSCI.1234-22.2022</w:t>
        </w:r>
      </w:hyperlink>
      <w:r>
        <w:t xml:space="preserve">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doi.org/10.1038/4580" TargetMode="External" /><Relationship Type="http://schemas.openxmlformats.org/officeDocument/2006/relationships/hyperlink" Id="rId24" Target="https://doi.org/10.1098/rstb.2005.1622" TargetMode="External" /><Relationship Type="http://schemas.openxmlformats.org/officeDocument/2006/relationships/hyperlink" Id="rId28" Target="https://doi.org/10.1523/JNEUROSCI.1234-22.202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i.org/10.1038/4580" TargetMode="External" /><Relationship Type="http://schemas.openxmlformats.org/officeDocument/2006/relationships/hyperlink" Id="rId24" Target="https://doi.org/10.1098/rstb.2005.1622" TargetMode="External" /><Relationship Type="http://schemas.openxmlformats.org/officeDocument/2006/relationships/hyperlink" Id="rId28" Target="https://doi.org/10.1523/JNEUROSCI.1234-22.202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HPC-MLLM: AN AUTONOMOUS ORCHESTRATION FRAMEWORK FOR HIERARCHICAL PREDICTIVE CODING ANALYSIS</dc:title>
  <dc:creator>Hamed Nejat</dc:creator>
  <cp:keywords/>
  <dcterms:created xsi:type="dcterms:W3CDTF">2026-04-01T22:55:47Z</dcterms:created>
  <dcterms:modified xsi:type="dcterms:W3CDTF">2026-04-01T22:55:47Z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article introduces the MLLM-Pipeline, an autonomous framework for systematic Hierarchical Predictive Coding (HPC) analysis. By integrating multi-agent LLM orchestration with native MLX acceleration and closed-loop visual validation, we provide a deterministic methodology for mapping theoretical HPC constructs to empirical neurophysiological signatures.</vt:lpwstr>
  </property>
  <property fmtid="{D5CDD505-2E9C-101B-9397-08002B2CF9AE}" pid="3" name="bibliography">
    <vt:lpwstr>manuscript.bib</vt:lpwstr>
  </property>
  <property fmtid="{D5CDD505-2E9C-101B-9397-08002B2CF9AE}" pid="4" name="date">
    <vt:lpwstr>2026-04-01</vt:lpwstr>
  </property>
</Properties>
</file>