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Lasso Logistic Regression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Lasso Logistic Regression with Year Fixed Effects (Non-Zero Coefficients)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4"/>
        <w:gridCol w:w="1769"/>
        <w:gridCol w:w="1818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Odds_Ratio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-5.744533317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0.003200228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phase_groupTaxi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-2.025321336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0.131951436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phase_groupTakeoff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-0.257793271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0.772754966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phase_groupInitial Climb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0.449833318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1.568050798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phase_groupEn 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0.022185469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1.022433397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phase_groupDescent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-2.431114842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0.087938740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phase_groupUnknown/Other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3.641884464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38.163687083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far_part135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3.461826912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31.875156467</w:t>
            </w:r>
          </w:p>
        </w:tc>
      </w:tr>
      <w:tr>
        <w:trPr>
          <w:trHeight w:val="5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0.012199404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1.012274121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wx_condIMC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0.460177686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1.584355478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-0.008203428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0.991830128</w:t>
            </w:r>
          </w:p>
        </w:tc>
      </w:tr>
      <w:tr>
        <w:trPr>
          <w:trHeight w:val="60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0.004788946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1.004800431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2025-11-07T23:20:01Z</dcterms:modified>
  <cp:category/>
</cp:coreProperties>
</file>