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4: Coefficient of determination across forecast horizons</w:t>
      </w:r>
    </w:p>
    <w:tbl>
      <w:tblPr>
        <w:tblW w:type="dxa" w:w="9404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2606"/>
        <w:gridCol w:w="1699"/>
        <w:gridCol w:w="1699"/>
        <w:gridCol w:w="1699"/>
        <w:gridCol w:w="1701"/>
      </w:tblGrid>
      <w:tr>
        <w:trPr>
          <w:tblHeader/>
        </w:trPr>
        <w:tc>
          <w:tcPr>
            <w:tcW w:type="dxa" w:w="2606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69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 = 1 day</w:t>
            </w:r>
          </w:p>
        </w:tc>
        <w:tc>
          <w:tcPr>
            <w:tcW w:type="dxa" w:w="169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 = 7 days</w:t>
            </w:r>
          </w:p>
        </w:tc>
        <w:tc>
          <w:tcPr>
            <w:tcW w:type="dxa" w:w="169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 = 14 days</w:t>
            </w:r>
          </w:p>
        </w:tc>
        <w:tc>
          <w:tcPr>
            <w:tcW w:type="dxa" w:w="170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 = 28 days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Benchmarks without decomposition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ARIMA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0.9852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0.9125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0.8159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0.5821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RW-drift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0.9852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0.9138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0.8216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0.6140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GRU (direct)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0.9850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0.9085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0.8038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0.5705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TCN (direct)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0.9851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0.9120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0.8161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0.6007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N-BEATS (direct)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0.9825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0.8959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0.7852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0.5199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STL with one architecture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STL-TCN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0.9878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0.9792†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0.9786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0.9198†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STL-N-BEATS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0.9826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0.9761†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0.9762†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0.8710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STL-GRU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0.9870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0.9757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0.9784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0.9373†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STL with deep ensemble (proposed)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STL-Auto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0.9888†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0.9777†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0.9810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0.9378†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STL-EnsWgt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0.9887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0.9810†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0.9845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0.9378†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STL-EnsAvg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0.9886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0.9810†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0.9845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0.9373†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STL with classical hybrid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STL-ARIMA-LSTM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0.9785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0.9677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0.9646†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0.9039†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rSTL with one architecture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rSTL-TCN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0.9812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0.9798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0.9780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0.9167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rSTL-N-BEATS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0.9750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0.9768†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0.9724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0.8742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rSTL-GRU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0.9839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0.9712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0.9704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0.9151†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rSTL with deep ensemble (proposed)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rSTL-Auto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0.9867†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0.9781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0.9830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0.9286†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rSTL-EnsWgt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0.9864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0.9814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0.9805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0.9252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rSTL-EnsAvg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0.9863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0.9814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0.9805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0.9250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rSTL with classical hybrid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rSTL-ARIMA-LSTM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0.9765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0.9710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0.9587†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0.8970†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Values are means over ten random seeds during the 365-day test period. Bold indicates the highest value in a column; † indicates membership in the Model Confidence Set (alpha = 0.10).</w:t>
      </w:r>
    </w:p>
    <w:sectPr>
      <w:pgSz w:w="12240" w:h="15840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2026-09-15T15:56:31.183Z</dcterms:created>
  <dcterms:modified xsi:type="dcterms:W3CDTF">2026-09-15T15:56:31.183Z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