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Table 3: Root mean squared error across forecast horizons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881"/>
        <w:gridCol w:w="1881"/>
        <w:gridCol w:w="1881"/>
        <w:gridCol w:w="1881"/>
        <w:gridCol w:w="1881"/>
      </w:tblGrid>
      <w:tr>
        <w:trPr>
          <w:tblHeader w:val="true"/>
        </w:trPr>
        <w:tc>
          <w:tcPr>
            <w:tcW w:type="dxa" w:w="324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E7E6E6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Model</w:t>
            </w:r>
          </w:p>
        </w:tc>
        <w:tc>
          <w:tcPr>
            <w:tcW w:type="dxa" w:w="152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E7E6E6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h = 1 day (USD)</w:t>
            </w:r>
          </w:p>
        </w:tc>
        <w:tc>
          <w:tcPr>
            <w:tcW w:type="dxa" w:w="152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E7E6E6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h = 7 days (USD)</w:t>
            </w:r>
          </w:p>
        </w:tc>
        <w:tc>
          <w:tcPr>
            <w:tcW w:type="dxa" w:w="152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E7E6E6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h = 14 days (USD)</w:t>
            </w:r>
          </w:p>
        </w:tc>
        <w:tc>
          <w:tcPr>
            <w:tcW w:type="dxa" w:w="152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E7E6E6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h = 28 days (USD)</w:t>
            </w:r>
          </w:p>
        </w:tc>
      </w:tr>
      <w:tr>
        <w:trPr>
          <w:cantSplit/>
        </w:trPr>
        <w:tc>
          <w:tcPr>
            <w:tcW w:type="dxa" w:w="9405"/>
            <w:gridSpan w:val="5"/>
            <w:shd w:fill="F2F2F2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/>
                <w:color w:val="000000"/>
                <w:sz w:val="17"/>
              </w:rPr>
              <w:t>Benchmarks without decomposition</w:t>
            </w:r>
          </w:p>
        </w:tc>
      </w:tr>
      <w:tr>
        <w:trPr>
          <w:cantSplit/>
        </w:trPr>
        <w:tc>
          <w:tcPr>
            <w:tcW w:type="dxa" w:w="324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ARIMA</w:t>
            </w:r>
          </w:p>
        </w:tc>
        <w:tc>
          <w:tcPr>
            <w:tcW w:type="dxa" w:w="152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2,105</w:t>
            </w:r>
          </w:p>
        </w:tc>
        <w:tc>
          <w:tcPr>
            <w:tcW w:type="dxa" w:w="152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5,122</w:t>
            </w:r>
          </w:p>
        </w:tc>
        <w:tc>
          <w:tcPr>
            <w:tcW w:type="dxa" w:w="152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7,418</w:t>
            </w:r>
          </w:p>
        </w:tc>
        <w:tc>
          <w:tcPr>
            <w:tcW w:type="dxa" w:w="152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10,986</w:t>
            </w:r>
          </w:p>
        </w:tc>
      </w:tr>
      <w:tr>
        <w:trPr>
          <w:cantSplit/>
        </w:trPr>
        <w:tc>
          <w:tcPr>
            <w:tcW w:type="dxa" w:w="3240"/>
            <w:shd w:fill="F7F9FB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RW-drift</w:t>
            </w:r>
          </w:p>
        </w:tc>
        <w:tc>
          <w:tcPr>
            <w:tcW w:type="dxa" w:w="1526"/>
            <w:shd w:fill="F7F9FB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2,103</w:t>
            </w:r>
          </w:p>
        </w:tc>
        <w:tc>
          <w:tcPr>
            <w:tcW w:type="dxa" w:w="1526"/>
            <w:shd w:fill="F7F9FB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5,082</w:t>
            </w:r>
          </w:p>
        </w:tc>
        <w:tc>
          <w:tcPr>
            <w:tcW w:type="dxa" w:w="1526"/>
            <w:shd w:fill="F7F9FB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7,301</w:t>
            </w:r>
          </w:p>
        </w:tc>
        <w:tc>
          <w:tcPr>
            <w:tcW w:type="dxa" w:w="1526"/>
            <w:shd w:fill="F7F9FB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10,558</w:t>
            </w:r>
          </w:p>
        </w:tc>
      </w:tr>
      <w:tr>
        <w:trPr>
          <w:cantSplit/>
        </w:trPr>
        <w:tc>
          <w:tcPr>
            <w:tcW w:type="dxa" w:w="324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GRU (direct)</w:t>
            </w:r>
          </w:p>
        </w:tc>
        <w:tc>
          <w:tcPr>
            <w:tcW w:type="dxa" w:w="152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2,115</w:t>
            </w:r>
          </w:p>
        </w:tc>
        <w:tc>
          <w:tcPr>
            <w:tcW w:type="dxa" w:w="152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5,226</w:t>
            </w:r>
          </w:p>
        </w:tc>
        <w:tc>
          <w:tcPr>
            <w:tcW w:type="dxa" w:w="152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7,634</w:t>
            </w:r>
          </w:p>
        </w:tc>
        <w:tc>
          <w:tcPr>
            <w:tcW w:type="dxa" w:w="152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11,080</w:t>
            </w:r>
          </w:p>
        </w:tc>
      </w:tr>
      <w:tr>
        <w:trPr>
          <w:cantSplit/>
        </w:trPr>
        <w:tc>
          <w:tcPr>
            <w:tcW w:type="dxa" w:w="3240"/>
            <w:shd w:fill="F7F9FB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TCN (direct)</w:t>
            </w:r>
          </w:p>
        </w:tc>
        <w:tc>
          <w:tcPr>
            <w:tcW w:type="dxa" w:w="1526"/>
            <w:shd w:fill="F7F9FB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2,112</w:t>
            </w:r>
          </w:p>
        </w:tc>
        <w:tc>
          <w:tcPr>
            <w:tcW w:type="dxa" w:w="1526"/>
            <w:shd w:fill="F7F9FB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5,135</w:t>
            </w:r>
          </w:p>
        </w:tc>
        <w:tc>
          <w:tcPr>
            <w:tcW w:type="dxa" w:w="1526"/>
            <w:shd w:fill="F7F9FB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7,413</w:t>
            </w:r>
          </w:p>
        </w:tc>
        <w:tc>
          <w:tcPr>
            <w:tcW w:type="dxa" w:w="1526"/>
            <w:shd w:fill="F7F9FB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10,737</w:t>
            </w:r>
          </w:p>
        </w:tc>
      </w:tr>
      <w:tr>
        <w:trPr>
          <w:cantSplit/>
        </w:trPr>
        <w:tc>
          <w:tcPr>
            <w:tcW w:type="dxa" w:w="324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N-BEATS (direct)</w:t>
            </w:r>
          </w:p>
        </w:tc>
        <w:tc>
          <w:tcPr>
            <w:tcW w:type="dxa" w:w="152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2,287</w:t>
            </w:r>
          </w:p>
        </w:tc>
        <w:tc>
          <w:tcPr>
            <w:tcW w:type="dxa" w:w="152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5,582</w:t>
            </w:r>
          </w:p>
        </w:tc>
        <w:tc>
          <w:tcPr>
            <w:tcW w:type="dxa" w:w="152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8,010</w:t>
            </w:r>
          </w:p>
        </w:tc>
        <w:tc>
          <w:tcPr>
            <w:tcW w:type="dxa" w:w="152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11,773</w:t>
            </w:r>
          </w:p>
        </w:tc>
      </w:tr>
      <w:tr>
        <w:trPr>
          <w:cantSplit/>
        </w:trPr>
        <w:tc>
          <w:tcPr>
            <w:tcW w:type="dxa" w:w="9405"/>
            <w:gridSpan w:val="5"/>
            <w:shd w:fill="F2F2F2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/>
                <w:color w:val="000000"/>
                <w:sz w:val="17"/>
              </w:rPr>
              <w:t>STL with one architecture</w:t>
            </w:r>
          </w:p>
        </w:tc>
      </w:tr>
      <w:tr>
        <w:trPr>
          <w:cantSplit/>
        </w:trPr>
        <w:tc>
          <w:tcPr>
            <w:tcW w:type="dxa" w:w="3240"/>
            <w:shd w:fill="F7F9FB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STL-TCN</w:t>
            </w:r>
          </w:p>
        </w:tc>
        <w:tc>
          <w:tcPr>
            <w:tcW w:type="dxa" w:w="1526"/>
            <w:shd w:fill="F7F9FB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1,902</w:t>
            </w:r>
          </w:p>
        </w:tc>
        <w:tc>
          <w:tcPr>
            <w:tcW w:type="dxa" w:w="1526"/>
            <w:shd w:fill="F7F9FB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2,496</w:t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  <w:vertAlign w:val="superscript"/>
              </w:rPr>
              <w:t>†</w:t>
            </w:r>
          </w:p>
        </w:tc>
        <w:tc>
          <w:tcPr>
            <w:tcW w:type="dxa" w:w="1526"/>
            <w:shd w:fill="F7F9FB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2,528</w:t>
            </w:r>
          </w:p>
        </w:tc>
        <w:tc>
          <w:tcPr>
            <w:tcW w:type="dxa" w:w="1526"/>
            <w:shd w:fill="F7F9FB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4,809</w:t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  <w:vertAlign w:val="superscript"/>
              </w:rPr>
              <w:t>†</w:t>
            </w:r>
          </w:p>
        </w:tc>
      </w:tr>
      <w:tr>
        <w:trPr>
          <w:cantSplit/>
        </w:trPr>
        <w:tc>
          <w:tcPr>
            <w:tcW w:type="dxa" w:w="324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STL-N-BEATS</w:t>
            </w:r>
          </w:p>
        </w:tc>
        <w:tc>
          <w:tcPr>
            <w:tcW w:type="dxa" w:w="152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2,203</w:t>
            </w:r>
          </w:p>
        </w:tc>
        <w:tc>
          <w:tcPr>
            <w:tcW w:type="dxa" w:w="152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2,616</w:t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  <w:vertAlign w:val="superscript"/>
              </w:rPr>
              <w:t>†</w:t>
            </w:r>
          </w:p>
        </w:tc>
        <w:tc>
          <w:tcPr>
            <w:tcW w:type="dxa" w:w="152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2,637</w:t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  <w:vertAlign w:val="superscript"/>
              </w:rPr>
              <w:t>†</w:t>
            </w:r>
          </w:p>
        </w:tc>
        <w:tc>
          <w:tcPr>
            <w:tcW w:type="dxa" w:w="152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6,098</w:t>
            </w:r>
          </w:p>
        </w:tc>
      </w:tr>
      <w:tr>
        <w:trPr>
          <w:cantSplit/>
        </w:trPr>
        <w:tc>
          <w:tcPr>
            <w:tcW w:type="dxa" w:w="3240"/>
            <w:shd w:fill="F7F9FB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STL-GRU</w:t>
            </w:r>
          </w:p>
        </w:tc>
        <w:tc>
          <w:tcPr>
            <w:tcW w:type="dxa" w:w="1526"/>
            <w:shd w:fill="F7F9FB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1,972</w:t>
            </w:r>
          </w:p>
        </w:tc>
        <w:tc>
          <w:tcPr>
            <w:tcW w:type="dxa" w:w="1526"/>
            <w:shd w:fill="F7F9FB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2,696</w:t>
            </w:r>
          </w:p>
        </w:tc>
        <w:tc>
          <w:tcPr>
            <w:tcW w:type="dxa" w:w="1526"/>
            <w:shd w:fill="F7F9FB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2,536</w:t>
            </w:r>
          </w:p>
        </w:tc>
        <w:tc>
          <w:tcPr>
            <w:tcW w:type="dxa" w:w="1526"/>
            <w:shd w:fill="F7F9FB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4,240</w:t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  <w:vertAlign w:val="superscript"/>
              </w:rPr>
              <w:t>†</w:t>
            </w:r>
          </w:p>
        </w:tc>
      </w:tr>
      <w:tr>
        <w:trPr>
          <w:cantSplit/>
        </w:trPr>
        <w:tc>
          <w:tcPr>
            <w:tcW w:type="dxa" w:w="9405"/>
            <w:gridSpan w:val="5"/>
            <w:shd w:fill="F2F2F2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/>
                <w:color w:val="000000"/>
                <w:sz w:val="17"/>
              </w:rPr>
              <w:t>STL with deep ensemble (proposed)</w:t>
            </w:r>
          </w:p>
        </w:tc>
      </w:tr>
      <w:tr>
        <w:trPr>
          <w:cantSplit/>
        </w:trPr>
        <w:tc>
          <w:tcPr>
            <w:tcW w:type="dxa" w:w="324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STL-Auto</w:t>
            </w:r>
          </w:p>
        </w:tc>
        <w:tc>
          <w:tcPr>
            <w:tcW w:type="dxa" w:w="152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1,821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16"/>
                <w:vertAlign w:val="superscript"/>
              </w:rPr>
              <w:t>†</w:t>
            </w:r>
          </w:p>
        </w:tc>
        <w:tc>
          <w:tcPr>
            <w:tcW w:type="dxa" w:w="152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2,569</w:t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  <w:vertAlign w:val="superscript"/>
              </w:rPr>
              <w:t>†</w:t>
            </w:r>
          </w:p>
        </w:tc>
        <w:tc>
          <w:tcPr>
            <w:tcW w:type="dxa" w:w="152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2,381</w:t>
            </w:r>
          </w:p>
        </w:tc>
        <w:tc>
          <w:tcPr>
            <w:tcW w:type="dxa" w:w="152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4,219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16"/>
                <w:vertAlign w:val="superscript"/>
              </w:rPr>
              <w:t>†</w:t>
            </w:r>
          </w:p>
        </w:tc>
      </w:tr>
      <w:tr>
        <w:trPr>
          <w:cantSplit/>
        </w:trPr>
        <w:tc>
          <w:tcPr>
            <w:tcW w:type="dxa" w:w="3240"/>
            <w:shd w:fill="F7F9FB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STL-EnsWgt</w:t>
            </w:r>
          </w:p>
        </w:tc>
        <w:tc>
          <w:tcPr>
            <w:tcW w:type="dxa" w:w="1526"/>
            <w:shd w:fill="F7F9FB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1,833</w:t>
            </w:r>
          </w:p>
        </w:tc>
        <w:tc>
          <w:tcPr>
            <w:tcW w:type="dxa" w:w="1526"/>
            <w:shd w:fill="F7F9FB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2,380</w:t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  <w:vertAlign w:val="superscript"/>
              </w:rPr>
              <w:t>†</w:t>
            </w:r>
          </w:p>
        </w:tc>
        <w:tc>
          <w:tcPr>
            <w:tcW w:type="dxa" w:w="1526"/>
            <w:shd w:fill="F7F9FB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2,153</w:t>
            </w:r>
          </w:p>
        </w:tc>
        <w:tc>
          <w:tcPr>
            <w:tcW w:type="dxa" w:w="1526"/>
            <w:shd w:fill="F7F9FB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4,238</w:t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  <w:vertAlign w:val="superscript"/>
              </w:rPr>
              <w:t>†</w:t>
            </w:r>
          </w:p>
        </w:tc>
      </w:tr>
      <w:tr>
        <w:trPr>
          <w:cantSplit/>
        </w:trPr>
        <w:tc>
          <w:tcPr>
            <w:tcW w:type="dxa" w:w="324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STL-EnsAvg</w:t>
            </w:r>
          </w:p>
        </w:tc>
        <w:tc>
          <w:tcPr>
            <w:tcW w:type="dxa" w:w="152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1,836</w:t>
            </w:r>
          </w:p>
        </w:tc>
        <w:tc>
          <w:tcPr>
            <w:tcW w:type="dxa" w:w="152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2,380</w:t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  <w:vertAlign w:val="superscript"/>
              </w:rPr>
              <w:t>†</w:t>
            </w:r>
          </w:p>
        </w:tc>
        <w:tc>
          <w:tcPr>
            <w:tcW w:type="dxa" w:w="152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2,153</w:t>
            </w:r>
          </w:p>
        </w:tc>
        <w:tc>
          <w:tcPr>
            <w:tcW w:type="dxa" w:w="152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4,253</w:t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  <w:vertAlign w:val="superscript"/>
              </w:rPr>
              <w:t>†</w:t>
            </w:r>
          </w:p>
        </w:tc>
      </w:tr>
      <w:tr>
        <w:trPr>
          <w:cantSplit/>
        </w:trPr>
        <w:tc>
          <w:tcPr>
            <w:tcW w:type="dxa" w:w="9405"/>
            <w:gridSpan w:val="5"/>
            <w:shd w:fill="F2F2F2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/>
                <w:color w:val="000000"/>
                <w:sz w:val="17"/>
              </w:rPr>
              <w:t>STL with classical hybrid</w:t>
            </w:r>
          </w:p>
        </w:tc>
      </w:tr>
      <w:tr>
        <w:trPr>
          <w:cantSplit/>
        </w:trPr>
        <w:tc>
          <w:tcPr>
            <w:tcW w:type="dxa" w:w="3240"/>
            <w:shd w:fill="F7F9FB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STL-ARIMA-LSTM</w:t>
            </w:r>
          </w:p>
        </w:tc>
        <w:tc>
          <w:tcPr>
            <w:tcW w:type="dxa" w:w="1526"/>
            <w:shd w:fill="F7F9FB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2,530</w:t>
            </w:r>
          </w:p>
        </w:tc>
        <w:tc>
          <w:tcPr>
            <w:tcW w:type="dxa" w:w="1526"/>
            <w:shd w:fill="F7F9FB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3,099</w:t>
            </w:r>
          </w:p>
        </w:tc>
        <w:tc>
          <w:tcPr>
            <w:tcW w:type="dxa" w:w="1526"/>
            <w:shd w:fill="F7F9FB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3,250</w:t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  <w:vertAlign w:val="superscript"/>
              </w:rPr>
              <w:t>†</w:t>
            </w:r>
          </w:p>
        </w:tc>
        <w:tc>
          <w:tcPr>
            <w:tcW w:type="dxa" w:w="1526"/>
            <w:shd w:fill="F7F9FB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5,269</w:t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  <w:vertAlign w:val="superscript"/>
              </w:rPr>
              <w:t>†</w:t>
            </w:r>
          </w:p>
        </w:tc>
      </w:tr>
      <w:tr>
        <w:trPr>
          <w:cantSplit/>
        </w:trPr>
        <w:tc>
          <w:tcPr>
            <w:tcW w:type="dxa" w:w="9405"/>
            <w:gridSpan w:val="5"/>
            <w:shd w:fill="F2F2F2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/>
                <w:color w:val="000000"/>
                <w:sz w:val="17"/>
              </w:rPr>
              <w:t>rSTL with one architecture</w:t>
            </w:r>
          </w:p>
        </w:tc>
      </w:tr>
      <w:tr>
        <w:trPr>
          <w:cantSplit/>
        </w:trPr>
        <w:tc>
          <w:tcPr>
            <w:tcW w:type="dxa" w:w="324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rSTL-TCN</w:t>
            </w:r>
          </w:p>
        </w:tc>
        <w:tc>
          <w:tcPr>
            <w:tcW w:type="dxa" w:w="152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2,308</w:t>
            </w:r>
          </w:p>
        </w:tc>
        <w:tc>
          <w:tcPr>
            <w:tcW w:type="dxa" w:w="152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2,451</w:t>
            </w:r>
          </w:p>
        </w:tc>
        <w:tc>
          <w:tcPr>
            <w:tcW w:type="dxa" w:w="152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2,557</w:t>
            </w:r>
          </w:p>
        </w:tc>
        <w:tc>
          <w:tcPr>
            <w:tcW w:type="dxa" w:w="152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4,905</w:t>
            </w:r>
          </w:p>
        </w:tc>
      </w:tr>
      <w:tr>
        <w:trPr>
          <w:cantSplit/>
        </w:trPr>
        <w:tc>
          <w:tcPr>
            <w:tcW w:type="dxa" w:w="3240"/>
            <w:shd w:fill="F7F9FB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rSTL-N-BEATS</w:t>
            </w:r>
          </w:p>
        </w:tc>
        <w:tc>
          <w:tcPr>
            <w:tcW w:type="dxa" w:w="1526"/>
            <w:shd w:fill="F7F9FB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2,653</w:t>
            </w:r>
          </w:p>
        </w:tc>
        <w:tc>
          <w:tcPr>
            <w:tcW w:type="dxa" w:w="1526"/>
            <w:shd w:fill="F7F9FB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2,609</w:t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  <w:vertAlign w:val="superscript"/>
              </w:rPr>
              <w:t>†</w:t>
            </w:r>
          </w:p>
        </w:tc>
        <w:tc>
          <w:tcPr>
            <w:tcW w:type="dxa" w:w="1526"/>
            <w:shd w:fill="F7F9FB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2,850</w:t>
            </w:r>
          </w:p>
        </w:tc>
        <w:tc>
          <w:tcPr>
            <w:tcW w:type="dxa" w:w="1526"/>
            <w:shd w:fill="F7F9FB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6,017</w:t>
            </w:r>
          </w:p>
        </w:tc>
      </w:tr>
      <w:tr>
        <w:trPr>
          <w:cantSplit/>
        </w:trPr>
        <w:tc>
          <w:tcPr>
            <w:tcW w:type="dxa" w:w="324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rSTL-GRU</w:t>
            </w:r>
          </w:p>
        </w:tc>
        <w:tc>
          <w:tcPr>
            <w:tcW w:type="dxa" w:w="152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2,191</w:t>
            </w:r>
          </w:p>
        </w:tc>
        <w:tc>
          <w:tcPr>
            <w:tcW w:type="dxa" w:w="152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2,917</w:t>
            </w:r>
          </w:p>
        </w:tc>
        <w:tc>
          <w:tcPr>
            <w:tcW w:type="dxa" w:w="152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2,894</w:t>
            </w:r>
          </w:p>
        </w:tc>
        <w:tc>
          <w:tcPr>
            <w:tcW w:type="dxa" w:w="152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4,930</w:t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  <w:vertAlign w:val="superscript"/>
              </w:rPr>
              <w:t>†</w:t>
            </w:r>
          </w:p>
        </w:tc>
      </w:tr>
      <w:tr>
        <w:trPr>
          <w:cantSplit/>
        </w:trPr>
        <w:tc>
          <w:tcPr>
            <w:tcW w:type="dxa" w:w="9405"/>
            <w:gridSpan w:val="5"/>
            <w:shd w:fill="F2F2F2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/>
                <w:color w:val="000000"/>
                <w:sz w:val="17"/>
              </w:rPr>
              <w:t>rSTL with deep ensemble (proposed)</w:t>
            </w:r>
          </w:p>
        </w:tc>
      </w:tr>
      <w:tr>
        <w:trPr>
          <w:cantSplit/>
        </w:trPr>
        <w:tc>
          <w:tcPr>
            <w:tcW w:type="dxa" w:w="3240"/>
            <w:shd w:fill="F7F9FB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rSTL-Auto</w:t>
            </w:r>
          </w:p>
        </w:tc>
        <w:tc>
          <w:tcPr>
            <w:tcW w:type="dxa" w:w="1526"/>
            <w:shd w:fill="F7F9FB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1,983</w:t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  <w:vertAlign w:val="superscript"/>
              </w:rPr>
              <w:t>†</w:t>
            </w:r>
          </w:p>
        </w:tc>
        <w:tc>
          <w:tcPr>
            <w:tcW w:type="dxa" w:w="1526"/>
            <w:shd w:fill="F7F9FB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2,547</w:t>
            </w:r>
          </w:p>
        </w:tc>
        <w:tc>
          <w:tcPr>
            <w:tcW w:type="dxa" w:w="1526"/>
            <w:shd w:fill="F7F9FB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2,246</w:t>
            </w:r>
          </w:p>
        </w:tc>
        <w:tc>
          <w:tcPr>
            <w:tcW w:type="dxa" w:w="1526"/>
            <w:shd w:fill="F7F9FB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4,536</w:t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  <w:vertAlign w:val="superscript"/>
              </w:rPr>
              <w:t>†</w:t>
            </w:r>
          </w:p>
        </w:tc>
      </w:tr>
      <w:tr>
        <w:trPr>
          <w:cantSplit/>
        </w:trPr>
        <w:tc>
          <w:tcPr>
            <w:tcW w:type="dxa" w:w="324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rSTL-EnsWgt</w:t>
            </w:r>
          </w:p>
        </w:tc>
        <w:tc>
          <w:tcPr>
            <w:tcW w:type="dxa" w:w="152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2,001</w:t>
            </w:r>
          </w:p>
        </w:tc>
        <w:tc>
          <w:tcPr>
            <w:tcW w:type="dxa" w:w="152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2,361</w:t>
            </w:r>
          </w:p>
        </w:tc>
        <w:tc>
          <w:tcPr>
            <w:tcW w:type="dxa" w:w="152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2,397</w:t>
            </w:r>
          </w:p>
        </w:tc>
        <w:tc>
          <w:tcPr>
            <w:tcW w:type="dxa" w:w="152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4,645</w:t>
            </w:r>
          </w:p>
        </w:tc>
      </w:tr>
      <w:tr>
        <w:trPr>
          <w:cantSplit/>
        </w:trPr>
        <w:tc>
          <w:tcPr>
            <w:tcW w:type="dxa" w:w="3240"/>
            <w:shd w:fill="F7F9FB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rSTL-EnsAvg</w:t>
            </w:r>
          </w:p>
        </w:tc>
        <w:tc>
          <w:tcPr>
            <w:tcW w:type="dxa" w:w="1526"/>
            <w:shd w:fill="F7F9FB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2,008</w:t>
            </w:r>
          </w:p>
        </w:tc>
        <w:tc>
          <w:tcPr>
            <w:tcW w:type="dxa" w:w="1526"/>
            <w:shd w:fill="F7F9FB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2,359</w:t>
            </w:r>
          </w:p>
        </w:tc>
        <w:tc>
          <w:tcPr>
            <w:tcW w:type="dxa" w:w="1526"/>
            <w:shd w:fill="F7F9FB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2,396</w:t>
            </w:r>
          </w:p>
        </w:tc>
        <w:tc>
          <w:tcPr>
            <w:tcW w:type="dxa" w:w="1526"/>
            <w:shd w:fill="F7F9FB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4,651</w:t>
            </w:r>
          </w:p>
        </w:tc>
      </w:tr>
      <w:tr>
        <w:trPr>
          <w:cantSplit/>
        </w:trPr>
        <w:tc>
          <w:tcPr>
            <w:tcW w:type="dxa" w:w="9405"/>
            <w:gridSpan w:val="5"/>
            <w:shd w:fill="F2F2F2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/>
                <w:color w:val="000000"/>
                <w:sz w:val="17"/>
              </w:rPr>
              <w:t>rSTL with classical hybrid</w:t>
            </w:r>
          </w:p>
        </w:tc>
      </w:tr>
      <w:tr>
        <w:trPr>
          <w:cantSplit/>
        </w:trPr>
        <w:tc>
          <w:tcPr>
            <w:tcW w:type="dxa" w:w="324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rSTL-ARIMA-LSTM</w:t>
            </w:r>
          </w:p>
        </w:tc>
        <w:tc>
          <w:tcPr>
            <w:tcW w:type="dxa" w:w="152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2,640</w:t>
            </w:r>
          </w:p>
        </w:tc>
        <w:tc>
          <w:tcPr>
            <w:tcW w:type="dxa" w:w="152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2,928</w:t>
            </w:r>
          </w:p>
        </w:tc>
        <w:tc>
          <w:tcPr>
            <w:tcW w:type="dxa" w:w="152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3,508</w:t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  <w:vertAlign w:val="superscript"/>
              </w:rPr>
              <w:t>†</w:t>
            </w:r>
          </w:p>
        </w:tc>
        <w:tc>
          <w:tcPr>
            <w:tcW w:type="dxa" w:w="152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7"/>
              </w:rPr>
              <w:t>5,452</w:t>
            </w: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6"/>
                <w:vertAlign w:val="superscript"/>
              </w:rPr>
              <w:t>†</w:t>
            </w:r>
          </w:p>
        </w:tc>
      </w:tr>
    </w:tbl>
    <w:p>
      <w:pPr>
        <w:spacing w:before="120" w:after="0"/>
        <w:jc w:val="left"/>
      </w:pPr>
      <w:r>
        <w:rPr>
          <w:rFonts w:ascii="Times New Roman" w:hAnsi="Times New Roman" w:eastAsia="Times New Roman" w:cs="Times New Roman"/>
          <w:color w:val="000000"/>
          <w:sz w:val="20"/>
        </w:rPr>
        <w:t>Values are means over ten random seeds during the 365-day test period. Bold indicates the lowest value in a column; † indicates membership in the Model Confidence Set (alpha = 0.10).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  <w:jc w:val="left"/>
    </w:pPr>
    <w:rPr>
      <w:rFonts w:ascii="Times New Roman" w:hAnsi="Times New Roman" w:eastAsia="Times New Roman" w:cs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3: Root mean squared error across forecast horizons</dc:title>
  <dc:subject>Separate table file for PeerJ Computer Science submission</dc:subject>
  <dc:creator>Tran Thai Hoa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