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6B727B"/>
          <w:sz w:val="17"/>
          <w:spacing w:val="24"/>
        </w:rPr>
        <w:t>PARTNERSHIP PROPOSAL · CONFIDENTIAL CONCEPT</w:t>
      </w:r>
      <w:r>
        <w:t xml:space="preserve">     </w:t>
      </w:r>
      <w:r>
        <w:rPr>
          <w:rFonts w:ascii="Calibri" w:hAnsi="Calibri"/>
          <w:b/>
          <w:i w:val="0"/>
          <w:color w:val="444A53"/>
          <w:sz w:val="17"/>
          <w:shd w:val="clear" w:color="auto" w:fill="ECEDEF"/>
        </w:rPr>
        <w:t xml:space="preserve">  Not an official AARP product  </w:t>
      </w:r>
    </w:p>
    <w:p>
      <w:pPr>
        <w:spacing w:before="80" w:after="120"/>
      </w:pPr>
      <w:r>
        <w:rPr>
          <w:rFonts w:ascii="Calibri" w:hAnsi="Calibri"/>
          <w:b/>
          <w:i w:val="0"/>
          <w:color w:val="1A1A1A"/>
          <w:sz w:val="44"/>
        </w:rPr>
        <w:t>Parigrado × AARP: unbiased hospital quality for the 50+ community</w:t>
      </w:r>
    </w:p>
    <w:p>
      <w:pPr>
        <w:spacing w:after="160"/>
      </w:pPr>
      <w:r>
        <w:rPr>
          <w:rFonts w:ascii="Calibri" w:hAnsi="Calibri"/>
          <w:b w:val="0"/>
          <w:i w:val="0"/>
          <w:color w:val="444A53"/>
          <w:sz w:val="23"/>
        </w:rPr>
        <w:t>A member-first tool that turns the government's own CMS and CDC data into a clear, side-by-side hospital comparison — no advertising, no sponsorships, no pay-to-rank lists. White-labeled under AARP chrome, it extends AARP's health-empowerment mission to one of the highest-stakes decisions members make: where to get care.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2FB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4" w:space="0" w:color="EAF2FB"/>
              <w:bottom w:val="single" w:sz="4" w:space="0" w:color="EAF2FB"/>
              <w:right w:val="single" w:sz="4" w:space="0" w:color="EAF2FB"/>
              <w:left w:val="single" w:sz="24" w:space="0" w:color="2F6FB0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i w:val="0"/>
                <w:color w:val="1F4E79"/>
                <w:sz w:val="22"/>
              </w:rPr>
              <w:t>The ask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44A53"/>
                <w:sz w:val="21"/>
              </w:rPr>
              <w:t>A 90-day, 2–3 state co-branded pilot embedding Parigrado inside AARP's member health resources. Low lift for AARP (embed + brand assets), fully operated by Parigrado, with clear engagement and member-value metrics before any national rollout.</w:t>
            </w:r>
          </w:p>
        </w:tc>
      </w:tr>
    </w:tbl>
    <w:p>
      <w:pPr>
        <w:spacing w:before="0" w:after="80" w:line="240" w:lineRule="auto"/>
      </w:pPr>
    </w:p>
    <w:p>
      <w:pPr>
        <w:spacing w:after="40" w:before="40"/>
      </w:pPr>
      <w:r>
        <w:rPr>
          <w:rFonts w:ascii="Calibri" w:hAnsi="Calibri"/>
          <w:b/>
          <w:i w:val="0"/>
          <w:color w:val="6B727B"/>
          <w:sz w:val="17"/>
          <w:spacing w:val="24"/>
        </w:rPr>
        <w:t>WHY THIS MATTERS NOW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FBF2F3"/>
            <w:tcMar>
              <w:top w:w="140" w:type="dxa"/>
              <w:bottom w:w="2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8102E"/>
                <w:sz w:val="34"/>
              </w:rPr>
              <w:t>100M+</w:t>
            </w:r>
          </w:p>
        </w:tc>
        <w:tc>
          <w:tcPr>
            <w:tcW w:type="dxa" w:w="2412"/>
            <w:shd w:val="clear" w:color="auto" w:fill="FBF2F3"/>
            <w:tcMar>
              <w:top w:w="140" w:type="dxa"/>
              <w:bottom w:w="2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8102E"/>
                <w:sz w:val="34"/>
              </w:rPr>
              <w:t>~38M</w:t>
            </w:r>
          </w:p>
        </w:tc>
        <w:tc>
          <w:tcPr>
            <w:tcW w:type="dxa" w:w="2412"/>
            <w:shd w:val="clear" w:color="auto" w:fill="FBF2F3"/>
            <w:tcMar>
              <w:top w:w="140" w:type="dxa"/>
              <w:bottom w:w="2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8102E"/>
                <w:sz w:val="34"/>
              </w:rPr>
              <w:t>4</w:t>
            </w:r>
          </w:p>
        </w:tc>
        <w:tc>
          <w:tcPr>
            <w:tcW w:type="dxa" w:w="2412"/>
            <w:shd w:val="clear" w:color="auto" w:fill="FBF2F3"/>
            <w:tcMar>
              <w:top w:w="140" w:type="dxa"/>
              <w:bottom w:w="2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E6B3B"/>
                <w:sz w:val="34"/>
              </w:rPr>
              <w:t>$0</w:t>
            </w:r>
          </w:p>
        </w:tc>
      </w:tr>
      <w:tr>
        <w:tc>
          <w:tcPr>
            <w:tcW w:type="dxa" w:w="2412"/>
            <w:shd w:val="clear" w:color="auto" w:fill="FBF2F3"/>
            <w:tcMar>
              <w:top w:w="0" w:type="dxa"/>
              <w:bottom w:w="12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6B727B"/>
                <w:sz w:val="18"/>
              </w:rPr>
              <w:t>US adults age 50+</w:t>
            </w:r>
          </w:p>
        </w:tc>
        <w:tc>
          <w:tcPr>
            <w:tcW w:type="dxa" w:w="2412"/>
            <w:shd w:val="clear" w:color="auto" w:fill="FBF2F3"/>
            <w:tcMar>
              <w:top w:w="0" w:type="dxa"/>
              <w:bottom w:w="12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6B727B"/>
                <w:sz w:val="18"/>
              </w:rPr>
              <w:t>AARP members</w:t>
            </w:r>
          </w:p>
        </w:tc>
        <w:tc>
          <w:tcPr>
            <w:tcW w:type="dxa" w:w="2412"/>
            <w:shd w:val="clear" w:color="auto" w:fill="FBF2F3"/>
            <w:tcMar>
              <w:top w:w="0" w:type="dxa"/>
              <w:bottom w:w="12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6B727B"/>
                <w:sz w:val="18"/>
              </w:rPr>
              <w:t>Public federal data sources</w:t>
            </w:r>
          </w:p>
        </w:tc>
        <w:tc>
          <w:tcPr>
            <w:tcW w:type="dxa" w:w="2412"/>
            <w:shd w:val="clear" w:color="auto" w:fill="FBF2F3"/>
            <w:tcMar>
              <w:top w:w="0" w:type="dxa"/>
              <w:bottom w:w="12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6B727B"/>
                <w:sz w:val="18"/>
              </w:rPr>
              <w:t>Paid rankings / ad influence</w:t>
            </w:r>
          </w:p>
        </w:tc>
      </w:tr>
    </w:tbl>
    <w:p>
      <w:pPr>
        <w:spacing w:before="0" w:after="80" w:line="240" w:lineRule="auto"/>
      </w:pPr>
    </w:p>
    <w:p>
      <w:pPr>
        <w:spacing w:after="80"/>
      </w:pPr>
      <w:r>
        <w:rPr>
          <w:rFonts w:ascii="Calibri" w:hAnsi="Calibri"/>
          <w:b w:val="0"/>
          <w:i w:val="0"/>
          <w:color w:val="6B727B"/>
          <w:sz w:val="17"/>
        </w:rPr>
        <w:t>Population and membership figures are approximate, publicly reported values (U.S. Census; AARP public statements) shown for context, not as guarantees.</w:t>
      </w:r>
    </w:p>
    <w:p>
      <w:pPr>
        <w:spacing w:before="320" w:after="80"/>
        <w:pBdr>
          <w:bottom w:val="single" w:sz="6" w:space="4" w:color="E6C3C9"/>
        </w:pBdr>
      </w:pPr>
      <w:r>
        <w:rPr>
          <w:rFonts w:ascii="Calibri" w:hAnsi="Calibri"/>
          <w:b/>
          <w:i w:val="0"/>
          <w:color w:val="C8102E"/>
          <w:sz w:val="30"/>
        </w:rPr>
        <w:t>Why AARP — and the member value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space="0" w:color="FFFFFF"/>
          <w:left w:val="single" w:sz="14" w:space="0" w:color="FFFFFF"/>
          <w:bottom w:val="single" w:sz="14" w:space="0" w:color="FFFFFF"/>
          <w:right w:val="single" w:sz="14" w:space="0" w:color="FFFFFF"/>
          <w:insideH w:val="single" w:sz="14" w:space="0" w:color="FFFFFF"/>
          <w:insideV w:val="single" w:sz="14" w:space="0" w:color="FFFFFF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7F7F8"/>
            <w:vAlign w:val="top"/>
            <w:tcMar>
              <w:top w:w="120" w:type="dxa"/>
              <w:bottom w:w="140" w:type="dxa"/>
              <w:start w:w="14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C8102E"/>
                <w:sz w:val="21"/>
              </w:rPr>
              <w:t>Mission fit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44A53"/>
                <w:sz w:val="20"/>
              </w:rPr>
              <w:t>Choosing a hospital is one of the most consequential — and most confusing — decisions a 50+ member faces. Parigrado gives them facts, not marketing, which is squarely on AARP's consumer-empowerment mission.</w:t>
            </w:r>
          </w:p>
        </w:tc>
        <w:tc>
          <w:tcPr>
            <w:tcW w:type="dxa" w:w="3216"/>
            <w:shd w:val="clear" w:color="auto" w:fill="F7F7F8"/>
            <w:vAlign w:val="top"/>
            <w:tcMar>
              <w:top w:w="120" w:type="dxa"/>
              <w:bottom w:w="140" w:type="dxa"/>
              <w:start w:w="14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C8102E"/>
                <w:sz w:val="21"/>
              </w:rPr>
              <w:t>Trust, protected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44A53"/>
                <w:sz w:val="20"/>
              </w:rPr>
              <w:t>Every score comes from CMS and CDC. Nothing is for sale — no hospital can pay to rank higher. That editorial independence protects AARP's brand equity around objectivity.</w:t>
            </w:r>
          </w:p>
        </w:tc>
        <w:tc>
          <w:tcPr>
            <w:tcW w:type="dxa" w:w="3216"/>
            <w:shd w:val="clear" w:color="auto" w:fill="F7F7F8"/>
            <w:vAlign w:val="top"/>
            <w:tcMar>
              <w:top w:w="120" w:type="dxa"/>
              <w:bottom w:w="140" w:type="dxa"/>
              <w:start w:w="14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C8102E"/>
                <w:sz w:val="21"/>
              </w:rPr>
              <w:t>Engagement + retention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44A53"/>
                <w:sz w:val="20"/>
              </w:rPr>
              <w:t>A genuinely useful, sticky utility gives members a reason to return and reinforces the value of membership — measurable through sessions, comparisons, and repeat use.</w:t>
            </w:r>
          </w:p>
        </w:tc>
      </w:tr>
    </w:tbl>
    <w:p>
      <w:pPr>
        <w:spacing w:before="0" w:after="80" w:line="240" w:lineRule="auto"/>
      </w:pPr>
    </w:p>
    <w:p>
      <w:pPr>
        <w:spacing w:before="320" w:after="80"/>
        <w:pBdr>
          <w:bottom w:val="single" w:sz="6" w:space="4" w:color="E6C3C9"/>
        </w:pBdr>
      </w:pPr>
      <w:r>
        <w:rPr>
          <w:rFonts w:ascii="Calibri" w:hAnsi="Calibri"/>
          <w:b/>
          <w:i w:val="0"/>
          <w:color w:val="C8102E"/>
          <w:sz w:val="30"/>
        </w:rPr>
        <w:t>What Parigrado is — in one screen</w:t>
      </w:r>
    </w:p>
    <w:p>
      <w:pPr>
        <w:spacing w:after="120"/>
      </w:pPr>
      <w:r>
        <w:rPr>
          <w:rFonts w:ascii="Calibri" w:hAnsi="Calibri"/>
          <w:b w:val="0"/>
          <w:i w:val="0"/>
          <w:color w:val="444A53"/>
          <w:sz w:val="22"/>
        </w:rPr>
        <w:t>Search any Medicare-certified hospital and instantly see how it compares to its county, state, and national peers on the measures that matter to patients.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6" w:space="0" w:color="FFFFFF"/>
          <w:left w:val="single" w:sz="16" w:space="0" w:color="FFFFFF"/>
          <w:bottom w:val="single" w:sz="16" w:space="0" w:color="FFFFFF"/>
          <w:right w:val="single" w:sz="16" w:space="0" w:color="FFFFFF"/>
          <w:insideH w:val="single" w:sz="16" w:space="0" w:color="FFFFFF"/>
          <w:insideV w:val="single" w:sz="16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vAlign w:val="top"/>
            <w:tcMar>
              <w:top w:w="0" w:type="dxa"/>
              <w:bottom w:w="0" w:type="dxa"/>
              <w:start w:w="0" w:type="dxa"/>
              <w:end w:w="18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i w:val="0"/>
                <w:color w:val="1A1A1A"/>
                <w:sz w:val="24"/>
              </w:rPr>
              <w:t>What members see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E2E4E8"/>
                <w:left w:val="single" w:sz="4" w:space="0" w:color="E2E4E8"/>
                <w:bottom w:val="single" w:sz="4" w:space="0" w:color="E2E4E8"/>
                <w:right w:val="single" w:sz="4" w:space="0" w:color="E2E4E8"/>
                <w:insideH w:val="single" w:sz="4" w:space="0" w:color="E2E4E8"/>
                <w:insideV w:val="single" w:sz="4" w:space="0" w:color="E2E4E8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2412"/>
                  <w:shd w:val="clear" w:color="auto" w:fill="C8102E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Measure area</w:t>
                  </w:r>
                </w:p>
              </w:tc>
              <w:tc>
                <w:tcPr>
                  <w:tcW w:type="dxa" w:w="2412"/>
                  <w:shd w:val="clear" w:color="auto" w:fill="C8102E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Source</w:t>
                  </w:r>
                </w:p>
              </w:tc>
            </w:tr>
            <w:tr>
              <w:tc>
                <w:tcPr>
                  <w:tcW w:type="dxa" w:w="2412"/>
                  <w:shd w:val="clear" w:color="auto" w:fill="FFFFFF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18"/>
                    </w:rPr>
                    <w:t>Patient experience (HCAHPS)</w:t>
                  </w:r>
                </w:p>
              </w:tc>
              <w:tc>
                <w:tcPr>
                  <w:tcW w:type="dxa" w:w="2412"/>
                  <w:shd w:val="clear" w:color="auto" w:fill="FFFFFF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18"/>
                    </w:rPr>
                    <w:t>CMS Hospital Compare</w:t>
                  </w:r>
                </w:p>
              </w:tc>
            </w:tr>
            <w:tr>
              <w:tc>
                <w:tcPr>
                  <w:tcW w:type="dxa" w:w="2412"/>
                  <w:shd w:val="clear" w:color="auto" w:fill="F7F8FA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18"/>
                    </w:rPr>
                    <w:t>Healthcare-associated infections</w:t>
                  </w:r>
                </w:p>
              </w:tc>
              <w:tc>
                <w:tcPr>
                  <w:tcW w:type="dxa" w:w="2412"/>
                  <w:shd w:val="clear" w:color="auto" w:fill="F7F8FA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18"/>
                    </w:rPr>
                    <w:t>CDC NHSN via CMS</w:t>
                  </w:r>
                </w:p>
              </w:tc>
            </w:tr>
            <w:tr>
              <w:tc>
                <w:tcPr>
                  <w:tcW w:type="dxa" w:w="2412"/>
                  <w:shd w:val="clear" w:color="auto" w:fill="FFFFFF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18"/>
                    </w:rPr>
                    <w:t>30-day readmissions (HRRP)</w:t>
                  </w:r>
                </w:p>
              </w:tc>
              <w:tc>
                <w:tcPr>
                  <w:tcW w:type="dxa" w:w="2412"/>
                  <w:shd w:val="clear" w:color="auto" w:fill="FFFFFF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18"/>
                    </w:rPr>
                    <w:t>CMS</w:t>
                  </w:r>
                </w:p>
              </w:tc>
            </w:tr>
            <w:tr>
              <w:tc>
                <w:tcPr>
                  <w:tcW w:type="dxa" w:w="2412"/>
                  <w:shd w:val="clear" w:color="auto" w:fill="F7F8FA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18"/>
                    </w:rPr>
                    <w:t>Year-over-year trends (2019–2026)</w:t>
                  </w:r>
                </w:p>
              </w:tc>
              <w:tc>
                <w:tcPr>
                  <w:tcW w:type="dxa" w:w="2412"/>
                  <w:shd w:val="clear" w:color="auto" w:fill="F7F8FA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18"/>
                    </w:rPr>
                    <w:t>CMS archived snapshots</w:t>
                  </w:r>
                </w:p>
              </w:tc>
            </w:tr>
          </w:tbl>
          <w:p/>
        </w:tc>
        <w:tc>
          <w:tcPr>
            <w:tcW w:type="dxa" w:w="4824"/>
            <w:vAlign w:val="top"/>
            <w:tcMar>
              <w:top w:w="0" w:type="dxa"/>
              <w:bottom w:w="0" w:type="dxa"/>
              <w:start w:w="180" w:type="dxa"/>
              <w:end w:w="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i w:val="0"/>
                <w:color w:val="1A1A1A"/>
                <w:sz w:val="24"/>
              </w:rPr>
              <w:t>How it feels</w:t>
            </w:r>
          </w:p>
          <w:p>
            <w:pPr>
              <w:spacing w:after="120"/>
            </w:pPr>
            <w:r>
              <w:rPr>
                <w:rFonts w:ascii="Calibri" w:hAnsi="Calibri"/>
                <w:b w:val="0"/>
                <w:i w:val="0"/>
                <w:color w:val="444A53"/>
                <w:sz w:val="21"/>
              </w:rPr>
              <w:t>Clean, large-type, plain-language comparisons designed for a 50+ audience — county, state, and national benchmarks side by side, exportable to PDF/CSV, shareable with family or a physician. Fully re-skinned in AARP red under AARP chrome.</w:t>
            </w:r>
          </w:p>
          <w:p>
            <w:pPr>
              <w:spacing w:before="80"/>
            </w:pPr>
            <w:r>
              <w:rPr>
                <w:rFonts w:ascii="Calibri" w:hAnsi="Calibri"/>
                <w:b/>
                <w:i w:val="0"/>
                <w:color w:val="444A53"/>
                <w:sz w:val="17"/>
                <w:shd w:val="clear" w:color="auto" w:fill="ECEDEF"/>
              </w:rPr>
              <w:t xml:space="preserve">  Peer benchmarking  </w:t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 xml:space="preserve"> </w:t>
            </w:r>
            <w:r>
              <w:rPr>
                <w:rFonts w:ascii="Calibri" w:hAnsi="Calibri"/>
                <w:b/>
                <w:i w:val="0"/>
                <w:color w:val="444A53"/>
                <w:sz w:val="17"/>
                <w:shd w:val="clear" w:color="auto" w:fill="ECEDEF"/>
              </w:rPr>
              <w:t xml:space="preserve">  PDF / CSV export  </w:t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 xml:space="preserve"> </w:t>
            </w:r>
            <w:r>
              <w:rPr>
                <w:rFonts w:ascii="Calibri" w:hAnsi="Calibri"/>
                <w:b/>
                <w:i w:val="0"/>
                <w:color w:val="444A53"/>
                <w:sz w:val="17"/>
                <w:shd w:val="clear" w:color="auto" w:fill="ECEDEF"/>
              </w:rPr>
              <w:t xml:space="preserve">  Shareable links  </w:t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 xml:space="preserve"> </w:t>
            </w:r>
            <w:r>
              <w:rPr>
                <w:rFonts w:ascii="Calibri" w:hAnsi="Calibri"/>
                <w:b/>
                <w:i w:val="0"/>
                <w:color w:val="444A53"/>
                <w:sz w:val="17"/>
                <w:shd w:val="clear" w:color="auto" w:fill="ECEDEF"/>
              </w:rPr>
              <w:t xml:space="preserve">  Historical trends  </w:t>
            </w:r>
            <w:r>
              <w:rPr>
                <w:rFonts w:ascii="Calibri" w:hAnsi="Calibri"/>
                <w:b w:val="0"/>
                <w:i w:val="0"/>
                <w:color w:val="1A1A1A"/>
                <w:sz w:val="17"/>
              </w:rPr>
              <w:t xml:space="preserve"> </w:t>
            </w:r>
          </w:p>
        </w:tc>
      </w:tr>
    </w:tbl>
    <w:p>
      <w:pPr>
        <w:spacing w:before="0" w:after="80" w:line="240" w:lineRule="auto"/>
      </w:pPr>
    </w:p>
    <w:p>
      <w:pPr>
        <w:spacing w:before="320" w:after="80"/>
        <w:pBdr>
          <w:bottom w:val="single" w:sz="6" w:space="4" w:color="E6C3C9"/>
        </w:pBdr>
      </w:pPr>
      <w:r>
        <w:rPr>
          <w:rFonts w:ascii="Calibri" w:hAnsi="Calibri"/>
          <w:b/>
          <w:i w:val="0"/>
          <w:color w:val="C8102E"/>
          <w:sz w:val="30"/>
        </w:rPr>
        <w:t>Partnership models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4E8"/>
          <w:left w:val="single" w:sz="4" w:space="0" w:color="E2E4E8"/>
          <w:bottom w:val="single" w:sz="4" w:space="0" w:color="E2E4E8"/>
          <w:right w:val="single" w:sz="4" w:space="0" w:color="E2E4E8"/>
          <w:insideH w:val="single" w:sz="4" w:space="0" w:color="E2E4E8"/>
          <w:insideV w:val="single" w:sz="4" w:space="0" w:color="E2E4E8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1930"/>
            <w:shd w:val="clear" w:color="auto" w:fill="C8102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4438"/>
            <w:shd w:val="clear" w:color="auto" w:fill="C8102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is</w:t>
            </w:r>
          </w:p>
        </w:tc>
        <w:tc>
          <w:tcPr>
            <w:tcW w:type="dxa" w:w="1544"/>
            <w:shd w:val="clear" w:color="auto" w:fill="C8102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AARP lift</w:t>
            </w:r>
          </w:p>
        </w:tc>
        <w:tc>
          <w:tcPr>
            <w:tcW w:type="dxa" w:w="1737"/>
            <w:shd w:val="clear" w:color="auto" w:fill="C8102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Fit</w:t>
            </w:r>
          </w:p>
        </w:tc>
      </w:tr>
      <w:tr>
        <w:tc>
          <w:tcPr>
            <w:tcW w:type="dxa" w:w="193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Embed / white-label</w:t>
            </w:r>
          </w:p>
        </w:tc>
        <w:tc>
          <w:tcPr>
            <w:tcW w:type="dxa" w:w="443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AARP-branded Parigrado embedded in member health pages via link or iframe.</w:t>
            </w:r>
          </w:p>
        </w:tc>
        <w:tc>
          <w:tcPr>
            <w:tcW w:type="dxa" w:w="154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Low</w:t>
            </w:r>
          </w:p>
        </w:tc>
        <w:tc>
          <w:tcPr>
            <w:tcW w:type="dxa" w:w="1737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8102E"/>
                <w:sz w:val="20"/>
              </w:rPr>
              <w:t>Preferred</w:t>
            </w:r>
          </w:p>
        </w:tc>
      </w:tr>
      <w:tr>
        <w:tc>
          <w:tcPr>
            <w:tcW w:type="dxa" w:w="1930"/>
            <w:shd w:val="clear" w:color="auto" w:fill="F7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Licensed co-brand</w:t>
            </w:r>
          </w:p>
        </w:tc>
        <w:tc>
          <w:tcPr>
            <w:tcW w:type="dxa" w:w="4438"/>
            <w:shd w:val="clear" w:color="auto" w:fill="F7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Deeper integration: AARP nav, SSO for members, co-branded reports and content.</w:t>
            </w:r>
          </w:p>
        </w:tc>
        <w:tc>
          <w:tcPr>
            <w:tcW w:type="dxa" w:w="1544"/>
            <w:shd w:val="clear" w:color="auto" w:fill="F7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Medium</w:t>
            </w:r>
          </w:p>
        </w:tc>
        <w:tc>
          <w:tcPr>
            <w:tcW w:type="dxa" w:w="1737"/>
            <w:shd w:val="clear" w:color="auto" w:fill="F7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Phase 2</w:t>
            </w:r>
          </w:p>
        </w:tc>
      </w:tr>
      <w:tr>
        <w:tc>
          <w:tcPr>
            <w:tcW w:type="dxa" w:w="193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Pilot → national</w:t>
            </w:r>
          </w:p>
        </w:tc>
        <w:tc>
          <w:tcPr>
            <w:tcW w:type="dxa" w:w="4438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Staged rollout: prove value in 2–3 states, then expand nationally with SLAs.</w:t>
            </w:r>
          </w:p>
        </w:tc>
        <w:tc>
          <w:tcPr>
            <w:tcW w:type="dxa" w:w="154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Low → scaling</w:t>
            </w:r>
          </w:p>
        </w:tc>
        <w:tc>
          <w:tcPr>
            <w:tcW w:type="dxa" w:w="1737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Recommended path</w:t>
            </w:r>
          </w:p>
        </w:tc>
      </w:tr>
    </w:tbl>
    <w:p>
      <w:pPr>
        <w:spacing w:before="0" w:after="80" w:line="240" w:lineRule="auto"/>
      </w:pPr>
    </w:p>
    <w:p>
      <w:pPr>
        <w:spacing w:after="80"/>
      </w:pPr>
      <w:r>
        <w:rPr>
          <w:rFonts w:ascii="Calibri" w:hAnsi="Calibri"/>
          <w:b w:val="0"/>
          <w:i w:val="0"/>
          <w:color w:val="6B727B"/>
          <w:sz w:val="17"/>
        </w:rPr>
        <w:t>Recommended path: start with the embed/white-label pilot, graduate to a licensed co-brand once engagement is proven.</w:t>
      </w:r>
    </w:p>
    <w:p>
      <w:pPr>
        <w:spacing w:before="320" w:after="80"/>
        <w:pBdr>
          <w:bottom w:val="single" w:sz="6" w:space="4" w:color="E6C3C9"/>
        </w:pBdr>
      </w:pPr>
      <w:r>
        <w:rPr>
          <w:rFonts w:ascii="Calibri" w:hAnsi="Calibri"/>
          <w:b/>
          <w:i w:val="0"/>
          <w:color w:val="C8102E"/>
          <w:sz w:val="30"/>
        </w:rPr>
        <w:t>Proposed commercial structure</w:t>
      </w:r>
    </w:p>
    <w:p>
      <w:pPr>
        <w:spacing w:after="120"/>
      </w:pPr>
      <w:r>
        <w:rPr>
          <w:rFonts w:ascii="Calibri" w:hAnsi="Calibri"/>
          <w:b w:val="0"/>
          <w:i w:val="0"/>
          <w:color w:val="444A53"/>
          <w:sz w:val="22"/>
        </w:rPr>
        <w:t>Indicative ranges for a B2B2C content-licensing arrangement — subject to scope, states, and integration depth. Structured so AARP pays for a proven utility, not a science project.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4E8"/>
          <w:left w:val="single" w:sz="4" w:space="0" w:color="E2E4E8"/>
          <w:bottom w:val="single" w:sz="4" w:space="0" w:color="E2E4E8"/>
          <w:right w:val="single" w:sz="4" w:space="0" w:color="E2E4E8"/>
          <w:insideH w:val="single" w:sz="4" w:space="0" w:color="E2E4E8"/>
          <w:insideV w:val="single" w:sz="4" w:space="0" w:color="E2E4E8"/>
        </w:tblBorders>
      </w:tblPr>
      <w:tblGrid>
        <w:gridCol w:w="3216"/>
        <w:gridCol w:w="3216"/>
        <w:gridCol w:w="3216"/>
      </w:tblGrid>
      <w:tr>
        <w:tc>
          <w:tcPr>
            <w:tcW w:type="dxa" w:w="3280"/>
            <w:shd w:val="clear" w:color="auto" w:fill="C8102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3473"/>
            <w:shd w:val="clear" w:color="auto" w:fill="C8102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Structure</w:t>
            </w:r>
          </w:p>
        </w:tc>
        <w:tc>
          <w:tcPr>
            <w:tcW w:type="dxa" w:w="2894"/>
            <w:shd w:val="clear" w:color="auto" w:fill="C8102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Indicative range</w:t>
            </w:r>
          </w:p>
        </w:tc>
      </w:tr>
      <w:tr>
        <w:tc>
          <w:tcPr>
            <w:tcW w:type="dxa" w:w="3280"/>
            <w:shd w:val="clear" w:color="auto" w:fill="EAF2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90-day pilot (2–3 states)</w:t>
            </w:r>
          </w:p>
        </w:tc>
        <w:tc>
          <w:tcPr>
            <w:tcW w:type="dxa" w:w="3473"/>
            <w:shd w:val="clear" w:color="auto" w:fill="EAF2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Flat build + operate fee</w:t>
            </w:r>
          </w:p>
        </w:tc>
        <w:tc>
          <w:tcPr>
            <w:tcW w:type="dxa" w:w="2894"/>
            <w:shd w:val="clear" w:color="auto" w:fill="EAF2FB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$40k – $75k</w:t>
            </w:r>
          </w:p>
        </w:tc>
      </w:tr>
      <w:tr>
        <w:tc>
          <w:tcPr>
            <w:tcW w:type="dxa" w:w="3280"/>
            <w:shd w:val="clear" w:color="auto" w:fill="F7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National white-label license</w:t>
            </w:r>
          </w:p>
        </w:tc>
        <w:tc>
          <w:tcPr>
            <w:tcW w:type="dxa" w:w="3473"/>
            <w:shd w:val="clear" w:color="auto" w:fill="F7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Annual platform license</w:t>
            </w:r>
          </w:p>
        </w:tc>
        <w:tc>
          <w:tcPr>
            <w:tcW w:type="dxa" w:w="2894"/>
            <w:shd w:val="clear" w:color="auto" w:fill="F7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$250k – $600k / yr</w:t>
            </w:r>
          </w:p>
        </w:tc>
      </w:tr>
      <w:tr>
        <w:tc>
          <w:tcPr>
            <w:tcW w:type="dxa" w:w="328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Co-brand deep integration</w:t>
            </w:r>
          </w:p>
        </w:tc>
        <w:tc>
          <w:tcPr>
            <w:tcW w:type="dxa" w:w="3473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License + SSO/custom scope</w:t>
            </w:r>
          </w:p>
        </w:tc>
        <w:tc>
          <w:tcPr>
            <w:tcW w:type="dxa" w:w="289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+ $75k – $150k one-time</w:t>
            </w:r>
          </w:p>
        </w:tc>
      </w:tr>
      <w:tr>
        <w:tc>
          <w:tcPr>
            <w:tcW w:type="dxa" w:w="3280"/>
            <w:shd w:val="clear" w:color="auto" w:fill="EAF6E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Ongoing data ops &amp; support</w:t>
            </w:r>
          </w:p>
        </w:tc>
        <w:tc>
          <w:tcPr>
            <w:tcW w:type="dxa" w:w="3473"/>
            <w:shd w:val="clear" w:color="auto" w:fill="EAF6E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Included in license</w:t>
            </w:r>
          </w:p>
        </w:tc>
        <w:tc>
          <w:tcPr>
            <w:tcW w:type="dxa" w:w="2894"/>
            <w:shd w:val="clear" w:color="auto" w:fill="EAF6E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Bundled</w:t>
            </w:r>
          </w:p>
        </w:tc>
      </w:tr>
      <w:tr>
        <w:tc>
          <w:tcPr>
            <w:tcW w:type="dxa" w:w="3280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Custom feature development</w:t>
            </w:r>
          </w:p>
        </w:tc>
        <w:tc>
          <w:tcPr>
            <w:tcW w:type="dxa" w:w="3473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Time &amp; materials</w:t>
            </w:r>
          </w:p>
        </w:tc>
        <w:tc>
          <w:tcPr>
            <w:tcW w:type="dxa" w:w="289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$150 – $200 / hr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2F3F5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4" w:space="0" w:color="F2F3F5"/>
              <w:bottom w:val="single" w:sz="4" w:space="0" w:color="F2F3F5"/>
              <w:right w:val="single" w:sz="4" w:space="0" w:color="F2F3F5"/>
              <w:left w:val="single" w:sz="24" w:space="0" w:color="B9BEC6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444A53"/>
                <w:sz w:val="21"/>
              </w:rPr>
              <w:t>Alternative structures welcome — e.g. per-engagement or per-member tiers, or a grant-funded public-good model given the consumer-protection angle.</w:t>
            </w:r>
          </w:p>
        </w:tc>
      </w:tr>
    </w:tbl>
    <w:p>
      <w:pPr>
        <w:spacing w:before="0" w:after="80" w:line="240" w:lineRule="auto"/>
      </w:pPr>
    </w:p>
    <w:p>
      <w:pPr>
        <w:spacing w:before="320" w:after="80"/>
        <w:pBdr>
          <w:bottom w:val="single" w:sz="6" w:space="4" w:color="E6C3C9"/>
        </w:pBdr>
      </w:pPr>
      <w:r>
        <w:rPr>
          <w:rFonts w:ascii="Calibri" w:hAnsi="Calibri"/>
          <w:b/>
          <w:i w:val="0"/>
          <w:color w:val="C8102E"/>
          <w:sz w:val="30"/>
        </w:rPr>
        <w:t>90-day pilot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space="0" w:color="FFFFFF"/>
          <w:left w:val="single" w:sz="14" w:space="0" w:color="FFFFFF"/>
          <w:bottom w:val="single" w:sz="14" w:space="0" w:color="FFFFFF"/>
          <w:right w:val="single" w:sz="14" w:space="0" w:color="FFFFFF"/>
          <w:insideH w:val="single" w:sz="14" w:space="0" w:color="FFFFFF"/>
          <w:insideV w:val="single" w:sz="14" w:space="0" w:color="FFFFFF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F7F7F8"/>
            <w:vAlign w:val="top"/>
            <w:tcMar>
              <w:top w:w="120" w:type="dxa"/>
              <w:bottom w:w="140" w:type="dxa"/>
              <w:start w:w="14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C8102E"/>
                <w:sz w:val="21"/>
              </w:rPr>
              <w:t>Weeks 1–2 · Stand up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44A53"/>
                <w:sz w:val="20"/>
              </w:rPr>
              <w:t>Sign scope + brand license. AARP delivers licensed logo/color assets. Parigrado configures the white-label partner and embed. Legal reviews disclaimers.</w:t>
            </w:r>
          </w:p>
        </w:tc>
        <w:tc>
          <w:tcPr>
            <w:tcW w:type="dxa" w:w="3216"/>
            <w:shd w:val="clear" w:color="auto" w:fill="F7F7F8"/>
            <w:vAlign w:val="top"/>
            <w:tcMar>
              <w:top w:w="120" w:type="dxa"/>
              <w:bottom w:w="140" w:type="dxa"/>
              <w:start w:w="14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C8102E"/>
                <w:sz w:val="21"/>
              </w:rPr>
              <w:t>Weeks 3–8 · Soft launch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44A53"/>
                <w:sz w:val="20"/>
              </w:rPr>
              <w:t>Launch to members in 2–3 high-50+ states (e.g. Florida, Arizona, Texas). Promote via a member newsletter segment. Monitor usage and gather feedback.</w:t>
            </w:r>
          </w:p>
        </w:tc>
        <w:tc>
          <w:tcPr>
            <w:tcW w:type="dxa" w:w="3216"/>
            <w:shd w:val="clear" w:color="auto" w:fill="F7F7F8"/>
            <w:vAlign w:val="top"/>
            <w:tcMar>
              <w:top w:w="120" w:type="dxa"/>
              <w:bottom w:w="140" w:type="dxa"/>
              <w:start w:w="140" w:type="dxa"/>
              <w:end w:w="14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C8102E"/>
                <w:sz w:val="21"/>
              </w:rPr>
              <w:t>Weeks 9–12 · Measure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44A53"/>
                <w:sz w:val="20"/>
              </w:rPr>
              <w:t>Review engagement against targets, run a member sentiment pulse, and produce a go / no-go readout with a national rollout plan and pricing.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60"/>
      </w:pPr>
      <w:r>
        <w:rPr>
          <w:rFonts w:ascii="Calibri" w:hAnsi="Calibri"/>
          <w:b/>
          <w:i w:val="0"/>
          <w:color w:val="1A1A1A"/>
          <w:sz w:val="24"/>
        </w:rPr>
        <w:t>Success metrics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FBF2F3"/>
            <w:tcMar>
              <w:top w:w="140" w:type="dxa"/>
              <w:bottom w:w="2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8102E"/>
                <w:sz w:val="26"/>
              </w:rPr>
              <w:t>Sessions</w:t>
            </w:r>
          </w:p>
        </w:tc>
        <w:tc>
          <w:tcPr>
            <w:tcW w:type="dxa" w:w="2412"/>
            <w:shd w:val="clear" w:color="auto" w:fill="FBF2F3"/>
            <w:tcMar>
              <w:top w:w="140" w:type="dxa"/>
              <w:bottom w:w="2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8102E"/>
                <w:sz w:val="26"/>
              </w:rPr>
              <w:t>Comparisons</w:t>
            </w:r>
          </w:p>
        </w:tc>
        <w:tc>
          <w:tcPr>
            <w:tcW w:type="dxa" w:w="2412"/>
            <w:shd w:val="clear" w:color="auto" w:fill="FBF2F3"/>
            <w:tcMar>
              <w:top w:w="140" w:type="dxa"/>
              <w:bottom w:w="2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8102E"/>
                <w:sz w:val="26"/>
              </w:rPr>
              <w:t>Return rate</w:t>
            </w:r>
          </w:p>
        </w:tc>
        <w:tc>
          <w:tcPr>
            <w:tcW w:type="dxa" w:w="2412"/>
            <w:shd w:val="clear" w:color="auto" w:fill="FBF2F3"/>
            <w:tcMar>
              <w:top w:w="140" w:type="dxa"/>
              <w:bottom w:w="2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C8102E"/>
                <w:sz w:val="26"/>
              </w:rPr>
              <w:t>Member NPS</w:t>
            </w:r>
          </w:p>
        </w:tc>
      </w:tr>
      <w:tr>
        <w:tc>
          <w:tcPr>
            <w:tcW w:type="dxa" w:w="2412"/>
            <w:shd w:val="clear" w:color="auto" w:fill="FBF2F3"/>
            <w:tcMar>
              <w:top w:w="0" w:type="dxa"/>
              <w:bottom w:w="12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6B727B"/>
                <w:sz w:val="18"/>
              </w:rPr>
              <w:t>Reach &amp; activation</w:t>
            </w:r>
          </w:p>
        </w:tc>
        <w:tc>
          <w:tcPr>
            <w:tcW w:type="dxa" w:w="2412"/>
            <w:shd w:val="clear" w:color="auto" w:fill="FBF2F3"/>
            <w:tcMar>
              <w:top w:w="0" w:type="dxa"/>
              <w:bottom w:w="12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6B727B"/>
                <w:sz w:val="18"/>
              </w:rPr>
              <w:t>Depth of use</w:t>
            </w:r>
          </w:p>
        </w:tc>
        <w:tc>
          <w:tcPr>
            <w:tcW w:type="dxa" w:w="2412"/>
            <w:shd w:val="clear" w:color="auto" w:fill="FBF2F3"/>
            <w:tcMar>
              <w:top w:w="0" w:type="dxa"/>
              <w:bottom w:w="12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6B727B"/>
                <w:sz w:val="18"/>
              </w:rPr>
              <w:t>Stickiness</w:t>
            </w:r>
          </w:p>
        </w:tc>
        <w:tc>
          <w:tcPr>
            <w:tcW w:type="dxa" w:w="2412"/>
            <w:shd w:val="clear" w:color="auto" w:fill="FBF2F3"/>
            <w:tcMar>
              <w:top w:w="0" w:type="dxa"/>
              <w:bottom w:w="120" w:type="dxa"/>
              <w:start w:w="10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6B727B"/>
                <w:sz w:val="18"/>
              </w:rPr>
              <w:t>Perceived value</w:t>
            </w:r>
          </w:p>
        </w:tc>
      </w:tr>
    </w:tbl>
    <w:p>
      <w:pPr>
        <w:spacing w:before="0" w:after="80" w:line="240" w:lineRule="auto"/>
      </w:pPr>
    </w:p>
    <w:p>
      <w:pPr>
        <w:spacing w:before="320" w:after="80"/>
        <w:pBdr>
          <w:bottom w:val="single" w:sz="6" w:space="4" w:color="E6C3C9"/>
        </w:pBdr>
      </w:pPr>
      <w:r>
        <w:rPr>
          <w:rFonts w:ascii="Calibri" w:hAnsi="Calibri"/>
          <w:b/>
          <w:i w:val="0"/>
          <w:color w:val="C8102E"/>
          <w:sz w:val="30"/>
        </w:rPr>
        <w:t>Data trust &amp; sourcing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6" w:space="0" w:color="FFFFFF"/>
          <w:left w:val="single" w:sz="16" w:space="0" w:color="FFFFFF"/>
          <w:bottom w:val="single" w:sz="16" w:space="0" w:color="FFFFFF"/>
          <w:right w:val="single" w:sz="16" w:space="0" w:color="FFFFFF"/>
          <w:insideH w:val="single" w:sz="16" w:space="0" w:color="FFFFFF"/>
          <w:insideV w:val="single" w:sz="16" w:space="0" w:color="FFFFFF"/>
        </w:tblBorders>
      </w:tblPr>
      <w:tblGrid>
        <w:gridCol w:w="4824"/>
        <w:gridCol w:w="4824"/>
      </w:tblGrid>
      <w:tr>
        <w:tc>
          <w:tcPr>
            <w:tcW w:type="dxa" w:w="4824"/>
            <w:vAlign w:val="top"/>
            <w:tcMar>
              <w:top w:w="0" w:type="dxa"/>
              <w:bottom w:w="0" w:type="dxa"/>
              <w:start w:w="0" w:type="dxa"/>
              <w:end w:w="180" w:type="dxa"/>
            </w:tcMar>
          </w:tcPr>
          <w:p/>
          <w:p>
            <w:pPr>
              <w:spacing w:after="120"/>
            </w:pPr>
            <w:r>
              <w:rPr>
                <w:rFonts w:ascii="Calibri" w:hAnsi="Calibri"/>
                <w:b w:val="0"/>
                <w:i w:val="0"/>
                <w:color w:val="1A1A1A"/>
                <w:sz w:val="21"/>
              </w:rPr>
              <w:t>Parigrado presents public federal data as-is, for informational purposes. Sources: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E2E4E8"/>
                <w:left w:val="single" w:sz="4" w:space="0" w:color="E2E4E8"/>
                <w:bottom w:val="single" w:sz="4" w:space="0" w:color="E2E4E8"/>
                <w:right w:val="single" w:sz="4" w:space="0" w:color="E2E4E8"/>
                <w:insideH w:val="single" w:sz="4" w:space="0" w:color="E2E4E8"/>
                <w:insideV w:val="single" w:sz="4" w:space="0" w:color="E2E4E8"/>
              </w:tblBorders>
            </w:tblPr>
            <w:tblGrid>
              <w:gridCol w:w="2412"/>
              <w:gridCol w:w="2412"/>
            </w:tblGrid>
            <w:tr>
              <w:tc>
                <w:tcPr>
                  <w:tcW w:type="dxa" w:w="2412"/>
                  <w:shd w:val="clear" w:color="auto" w:fill="C8102E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Dataset</w:t>
                  </w:r>
                </w:p>
              </w:tc>
              <w:tc>
                <w:tcPr>
                  <w:tcW w:type="dxa" w:w="2412"/>
                  <w:shd w:val="clear" w:color="auto" w:fill="C8102E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/>
                      <w:i w:val="0"/>
                      <w:color w:val="FFFFFF"/>
                      <w:sz w:val="18"/>
                    </w:rPr>
                    <w:t>Publisher</w:t>
                  </w:r>
                </w:p>
              </w:tc>
            </w:tr>
            <w:tr>
              <w:tc>
                <w:tcPr>
                  <w:tcW w:type="dxa" w:w="2412"/>
                  <w:shd w:val="clear" w:color="auto" w:fill="FFFFFF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18"/>
                    </w:rPr>
                    <w:t>Hospital Compare — HCAHPS</w:t>
                  </w:r>
                </w:p>
              </w:tc>
              <w:tc>
                <w:tcPr>
                  <w:tcW w:type="dxa" w:w="2412"/>
                  <w:shd w:val="clear" w:color="auto" w:fill="FFFFFF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18"/>
                    </w:rPr>
                    <w:t>CMS</w:t>
                  </w:r>
                </w:p>
              </w:tc>
            </w:tr>
            <w:tr>
              <w:tc>
                <w:tcPr>
                  <w:tcW w:type="dxa" w:w="2412"/>
                  <w:shd w:val="clear" w:color="auto" w:fill="F7F8FA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18"/>
                    </w:rPr>
                    <w:t>Healthcare-associated infections</w:t>
                  </w:r>
                </w:p>
              </w:tc>
              <w:tc>
                <w:tcPr>
                  <w:tcW w:type="dxa" w:w="2412"/>
                  <w:shd w:val="clear" w:color="auto" w:fill="F7F8FA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18"/>
                    </w:rPr>
                    <w:t>CMS / CDC NHSN</w:t>
                  </w:r>
                </w:p>
              </w:tc>
            </w:tr>
            <w:tr>
              <w:tc>
                <w:tcPr>
                  <w:tcW w:type="dxa" w:w="2412"/>
                  <w:shd w:val="clear" w:color="auto" w:fill="FFFFFF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18"/>
                    </w:rPr>
                    <w:t>Hospital readmissions (HRRP)</w:t>
                  </w:r>
                </w:p>
              </w:tc>
              <w:tc>
                <w:tcPr>
                  <w:tcW w:type="dxa" w:w="2412"/>
                  <w:shd w:val="clear" w:color="auto" w:fill="FFFFFF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18"/>
                    </w:rPr>
                    <w:t>CMS</w:t>
                  </w:r>
                </w:p>
              </w:tc>
            </w:tr>
            <w:tr>
              <w:tc>
                <w:tcPr>
                  <w:tcW w:type="dxa" w:w="2412"/>
                  <w:shd w:val="clear" w:color="auto" w:fill="F7F8FA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18"/>
                    </w:rPr>
                    <w:t>General hospital information</w:t>
                  </w:r>
                </w:p>
              </w:tc>
              <w:tc>
                <w:tcPr>
                  <w:tcW w:type="dxa" w:w="2412"/>
                  <w:shd w:val="clear" w:color="auto" w:fill="F7F8FA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18"/>
                    </w:rPr>
                    <w:t>CMS</w:t>
                  </w:r>
                </w:p>
              </w:tc>
            </w:tr>
            <w:tr>
              <w:tc>
                <w:tcPr>
                  <w:tcW w:type="dxa" w:w="2412"/>
                  <w:shd w:val="clear" w:color="auto" w:fill="FFFFFF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18"/>
                    </w:rPr>
                    <w:t>Archived hospital snapshots</w:t>
                  </w:r>
                </w:p>
              </w:tc>
              <w:tc>
                <w:tcPr>
                  <w:tcW w:type="dxa" w:w="2412"/>
                  <w:shd w:val="clear" w:color="auto" w:fill="FFFFFF"/>
                  <w:tcMar>
                    <w:top w:w="50" w:type="dxa"/>
                    <w:bottom w:w="50" w:type="dxa"/>
                    <w:start w:w="100" w:type="dxa"/>
                    <w:end w:w="100" w:type="dxa"/>
                  </w:tcMar>
                </w:tcPr>
                <w:p>
                  <w:pPr>
                    <w:spacing w:after="0"/>
                    <w:jc w:val="left"/>
                  </w:pPr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18"/>
                    </w:rPr>
                    <w:t>CMS</w:t>
                  </w:r>
                </w:p>
              </w:tc>
            </w:tr>
          </w:tbl>
          <w:p/>
        </w:tc>
        <w:tc>
          <w:tcPr>
            <w:tcW w:type="dxa" w:w="4824"/>
            <w:vAlign w:val="top"/>
            <w:tcMar>
              <w:top w:w="0" w:type="dxa"/>
              <w:bottom w:w="0" w:type="dxa"/>
              <w:start w:w="180" w:type="dxa"/>
              <w:end w:w="0" w:type="dxa"/>
            </w:tcMar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24"/>
            </w:tblGrid>
            <w:tr>
              <w:tc>
                <w:tcPr>
                  <w:tcW w:type="dxa" w:w="4824"/>
                  <w:shd w:val="clear" w:color="auto" w:fill="EAF6EE"/>
                  <w:tcMar>
                    <w:top w:w="100" w:type="dxa"/>
                    <w:bottom w:w="100" w:type="dxa"/>
                    <w:start w:w="140" w:type="dxa"/>
                    <w:end w:w="140" w:type="dxa"/>
                  </w:tcMar>
                  <w:tcBorders>
                    <w:top w:val="single" w:sz="4" w:space="0" w:color="EAF6EE"/>
                    <w:bottom w:val="single" w:sz="4" w:space="0" w:color="EAF6EE"/>
                    <w:right w:val="single" w:sz="4" w:space="0" w:color="EAF6EE"/>
                    <w:left w:val="single" w:sz="24" w:space="0" w:color="2E8B57"/>
                  </w:tcBorders>
                </w:tcPr>
                <w:p>
                  <w:pPr>
                    <w:spacing w:after="40"/>
                  </w:pPr>
                  <w:r>
                    <w:rPr>
                      <w:rFonts w:ascii="Calibri" w:hAnsi="Calibri"/>
                      <w:b/>
                      <w:i w:val="0"/>
                      <w:color w:val="1E6B3B"/>
                      <w:sz w:val="20"/>
                    </w:rPr>
                    <w:t>Editorially independent</w:t>
                  </w:r>
                </w:p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444A53"/>
                      <w:sz w:val="19"/>
                    </w:rPr>
                    <w:t>No hospital payments, sponsorships, or proprietary "best hospital" ratings ever influence what members see.</w:t>
                  </w:r>
                </w:p>
              </w:tc>
            </w:tr>
          </w:tbl>
          <w:p/>
          <w:p>
            <w:pPr>
              <w:spacing w:after="40"/>
            </w:pP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24"/>
            </w:tblGrid>
            <w:tr>
              <w:tc>
                <w:tcPr>
                  <w:tcW w:type="dxa" w:w="4824"/>
                  <w:shd w:val="clear" w:color="auto" w:fill="FDF4E3"/>
                  <w:tcMar>
                    <w:top w:w="100" w:type="dxa"/>
                    <w:bottom w:w="100" w:type="dxa"/>
                    <w:start w:w="140" w:type="dxa"/>
                    <w:end w:w="140" w:type="dxa"/>
                  </w:tcMar>
                  <w:tcBorders>
                    <w:top w:val="single" w:sz="4" w:space="0" w:color="FDF4E3"/>
                    <w:bottom w:val="single" w:sz="4" w:space="0" w:color="FDF4E3"/>
                    <w:right w:val="single" w:sz="4" w:space="0" w:color="FDF4E3"/>
                    <w:left w:val="single" w:sz="24" w:space="0" w:color="D69B27"/>
                  </w:tcBorders>
                </w:tcPr>
                <w:p>
                  <w:pPr>
                    <w:spacing w:after="40"/>
                  </w:pPr>
                  <w:r>
                    <w:rPr>
                      <w:rFonts w:ascii="Calibri" w:hAnsi="Calibri"/>
                      <w:b/>
                      <w:i w:val="0"/>
                      <w:color w:val="8A5A00"/>
                      <w:sz w:val="20"/>
                    </w:rPr>
                    <w:t>Clear disclaimers</w:t>
                  </w:r>
                </w:p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444A53"/>
                      <w:sz w:val="19"/>
                    </w:rPr>
                    <w:t xml:space="preserve">Presented as informational only — </w:t>
                  </w:r>
                  <w:r>
                    <w:rPr>
                      <w:rFonts w:ascii="Calibri" w:hAnsi="Calibri"/>
                      <w:b/>
                      <w:i w:val="0"/>
                      <w:color w:val="444A53"/>
                      <w:sz w:val="19"/>
                    </w:rPr>
                    <w:t>not medical advice</w:t>
                  </w:r>
                  <w:r>
                    <w:rPr>
                      <w:rFonts w:ascii="Calibri" w:hAnsi="Calibri"/>
                      <w:b w:val="0"/>
                      <w:i w:val="0"/>
                      <w:color w:val="444A53"/>
                      <w:sz w:val="19"/>
                    </w:rPr>
                    <w:t xml:space="preserve"> and not a sole basis for any care decision. Data reflects the most recent CMS/CDC releases.</w:t>
                  </w:r>
                </w:p>
              </w:tc>
            </w:tr>
          </w:tbl>
          <w:p/>
        </w:tc>
      </w:tr>
    </w:tbl>
    <w:p>
      <w:pPr>
        <w:spacing w:before="0" w:after="80" w:line="240" w:lineRule="auto"/>
      </w:pPr>
    </w:p>
    <w:p>
      <w:pPr>
        <w:spacing w:before="320" w:after="80"/>
        <w:pBdr>
          <w:bottom w:val="single" w:sz="6" w:space="4" w:color="E6C3C9"/>
        </w:pBdr>
      </w:pPr>
      <w:r>
        <w:rPr>
          <w:rFonts w:ascii="Calibri" w:hAnsi="Calibri"/>
          <w:b/>
          <w:i w:val="0"/>
          <w:color w:val="C8102E"/>
          <w:sz w:val="30"/>
        </w:rPr>
        <w:t>Live white-label demo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2E4E8"/>
          <w:left w:val="single" w:sz="4" w:space="0" w:color="E2E4E8"/>
          <w:bottom w:val="single" w:sz="4" w:space="0" w:color="E2E4E8"/>
          <w:right w:val="single" w:sz="4" w:space="0" w:color="E2E4E8"/>
          <w:insideH w:val="single" w:sz="4" w:space="0" w:color="E2E4E8"/>
          <w:insideV w:val="single" w:sz="4" w:space="0" w:color="E2E4E8"/>
        </w:tblBorders>
      </w:tblPr>
      <w:tblGrid>
        <w:gridCol w:w="9648"/>
      </w:tblGrid>
      <w:tr>
        <w:tc>
          <w:tcPr>
            <w:tcW w:type="dxa" w:w="9648"/>
            <w:shd w:val="clear" w:color="auto" w:fill="F7F7F8"/>
            <w:tcMar>
              <w:top w:w="140" w:type="dxa"/>
              <w:bottom w:w="160" w:type="dxa"/>
              <w:start w:w="160" w:type="dxa"/>
              <w:end w:w="16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C8102E"/>
                <w:sz w:val="23"/>
              </w:rPr>
              <w:t>Live white-label demo</w:t>
            </w:r>
            <w:r>
              <w:rPr>
                <w:rFonts w:ascii="Calibri" w:hAnsi="Calibri"/>
                <w:b/>
                <w:i w:val="0"/>
                <w:color w:val="444A53"/>
                <w:sz w:val="17"/>
                <w:shd w:val="clear" w:color="auto" w:fill="ECEDEF"/>
              </w:rPr>
              <w:t xml:space="preserve">      Gated preview  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444A53"/>
                <w:sz w:val="21"/>
              </w:rPr>
              <w:t>A working AARP-branded preview is ready to open in a meeting. It is gated as a private partner concept — enter any email plus the access code.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12" w:space="0" w:color="F7F7F8"/>
                <w:left w:val="single" w:sz="12" w:space="0" w:color="F7F7F8"/>
                <w:bottom w:val="single" w:sz="12" w:space="0" w:color="F7F7F8"/>
                <w:right w:val="single" w:sz="12" w:space="0" w:color="F7F7F8"/>
                <w:insideH w:val="single" w:sz="12" w:space="0" w:color="F7F7F8"/>
                <w:insideV w:val="single" w:sz="12" w:space="0" w:color="F7F7F8"/>
              </w:tblBorders>
            </w:tblPr>
            <w:tblGrid>
              <w:gridCol w:w="4824"/>
              <w:gridCol w:w="4824"/>
            </w:tblGrid>
            <w:tr>
              <w:tc>
                <w:tcPr>
                  <w:tcW w:type="dxa" w:w="4910"/>
                  <w:shd w:val="clear" w:color="auto" w:fill="F7F7F8"/>
                  <w:vAlign w:val="top"/>
                </w:tcPr>
                <w:p>
                  <w:pPr>
                    <w:spacing w:before="40" w:after="0"/>
                  </w:pPr>
                  <w:r>
                    <w:rPr>
                      <w:rFonts w:ascii="Calibri" w:hAnsi="Calibri"/>
                      <w:b/>
                      <w:i w:val="0"/>
                      <w:color w:val="6B727B"/>
                      <w:sz w:val="16"/>
                      <w:spacing w:val="20"/>
                    </w:rPr>
                    <w:t>PRODUCTION</w:t>
                  </w:r>
                </w:p>
                <w:p>
                  <w:pPr>
                    <w:spacing w:after="80"/>
                  </w:pPr>
                  <w:r>
                    <w:rPr>
                      <w:rFonts w:ascii="Calibri" w:hAnsi="Calibri"/>
                      <w:b w:val="0"/>
                      <w:i w:val="0"/>
                      <w:color w:val="1A1A1A"/>
                      <w:sz w:val="21"/>
                    </w:rPr>
                    <w:t>https://parigrado.com/?partner=aarp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Calibri" w:hAnsi="Calibri"/>
                      <w:b/>
                      <w:i w:val="0"/>
                      <w:color w:val="6B727B"/>
                      <w:sz w:val="16"/>
                      <w:spacing w:val="20"/>
                    </w:rPr>
                    <w:t>LOCAL DEV</w:t>
                  </w:r>
                </w:p>
                <w:p>
                  <w:pPr>
                    <w:spacing w:after="80"/>
                  </w:pPr>
                  <w:r>
                    <w:rPr>
                      <w:rFonts w:ascii="Consolas" w:hAnsi="Consolas"/>
                      <w:b w:val="0"/>
                      <w:i w:val="0"/>
                      <w:color w:val="1A1A1A"/>
                      <w:sz w:val="21"/>
                    </w:rPr>
                    <w:t>http://localhost:5174/?partner=aarp</w:t>
                  </w:r>
                </w:p>
              </w:tc>
              <w:tc>
                <w:tcPr>
                  <w:tcW w:type="dxa" w:w="4018"/>
                  <w:shd w:val="clear" w:color="auto" w:fill="F7F7F8"/>
                  <w:vAlign w:val="top"/>
                </w:tcPr>
                <w:p>
                  <w:pPr>
                    <w:spacing w:before="40" w:after="0"/>
                  </w:pPr>
                  <w:r>
                    <w:rPr>
                      <w:rFonts w:ascii="Calibri" w:hAnsi="Calibri"/>
                      <w:b/>
                      <w:i w:val="0"/>
                      <w:color w:val="6B727B"/>
                      <w:sz w:val="16"/>
                      <w:spacing w:val="20"/>
                    </w:rPr>
                    <w:t>ACCESS CODE</w:t>
                  </w:r>
                </w:p>
                <w:p>
                  <w:pPr>
                    <w:spacing w:after="80"/>
                  </w:pPr>
                  <w:r>
                    <w:rPr>
                      <w:rFonts w:ascii="Calibri" w:hAnsi="Calibri"/>
                      <w:b/>
                      <w:i w:val="0"/>
                      <w:color w:val="1A1A1A"/>
                      <w:sz w:val="32"/>
                    </w:rPr>
                    <w:t>aarp2026</w:t>
                  </w:r>
                </w:p>
                <w:p>
                  <w:pPr>
                    <w:spacing w:after="0"/>
                  </w:pPr>
                  <w:r>
                    <w:rPr>
                      <w:rFonts w:ascii="Calibri" w:hAnsi="Calibri"/>
                      <w:b w:val="0"/>
                      <w:i w:val="0"/>
                      <w:color w:val="6B727B"/>
                      <w:sz w:val="17"/>
                    </w:rPr>
                    <w:t xml:space="preserve">Also unlockable with the master code </w:t>
                  </w:r>
                  <w:r>
                    <w:rPr>
                      <w:rFonts w:ascii="Consolas" w:hAnsi="Consolas"/>
                      <w:b w:val="0"/>
                      <w:i w:val="0"/>
                      <w:color w:val="6B727B"/>
                      <w:sz w:val="17"/>
                    </w:rPr>
                    <w:t>parigrado-preview</w:t>
                  </w:r>
                  <w:r>
                    <w:rPr>
                      <w:rFonts w:ascii="Calibri" w:hAnsi="Calibri"/>
                      <w:b w:val="0"/>
                      <w:i w:val="0"/>
                      <w:color w:val="6B727B"/>
                      <w:sz w:val="17"/>
                    </w:rPr>
                    <w:t>.</w:t>
                  </w:r>
                </w:p>
              </w:tc>
            </w:tr>
          </w:tbl>
          <w:p/>
        </w:tc>
      </w:tr>
    </w:tbl>
    <w:p>
      <w:pPr>
        <w:spacing w:before="0" w:after="120" w:line="240" w:lineRule="auto"/>
      </w:pPr>
    </w:p>
    <w:p>
      <w:pPr>
        <w:spacing w:before="80" w:after="120"/>
        <w:pBdr>
          <w:bottom w:val="single" w:sz="6" w:space="1" w:color="D8DADE"/>
        </w:pBdr>
      </w:pPr>
    </w:p>
    <w:p>
      <w:pPr>
        <w:spacing w:before="320" w:after="80"/>
        <w:pBdr>
          <w:bottom w:val="single" w:sz="6" w:space="4" w:color="E6C3C9"/>
        </w:pBdr>
      </w:pPr>
      <w:r>
        <w:rPr>
          <w:rFonts w:ascii="Calibri" w:hAnsi="Calibri"/>
          <w:b/>
          <w:i w:val="0"/>
          <w:color w:val="C8102E"/>
          <w:sz w:val="30"/>
        </w:rPr>
        <w:t>Next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4E8"/>
          <w:left w:val="single" w:sz="4" w:space="0" w:color="E2E4E8"/>
          <w:bottom w:val="single" w:sz="4" w:space="0" w:color="E2E4E8"/>
          <w:right w:val="single" w:sz="4" w:space="0" w:color="E2E4E8"/>
          <w:insideH w:val="single" w:sz="4" w:space="0" w:color="E2E4E8"/>
          <w:insideV w:val="single" w:sz="4" w:space="0" w:color="E2E4E8"/>
        </w:tblBorders>
      </w:tblPr>
      <w:tblGrid>
        <w:gridCol w:w="3216"/>
        <w:gridCol w:w="3216"/>
        <w:gridCol w:w="3216"/>
      </w:tblGrid>
      <w:tr>
        <w:tc>
          <w:tcPr>
            <w:tcW w:type="dxa" w:w="772"/>
            <w:shd w:val="clear" w:color="auto" w:fill="C8102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5982"/>
            <w:shd w:val="clear" w:color="auto" w:fill="C8102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Step</w:t>
            </w:r>
          </w:p>
        </w:tc>
        <w:tc>
          <w:tcPr>
            <w:tcW w:type="dxa" w:w="2894"/>
            <w:shd w:val="clear" w:color="auto" w:fill="C8102E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772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1</w:t>
            </w:r>
          </w:p>
        </w:tc>
        <w:tc>
          <w:tcPr>
            <w:tcW w:type="dxa" w:w="5982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30-min intro call + live demo walkthrough</w:t>
            </w:r>
          </w:p>
        </w:tc>
        <w:tc>
          <w:tcPr>
            <w:tcW w:type="dxa" w:w="289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AARP + Parigrado</w:t>
            </w:r>
          </w:p>
        </w:tc>
      </w:tr>
      <w:tr>
        <w:tc>
          <w:tcPr>
            <w:tcW w:type="dxa" w:w="772"/>
            <w:shd w:val="clear" w:color="auto" w:fill="F7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2</w:t>
            </w:r>
          </w:p>
        </w:tc>
        <w:tc>
          <w:tcPr>
            <w:tcW w:type="dxa" w:w="5982"/>
            <w:shd w:val="clear" w:color="auto" w:fill="F7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Align on pilot states, success metrics, and scope</w:t>
            </w:r>
          </w:p>
        </w:tc>
        <w:tc>
          <w:tcPr>
            <w:tcW w:type="dxa" w:w="2894"/>
            <w:shd w:val="clear" w:color="auto" w:fill="F7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Both</w:t>
            </w:r>
          </w:p>
        </w:tc>
      </w:tr>
      <w:tr>
        <w:tc>
          <w:tcPr>
            <w:tcW w:type="dxa" w:w="772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3</w:t>
            </w:r>
          </w:p>
        </w:tc>
        <w:tc>
          <w:tcPr>
            <w:tcW w:type="dxa" w:w="5982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Brand assets + mutual NDA / pilot agreement</w:t>
            </w:r>
          </w:p>
        </w:tc>
        <w:tc>
          <w:tcPr>
            <w:tcW w:type="dxa" w:w="2894"/>
            <w:shd w:val="clear" w:color="auto" w:fill="FFFFFF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AARP legal</w:t>
            </w:r>
          </w:p>
        </w:tc>
      </w:tr>
      <w:tr>
        <w:tc>
          <w:tcPr>
            <w:tcW w:type="dxa" w:w="772"/>
            <w:shd w:val="clear" w:color="auto" w:fill="F7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4</w:t>
            </w:r>
          </w:p>
        </w:tc>
        <w:tc>
          <w:tcPr>
            <w:tcW w:type="dxa" w:w="5982"/>
            <w:shd w:val="clear" w:color="auto" w:fill="F7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Stand up white-label embed and soft-launch</w:t>
            </w:r>
          </w:p>
        </w:tc>
        <w:tc>
          <w:tcPr>
            <w:tcW w:type="dxa" w:w="2894"/>
            <w:shd w:val="clear" w:color="auto" w:fill="F7F8F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Parigrado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2FB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4" w:space="0" w:color="EAF2FB"/>
              <w:bottom w:val="single" w:sz="4" w:space="0" w:color="EAF2FB"/>
              <w:right w:val="single" w:sz="4" w:space="0" w:color="EAF2FB"/>
              <w:left w:val="single" w:sz="24" w:space="0" w:color="2F6FB0"/>
            </w:tcBorders>
          </w:tcPr>
          <w:p>
            <w:pPr>
              <w:spacing w:after="60"/>
            </w:pPr>
            <w:r/>
            <w:r>
              <w:rPr>
                <w:rFonts w:ascii="Calibri" w:hAnsi="Calibri"/>
                <w:b/>
                <w:i w:val="0"/>
                <w:color w:val="1F4E79"/>
                <w:sz w:val="22"/>
              </w:rPr>
              <w:t>Immediate ask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444A53"/>
                <w:sz w:val="21"/>
              </w:rPr>
              <w:t>A 30-minute meeting to walk through the gated demo and agree on a pilot scope. Parigrado can have an AARP-branded embed live within two weeks of a signed pilot.</w:t>
            </w:r>
          </w:p>
        </w:tc>
      </w:tr>
    </w:tbl>
    <w:p>
      <w:pPr>
        <w:spacing w:before="0" w:after="80" w:line="240" w:lineRule="auto"/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