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1A24"/>
          <w:sz w:val="64"/>
          <w:szCs w:val="64"/>
        </w:rPr>
        <w:t xml:space="preserve">AGENT RAG</w:t>
      </w:r>
    </w:p>
    <w:p>
      <w:pPr>
        <w:spacing w:after="80" w:before="0"/>
      </w:pPr>
      <w:r>
        <w:rPr>
          <w:rFonts w:ascii="Arial" w:cs="Arial" w:eastAsia="Arial" w:hAnsi="Arial"/>
          <w:color w:val="B8860B"/>
          <w:sz w:val="32"/>
          <w:szCs w:val="32"/>
        </w:rPr>
        <w:t xml:space="preserve">Analyse automatisée de rapports d'activité</w:t>
      </w:r>
    </w:p>
    <w:p>
      <w:pPr>
        <w:spacing w:after="480" w:before="0"/>
      </w:pPr>
      <w:r>
        <w:rPr>
          <w:rFonts w:ascii="Arial" w:cs="Arial" w:eastAsia="Arial" w:hAnsi="Arial"/>
          <w:color w:val="888888"/>
          <w:sz w:val="20"/>
          <w:szCs w:val="20"/>
        </w:rPr>
        <w:t xml:space="preserve">Spécifications Fonctionnelles — Phase 1   ·   v1.0   ·   09/05/2026</w:t>
      </w:r>
    </w:p>
    <w:p>
      <w:pPr>
        <w:pStyle w:val="Heading1"/>
      </w:pPr>
      <w:r>
        <w:rPr>
          <w:rFonts w:ascii="Arial" w:cs="Arial" w:eastAsia="Arial" w:hAnsi="Arial"/>
          <w:b/>
          <w:bCs/>
        </w:rPr>
        <w:t xml:space="preserve">1. Contexte &amp; Objectifs du Projet</w:t>
      </w:r>
    </w:p>
    <w:p>
      <w:pPr>
        <w:spacing w:after="160"/>
      </w:pPr>
      <w:r>
        <w:rPr>
          <w:rFonts w:ascii="Arial" w:cs="Arial" w:eastAsia="Arial" w:hAnsi="Arial"/>
          <w:sz w:val="22"/>
          <w:szCs w:val="22"/>
        </w:rPr>
        <w:t xml:space="preserve">L'agent RAG a pour mission d'automatiser l'extraction structurée d'informations depuis des rapports d'activité hétérogènes. Face au volume croissant de documents (PDF, Word) produits par des entreprises, administrations et associations, l'analyse manuelle est coûteuse et sujette aux erreurs. Ce projet apporte une réponse technique scalable basée sur un pipeline Retrieval-Augmented Generation.</w:t>
      </w:r>
    </w:p>
    <w:p>
      <w:pPr>
        <w:pStyle w:val="Heading2"/>
      </w:pPr>
      <w:r>
        <w:rPr>
          <w:rFonts w:ascii="Arial" w:cs="Arial" w:eastAsia="Arial" w:hAnsi="Arial"/>
        </w:rPr>
        <w:t xml:space="preserve">1.1 Objectif principal</w:t>
      </w:r>
    </w:p>
    <w:p>
      <w:pPr>
        <w:pStyle w:val="ListParagraph"/>
        <w:numPr>
          <w:ilvl w:val="0"/>
          <w:numId w:val="2"/>
        </w:numPr>
      </w:pPr>
      <w:r>
        <w:rPr>
          <w:rFonts w:ascii="Arial" w:cs="Arial" w:eastAsia="Arial" w:hAnsi="Arial"/>
          <w:sz w:val="22"/>
          <w:szCs w:val="22"/>
        </w:rPr>
        <w:t xml:space="preserve">Extraire automatiquement les données clés (financières, RH, opérationnelles) depuis tout rapport d'activité</w:t>
      </w:r>
    </w:p>
    <w:p>
      <w:pPr>
        <w:pStyle w:val="ListParagraph"/>
        <w:numPr>
          <w:ilvl w:val="0"/>
          <w:numId w:val="2"/>
        </w:numPr>
      </w:pPr>
      <w:r>
        <w:rPr>
          <w:rFonts w:ascii="Arial" w:cs="Arial" w:eastAsia="Arial" w:hAnsi="Arial"/>
          <w:sz w:val="22"/>
          <w:szCs w:val="22"/>
        </w:rPr>
        <w:t xml:space="preserve">Restituer ces données dans un schéma JSON structuré, validé et annoté de sources</w:t>
      </w:r>
    </w:p>
    <w:p>
      <w:pPr>
        <w:pStyle w:val="ListParagraph"/>
        <w:numPr>
          <w:ilvl w:val="0"/>
          <w:numId w:val="2"/>
        </w:numPr>
      </w:pPr>
      <w:r>
        <w:rPr>
          <w:rFonts w:ascii="Arial" w:cs="Arial" w:eastAsia="Arial" w:hAnsi="Arial"/>
          <w:sz w:val="22"/>
          <w:szCs w:val="22"/>
        </w:rPr>
        <w:t xml:space="preserve">Signaler explicitement les données absentes ou incertaines (jamais les inventer)</w:t>
      </w:r>
    </w:p>
    <w:p>
      <w:pPr>
        <w:pStyle w:val="ListParagraph"/>
        <w:numPr>
          <w:ilvl w:val="0"/>
          <w:numId w:val="2"/>
        </w:numPr>
      </w:pPr>
      <w:r>
        <w:rPr>
          <w:rFonts w:ascii="Arial" w:cs="Arial" w:eastAsia="Arial" w:hAnsi="Arial"/>
          <w:sz w:val="22"/>
          <w:szCs w:val="22"/>
        </w:rPr>
        <w:t xml:space="preserve">Fonctionner sur des documents bilingues (français et anglais) et des structures variables</w:t>
      </w:r>
    </w:p>
    <w:p>
      <w:pPr>
        <w:spacing w:after="120"/>
      </w:pPr>
    </w:p>
    <w:p>
      <w:pPr>
        <w:pStyle w:val="Heading2"/>
      </w:pPr>
      <w:r>
        <w:rPr>
          <w:rFonts w:ascii="Arial" w:cs="Arial" w:eastAsia="Arial" w:hAnsi="Arial"/>
        </w:rPr>
        <w:t xml:space="preserve">1.2 Périmètre des organisations cibles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000"/>
      </w:tblGrid>
      <w:tr>
        <w:tc>
          <w:tcPr>
            <w:tcW w:type="dxa" w:w="250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Type d'organisation</w:t>
            </w:r>
          </w:p>
        </w:tc>
        <w:tc>
          <w:tcPr>
            <w:tcW w:type="dxa" w:w="200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250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Particularités extraction</w:t>
            </w:r>
          </w:p>
        </w:tc>
        <w:tc>
          <w:tcPr>
            <w:tcW w:type="dxa" w:w="200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Champs spécifiques</w:t>
            </w:r>
          </w:p>
        </w:tc>
      </w:tr>
      <w:tr>
        <w:tc>
          <w:tcPr>
            <w:tcW w:type="dxa" w:w="2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Entreprises privées PME/ETI</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Haute</w:t>
            </w:r>
          </w:p>
        </w:tc>
        <w:tc>
          <w:tcPr>
            <w:tcW w:type="dxa" w:w="2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Structure variable, peu de consolidation</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CA, RN, effectif, projets</w:t>
            </w:r>
          </w:p>
        </w:tc>
      </w:tr>
      <w:tr>
        <w:tc>
          <w:tcPr>
            <w:tcW w:type="dxa" w:w="2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Grands groupes cotés</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Haute</w:t>
            </w:r>
          </w:p>
        </w:tc>
        <w:tc>
          <w:tcPr>
            <w:tcW w:type="dxa" w:w="2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Comptes consolidés, multi-segments</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EBITDA, par BU, dividendes</w:t>
            </w:r>
          </w:p>
        </w:tc>
      </w:tr>
      <w:tr>
        <w:tc>
          <w:tcPr>
            <w:tcW w:type="dxa" w:w="2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Administrations publiques</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Moyenne</w:t>
            </w:r>
          </w:p>
        </w:tc>
        <w:tc>
          <w:tcPr>
            <w:tcW w:type="dxa" w:w="2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Nomenclature budgétaire spécifique</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Crédits, taux d'exécution</w:t>
            </w:r>
          </w:p>
        </w:tc>
      </w:tr>
      <w:tr>
        <w:tc>
          <w:tcPr>
            <w:tcW w:type="dxa" w:w="2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ONG / Associations</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Moyenne</w:t>
            </w:r>
          </w:p>
        </w:tc>
        <w:tc>
          <w:tcPr>
            <w:tcW w:type="dxa" w:w="2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Logique de mission, pas de CA</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Budget, bénéficiaires, dons</w:t>
            </w:r>
          </w:p>
        </w:tc>
      </w:tr>
    </w:tbl>
    <w:p>
      <w:pPr>
        <w:spacing w:after="160"/>
      </w:pPr>
    </w:p>
    <w:p>
      <w:pPr>
        <w:pStyle w:val="Heading1"/>
      </w:pPr>
      <w:r>
        <w:rPr>
          <w:rFonts w:ascii="Arial" w:cs="Arial" w:eastAsia="Arial" w:hAnsi="Arial"/>
          <w:b/>
          <w:bCs/>
        </w:rPr>
        <w:t xml:space="preserve">2. Données à Extraire — Catalogue de Champs</w:t>
      </w:r>
    </w:p>
    <w:p>
      <w:pPr>
        <w:spacing w:after="120"/>
      </w:pPr>
      <w:r>
        <w:rPr>
          <w:rFonts w:ascii="Arial" w:cs="Arial" w:eastAsia="Arial" w:hAnsi="Arial"/>
          <w:sz w:val="22"/>
          <w:szCs w:val="22"/>
        </w:rPr>
        <w:t xml:space="preserve">Le tableau ci-dessous constitue le référentiel complet des champs cibles. Les priorités "Haute" seront implémentées en Phase 3 ; les priorités "Normale" feront l'objet d'itérations en Phase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600"/>
        <w:gridCol w:w="1200"/>
      </w:tblGrid>
      <w:tr>
        <w:tc>
          <w:tcPr>
            <w:tcW w:type="dxa" w:w="200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c>
          <w:tcPr>
            <w:tcW w:type="dxa" w:w="220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200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Applicable à</w:t>
            </w:r>
          </w:p>
        </w:tc>
        <w:tc>
          <w:tcPr>
            <w:tcW w:type="dxa" w:w="120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Financier</w:t>
            </w:r>
          </w:p>
        </w:tc>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chiffre_affaires (€)</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number | null</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Privé, Cotés</w:t>
            </w:r>
          </w:p>
        </w:tc>
        <w:tc>
          <w:tcPr>
            <w:tcW w:type="dxa" w:w="1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Haute</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Financier</w:t>
            </w:r>
          </w:p>
        </w:tc>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resultat_net (€)</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number | null</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Privé, Cotés</w:t>
            </w:r>
          </w:p>
        </w:tc>
        <w:tc>
          <w:tcPr>
            <w:tcW w:type="dxa" w:w="1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Haute</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Financier</w:t>
            </w:r>
          </w:p>
        </w:tc>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ebitda (€)</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number | null</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Privé, Cotés</w:t>
            </w:r>
          </w:p>
        </w:tc>
        <w:tc>
          <w:tcPr>
            <w:tcW w:type="dxa" w:w="1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Normale</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Financier</w:t>
            </w:r>
          </w:p>
        </w:tc>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tresorerie_nette (€)</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number | null</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Privé, Cotés</w:t>
            </w:r>
          </w:p>
        </w:tc>
        <w:tc>
          <w:tcPr>
            <w:tcW w:type="dxa" w:w="1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Haute</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Financier</w:t>
            </w:r>
          </w:p>
        </w:tc>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total_bilan (€)</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number | null</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Privé, Cotés</w:t>
            </w:r>
          </w:p>
        </w:tc>
        <w:tc>
          <w:tcPr>
            <w:tcW w:type="dxa" w:w="1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Haute</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Financier</w:t>
            </w:r>
          </w:p>
        </w:tc>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variation_pct (%)</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number | null</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Privé, Cotés</w:t>
            </w:r>
          </w:p>
        </w:tc>
        <w:tc>
          <w:tcPr>
            <w:tcW w:type="dxa" w:w="1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Haute</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Financier</w:t>
            </w:r>
          </w:p>
        </w:tc>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budget_prevu (€)</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number | null</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Privé, Cotés</w:t>
            </w:r>
          </w:p>
        </w:tc>
        <w:tc>
          <w:tcPr>
            <w:tcW w:type="dxa" w:w="1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Normale</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Financier (Adm.)</w:t>
            </w:r>
          </w:p>
        </w:tc>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credits_ouverts (€)</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number | null</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Administrations</w:t>
            </w:r>
          </w:p>
        </w:tc>
        <w:tc>
          <w:tcPr>
            <w:tcW w:type="dxa" w:w="1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Haute</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Financier (Adm.)</w:t>
            </w:r>
          </w:p>
        </w:tc>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taux_execution (%)</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number | null</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Administrations</w:t>
            </w:r>
          </w:p>
        </w:tc>
        <w:tc>
          <w:tcPr>
            <w:tcW w:type="dxa" w:w="1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Haute</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RH</w:t>
            </w:r>
          </w:p>
        </w:tc>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effectif_total (ETP)</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number | null</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Tous</w:t>
            </w:r>
          </w:p>
        </w:tc>
        <w:tc>
          <w:tcPr>
            <w:tcW w:type="dxa" w:w="1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Haute</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RH</w:t>
            </w:r>
          </w:p>
        </w:tc>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masse_salariale (€)</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number | null</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Tous</w:t>
            </w:r>
          </w:p>
        </w:tc>
        <w:tc>
          <w:tcPr>
            <w:tcW w:type="dxa" w:w="1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Haute</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RH</w:t>
            </w:r>
          </w:p>
        </w:tc>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taux_turnover (%)</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number | null</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Tous</w:t>
            </w:r>
          </w:p>
        </w:tc>
        <w:tc>
          <w:tcPr>
            <w:tcW w:type="dxa" w:w="1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Haute</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RH</w:t>
            </w:r>
          </w:p>
        </w:tc>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taux_absenteisme (%)</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number | null</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Tous</w:t>
            </w:r>
          </w:p>
        </w:tc>
        <w:tc>
          <w:tcPr>
            <w:tcW w:type="dxa" w:w="1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Haute</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RH</w:t>
            </w:r>
          </w:p>
        </w:tc>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nb_recrutements</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number | null</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Tous</w:t>
            </w:r>
          </w:p>
        </w:tc>
        <w:tc>
          <w:tcPr>
            <w:tcW w:type="dxa" w:w="1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Haute</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RH</w:t>
            </w:r>
          </w:p>
        </w:tc>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taux_formation (%)</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number | null</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Tous</w:t>
            </w:r>
          </w:p>
        </w:tc>
        <w:tc>
          <w:tcPr>
            <w:tcW w:type="dxa" w:w="1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Haute</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Opérationnel</w:t>
            </w:r>
          </w:p>
        </w:tc>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projets_actifs (nb)</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object | null</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Tous</w:t>
            </w:r>
          </w:p>
        </w:tc>
        <w:tc>
          <w:tcPr>
            <w:tcW w:type="dxa" w:w="1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Normale</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Opérationnel</w:t>
            </w:r>
          </w:p>
        </w:tc>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implantations (pays[])</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array</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Tous</w:t>
            </w:r>
          </w:p>
        </w:tc>
        <w:tc>
          <w:tcPr>
            <w:tcW w:type="dxa" w:w="1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Normale</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Opérationnel</w:t>
            </w:r>
          </w:p>
        </w:tc>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certifications (str[])</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array</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Tous</w:t>
            </w:r>
          </w:p>
        </w:tc>
        <w:tc>
          <w:tcPr>
            <w:tcW w:type="dxa" w:w="1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Normale</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Opérationnel</w:t>
            </w:r>
          </w:p>
        </w:tc>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faits_saillants (str[])</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array</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Tous</w:t>
            </w:r>
          </w:p>
        </w:tc>
        <w:tc>
          <w:tcPr>
            <w:tcW w:type="dxa" w:w="1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Normale</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Opérationnel</w:t>
            </w:r>
          </w:p>
        </w:tc>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indicateurs_rse</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object | null</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Tous</w:t>
            </w:r>
          </w:p>
        </w:tc>
        <w:tc>
          <w:tcPr>
            <w:tcW w:type="dxa" w:w="1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Normale</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Opérationnel</w:t>
            </w:r>
          </w:p>
        </w:tc>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risques_identifies</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object | null</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Tous</w:t>
            </w:r>
          </w:p>
        </w:tc>
        <w:tc>
          <w:tcPr>
            <w:tcW w:type="dxa" w:w="1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Normale</w:t>
            </w:r>
          </w:p>
        </w:tc>
      </w:tr>
    </w:tbl>
    <w:p>
      <w:pPr>
        <w:spacing w:after="160"/>
      </w:pPr>
    </w:p>
    <w:p>
      <w:pPr>
        <w:pStyle w:val="Heading2"/>
      </w:pPr>
      <w:r>
        <w:rPr>
          <w:rFonts w:ascii="Arial" w:cs="Arial" w:eastAsia="Arial" w:hAnsi="Arial"/>
        </w:rPr>
        <w:t xml:space="preserve">2.1 Règles de gestion des valeurs manquantes</w:t>
      </w:r>
    </w:p>
    <w:p>
      <w:pPr>
        <w:pStyle w:val="ListParagraph"/>
        <w:numPr>
          <w:ilvl w:val="0"/>
          <w:numId w:val="2"/>
        </w:numPr>
      </w:pPr>
      <w:r>
        <w:rPr>
          <w:rFonts w:ascii="Arial" w:cs="Arial" w:eastAsia="Arial" w:hAnsi="Arial"/>
          <w:sz w:val="22"/>
          <w:szCs w:val="22"/>
        </w:rPr>
        <w:t xml:space="preserve">null : champ non mentionné dans le document (vs. 0 qui est une vraie valeur)</w:t>
      </w:r>
    </w:p>
    <w:p>
      <w:pPr>
        <w:pStyle w:val="ListParagraph"/>
        <w:numPr>
          <w:ilvl w:val="0"/>
          <w:numId w:val="2"/>
        </w:numPr>
      </w:pPr>
      <w:r>
        <w:rPr>
          <w:rFonts w:ascii="Arial" w:cs="Arial" w:eastAsia="Arial" w:hAnsi="Arial"/>
          <w:sz w:val="22"/>
          <w:szCs w:val="22"/>
        </w:rPr>
        <w:t xml:space="preserve">confidence : score entre 0 et 1 reflétant la certitude de l'extraction</w:t>
      </w:r>
    </w:p>
    <w:p>
      <w:pPr>
        <w:pStyle w:val="ListParagraph"/>
        <w:numPr>
          <w:ilvl w:val="0"/>
          <w:numId w:val="2"/>
        </w:numPr>
      </w:pPr>
      <w:r>
        <w:rPr>
          <w:rFonts w:ascii="Arial" w:cs="Arial" w:eastAsia="Arial" w:hAnsi="Arial"/>
          <w:sz w:val="22"/>
          <w:szCs w:val="22"/>
        </w:rPr>
        <w:t xml:space="preserve">note : champ texte optionnel expliquant pourquoi la donnée est absente ou ambiguë</w:t>
      </w:r>
    </w:p>
    <w:p>
      <w:pPr>
        <w:spacing w:after="120"/>
      </w:pPr>
    </w:p>
    <w:p>
      <w:pPr>
        <w:pStyle w:val="Heading1"/>
      </w:pPr>
      <w:r>
        <w:rPr>
          <w:rFonts w:ascii="Arial" w:cs="Arial" w:eastAsia="Arial" w:hAnsi="Arial"/>
          <w:b/>
          <w:bCs/>
        </w:rPr>
        <w:t xml:space="preserve">3. Cas d'Usage &amp; Personas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00"/>
      </w:tblGrid>
      <w:tr>
        <w:tc>
          <w:tcPr>
            <w:tcW w:type="dxa" w:w="200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50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Besoin principal</w:t>
            </w:r>
          </w:p>
        </w:tc>
        <w:tc>
          <w:tcPr>
            <w:tcW w:type="dxa" w:w="250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Scénario type</w:t>
            </w:r>
          </w:p>
        </w:tc>
        <w:tc>
          <w:tcPr>
            <w:tcW w:type="dxa" w:w="200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Sortie attendue</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Analyste financier</w:t>
            </w:r>
          </w:p>
        </w:tc>
        <w:tc>
          <w:tcPr>
            <w:tcW w:type="dxa" w:w="2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Extraire KPIs financiers de 50 rapports annuels</w:t>
            </w:r>
          </w:p>
        </w:tc>
        <w:tc>
          <w:tcPr>
            <w:tcW w:type="dxa" w:w="2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Upload batch PDF → extraction JSON → export Excel</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JSON structuré + confiance</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RH / DRH</w:t>
            </w:r>
          </w:p>
        </w:tc>
        <w:tc>
          <w:tcPr>
            <w:tcW w:type="dxa" w:w="2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Benchmarker les données RH sectorielles</w:t>
            </w:r>
          </w:p>
        </w:tc>
        <w:tc>
          <w:tcPr>
            <w:tcW w:type="dxa" w:w="2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Importer 10 rapports RSE → comparer effectifs</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Tableau comparatif</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Consultant M&amp;A</w:t>
            </w:r>
          </w:p>
        </w:tc>
        <w:tc>
          <w:tcPr>
            <w:tcW w:type="dxa" w:w="2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Due diligence rapide sur cibles</w:t>
            </w:r>
          </w:p>
        </w:tc>
        <w:tc>
          <w:tcPr>
            <w:tcW w:type="dxa" w:w="2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Rapport 80 pages → résumé structuré &lt; 2 min</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JSON + sources citées</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Auditeur public</w:t>
            </w:r>
          </w:p>
        </w:tc>
        <w:tc>
          <w:tcPr>
            <w:tcW w:type="dxa" w:w="2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Vérifier cohérence données admin.</w:t>
            </w:r>
          </w:p>
        </w:tc>
        <w:tc>
          <w:tcPr>
            <w:tcW w:type="dxa" w:w="2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RAA → extraction crédits + taux exécution</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JSON + alertes écarts</w:t>
            </w:r>
          </w:p>
        </w:tc>
      </w:tr>
    </w:tbl>
    <w:p>
      <w:pPr>
        <w:spacing w:after="160"/>
      </w:pPr>
    </w:p>
    <w:p>
      <w:pPr>
        <w:pStyle w:val="Heading2"/>
      </w:pPr>
      <w:r>
        <w:rPr>
          <w:rFonts w:ascii="Arial" w:cs="Arial" w:eastAsia="Arial" w:hAnsi="Arial"/>
        </w:rPr>
        <w:t xml:space="preserve">3.1 Scénarios détaillés</w:t>
      </w:r>
    </w:p>
    <w:p>
      <w:pPr>
        <w:pStyle w:val="Heading3"/>
      </w:pPr>
      <w:r>
        <w:rPr>
          <w:rFonts w:ascii="Arial" w:cs="Arial" w:eastAsia="Arial" w:hAnsi="Arial"/>
        </w:rPr>
        <w:t xml:space="preserve">Scénario A — Analyse batch d'un portefeuille d'investissement</w:t>
      </w:r>
    </w:p>
    <w:p>
      <w:pPr>
        <w:pStyle w:val="ListParagraph"/>
        <w:numPr>
          <w:ilvl w:val="0"/>
          <w:numId w:val="2"/>
        </w:numPr>
      </w:pPr>
      <w:r>
        <w:rPr>
          <w:rFonts w:ascii="Arial" w:cs="Arial" w:eastAsia="Arial" w:hAnsi="Arial"/>
          <w:sz w:val="22"/>
          <w:szCs w:val="22"/>
        </w:rPr>
        <w:t xml:space="preserve">Acteur : Analyste financier chez un fonds d'investissement</w:t>
      </w:r>
    </w:p>
    <w:p>
      <w:pPr>
        <w:pStyle w:val="ListParagraph"/>
        <w:numPr>
          <w:ilvl w:val="0"/>
          <w:numId w:val="2"/>
        </w:numPr>
      </w:pPr>
      <w:r>
        <w:rPr>
          <w:rFonts w:ascii="Arial" w:cs="Arial" w:eastAsia="Arial" w:hAnsi="Arial"/>
          <w:sz w:val="22"/>
          <w:szCs w:val="22"/>
        </w:rPr>
        <w:t xml:space="preserve">Déclencheur : Upload de 30 rapports annuels (PDF, EN/FR, 40-120 pages)</w:t>
      </w:r>
    </w:p>
    <w:p>
      <w:pPr>
        <w:pStyle w:val="ListParagraph"/>
        <w:numPr>
          <w:ilvl w:val="0"/>
          <w:numId w:val="2"/>
        </w:numPr>
      </w:pPr>
      <w:r>
        <w:rPr>
          <w:rFonts w:ascii="Arial" w:cs="Arial" w:eastAsia="Arial" w:hAnsi="Arial"/>
          <w:sz w:val="22"/>
          <w:szCs w:val="22"/>
        </w:rPr>
        <w:t xml:space="preserve">Résultat attendu : 30 fichiers JSON avec CA, RN, EBITDA, effectifs + scores de confiance</w:t>
      </w:r>
    </w:p>
    <w:p>
      <w:pPr>
        <w:pStyle w:val="ListParagraph"/>
        <w:numPr>
          <w:ilvl w:val="0"/>
          <w:numId w:val="2"/>
        </w:numPr>
      </w:pPr>
      <w:r>
        <w:rPr>
          <w:rFonts w:ascii="Arial" w:cs="Arial" w:eastAsia="Arial" w:hAnsi="Arial"/>
          <w:sz w:val="22"/>
          <w:szCs w:val="22"/>
        </w:rPr>
        <w:t xml:space="preserve">Contrainte : Temps de traitement &lt; 3 min/document</w:t>
      </w:r>
    </w:p>
    <w:p>
      <w:pPr>
        <w:pStyle w:val="Heading3"/>
      </w:pPr>
      <w:r>
        <w:rPr>
          <w:rFonts w:ascii="Arial" w:cs="Arial" w:eastAsia="Arial" w:hAnsi="Arial"/>
        </w:rPr>
        <w:t xml:space="preserve">Scénario B — Due diligence M&amp;A rapide</w:t>
      </w:r>
    </w:p>
    <w:p>
      <w:pPr>
        <w:pStyle w:val="ListParagraph"/>
        <w:numPr>
          <w:ilvl w:val="0"/>
          <w:numId w:val="2"/>
        </w:numPr>
      </w:pPr>
      <w:r>
        <w:rPr>
          <w:rFonts w:ascii="Arial" w:cs="Arial" w:eastAsia="Arial" w:hAnsi="Arial"/>
          <w:sz w:val="22"/>
          <w:szCs w:val="22"/>
        </w:rPr>
        <w:t xml:space="preserve">Acteur : Consultant en fusion-acquisition</w:t>
      </w:r>
    </w:p>
    <w:p>
      <w:pPr>
        <w:pStyle w:val="ListParagraph"/>
        <w:numPr>
          <w:ilvl w:val="0"/>
          <w:numId w:val="2"/>
        </w:numPr>
      </w:pPr>
      <w:r>
        <w:rPr>
          <w:rFonts w:ascii="Arial" w:cs="Arial" w:eastAsia="Arial" w:hAnsi="Arial"/>
          <w:sz w:val="22"/>
          <w:szCs w:val="22"/>
        </w:rPr>
        <w:t xml:space="preserve">Déclencheur : Rapport confidentiel d'une cible (Word, FR, 80 pages)</w:t>
      </w:r>
    </w:p>
    <w:p>
      <w:pPr>
        <w:pStyle w:val="ListParagraph"/>
        <w:numPr>
          <w:ilvl w:val="0"/>
          <w:numId w:val="2"/>
        </w:numPr>
      </w:pPr>
      <w:r>
        <w:rPr>
          <w:rFonts w:ascii="Arial" w:cs="Arial" w:eastAsia="Arial" w:hAnsi="Arial"/>
          <w:sz w:val="22"/>
          <w:szCs w:val="22"/>
        </w:rPr>
        <w:t xml:space="preserve">Résultat attendu : JSON structuré avec citations sources précises (page + extrait)</w:t>
      </w:r>
    </w:p>
    <w:p>
      <w:pPr>
        <w:pStyle w:val="ListParagraph"/>
        <w:numPr>
          <w:ilvl w:val="0"/>
          <w:numId w:val="2"/>
        </w:numPr>
      </w:pPr>
      <w:r>
        <w:rPr>
          <w:rFonts w:ascii="Arial" w:cs="Arial" w:eastAsia="Arial" w:hAnsi="Arial"/>
          <w:sz w:val="22"/>
          <w:szCs w:val="22"/>
        </w:rPr>
        <w:t xml:space="preserve">Contrainte : Aucune donnée inventée — les nulls sont préférables aux approximations</w:t>
      </w:r>
    </w:p>
    <w:p>
      <w:pPr>
        <w:pStyle w:val="Heading3"/>
      </w:pPr>
      <w:r>
        <w:rPr>
          <w:rFonts w:ascii="Arial" w:cs="Arial" w:eastAsia="Arial" w:hAnsi="Arial"/>
        </w:rPr>
        <w:t xml:space="preserve">Scénario C — Monitoring annuel d'administrations publiques</w:t>
      </w:r>
    </w:p>
    <w:p>
      <w:pPr>
        <w:pStyle w:val="ListParagraph"/>
        <w:numPr>
          <w:ilvl w:val="0"/>
          <w:numId w:val="2"/>
        </w:numPr>
      </w:pPr>
      <w:r>
        <w:rPr>
          <w:rFonts w:ascii="Arial" w:cs="Arial" w:eastAsia="Arial" w:hAnsi="Arial"/>
          <w:sz w:val="22"/>
          <w:szCs w:val="22"/>
        </w:rPr>
        <w:t xml:space="preserve">Acteur : Auditeur d'une cour des comptes régionale</w:t>
      </w:r>
    </w:p>
    <w:p>
      <w:pPr>
        <w:pStyle w:val="ListParagraph"/>
        <w:numPr>
          <w:ilvl w:val="0"/>
          <w:numId w:val="2"/>
        </w:numPr>
      </w:pPr>
      <w:r>
        <w:rPr>
          <w:rFonts w:ascii="Arial" w:cs="Arial" w:eastAsia="Arial" w:hAnsi="Arial"/>
          <w:sz w:val="22"/>
          <w:szCs w:val="22"/>
        </w:rPr>
        <w:t xml:space="preserve">Déclencheur : Upload des rapports d'activité annuels (RAA) de 15 collectivités</w:t>
      </w:r>
    </w:p>
    <w:p>
      <w:pPr>
        <w:pStyle w:val="ListParagraph"/>
        <w:numPr>
          <w:ilvl w:val="0"/>
          <w:numId w:val="2"/>
        </w:numPr>
      </w:pPr>
      <w:r>
        <w:rPr>
          <w:rFonts w:ascii="Arial" w:cs="Arial" w:eastAsia="Arial" w:hAnsi="Arial"/>
          <w:sz w:val="22"/>
          <w:szCs w:val="22"/>
        </w:rPr>
        <w:t xml:space="preserve">Résultat attendu : Extraction des crédits, taux d'exécution, effectifs, alertes d'écarts</w:t>
      </w:r>
    </w:p>
    <w:p>
      <w:pPr>
        <w:spacing w:after="120"/>
      </w:pPr>
    </w:p>
    <w:p>
      <w:pPr>
        <w:pStyle w:val="Heading1"/>
      </w:pPr>
      <w:r>
        <w:rPr>
          <w:rFonts w:ascii="Arial" w:cs="Arial" w:eastAsia="Arial" w:hAnsi="Arial"/>
          <w:b/>
          <w:bCs/>
        </w:rPr>
        <w:t xml:space="preserve">4. Contraintes Techniques</w:t>
      </w:r>
    </w:p>
    <w:p>
      <w:pPr>
        <w:pStyle w:val="Heading2"/>
      </w:pPr>
      <w:r>
        <w:rPr>
          <w:rFonts w:ascii="Arial" w:cs="Arial" w:eastAsia="Arial" w:hAnsi="Arial"/>
        </w:rPr>
        <w:t xml:space="preserve">4.1 Formats de documents supportés</w:t>
      </w:r>
    </w:p>
    <w:p>
      <w:pPr>
        <w:pStyle w:val="ListParagraph"/>
        <w:numPr>
          <w:ilvl w:val="0"/>
          <w:numId w:val="2"/>
        </w:numPr>
      </w:pPr>
      <w:r>
        <w:rPr>
          <w:rFonts w:ascii="Arial" w:cs="Arial" w:eastAsia="Arial" w:hAnsi="Arial"/>
          <w:sz w:val="22"/>
          <w:szCs w:val="22"/>
        </w:rPr>
        <w:t xml:space="preserve">PDF : texte natif et PDF scannés (avec OCR via Tesseract si nécessaire)</w:t>
      </w:r>
    </w:p>
    <w:p>
      <w:pPr>
        <w:pStyle w:val="ListParagraph"/>
        <w:numPr>
          <w:ilvl w:val="0"/>
          <w:numId w:val="2"/>
        </w:numPr>
      </w:pPr>
      <w:r>
        <w:rPr>
          <w:rFonts w:ascii="Arial" w:cs="Arial" w:eastAsia="Arial" w:hAnsi="Arial"/>
          <w:sz w:val="22"/>
          <w:szCs w:val="22"/>
        </w:rPr>
        <w:t xml:space="preserve">Word (.docx) : documents structurés avec sections, tableaux, en-têtes</w:t>
      </w:r>
    </w:p>
    <w:p>
      <w:pPr>
        <w:pStyle w:val="ListParagraph"/>
        <w:numPr>
          <w:ilvl w:val="0"/>
          <w:numId w:val="2"/>
        </w:numPr>
      </w:pPr>
      <w:r>
        <w:rPr>
          <w:rFonts w:ascii="Arial" w:cs="Arial" w:eastAsia="Arial" w:hAnsi="Arial"/>
          <w:sz w:val="22"/>
          <w:szCs w:val="22"/>
        </w:rPr>
        <w:t xml:space="preserve">Taille : jusqu'à 200 pages par document</w:t>
      </w:r>
    </w:p>
    <w:p>
      <w:pPr>
        <w:pStyle w:val="Heading2"/>
      </w:pPr>
      <w:r>
        <w:rPr>
          <w:rFonts w:ascii="Arial" w:cs="Arial" w:eastAsia="Arial" w:hAnsi="Arial"/>
        </w:rPr>
        <w:t xml:space="preserve">4.2 Langues</w:t>
      </w:r>
    </w:p>
    <w:p>
      <w:pPr>
        <w:pStyle w:val="ListParagraph"/>
        <w:numPr>
          <w:ilvl w:val="0"/>
          <w:numId w:val="2"/>
        </w:numPr>
      </w:pPr>
      <w:r>
        <w:rPr>
          <w:rFonts w:ascii="Arial" w:cs="Arial" w:eastAsia="Arial" w:hAnsi="Arial"/>
          <w:sz w:val="22"/>
          <w:szCs w:val="22"/>
        </w:rPr>
        <w:t xml:space="preserve">Français (prioritaire) et anglais (support complet)</w:t>
      </w:r>
    </w:p>
    <w:p>
      <w:pPr>
        <w:pStyle w:val="ListParagraph"/>
        <w:numPr>
          <w:ilvl w:val="0"/>
          <w:numId w:val="2"/>
        </w:numPr>
      </w:pPr>
      <w:r>
        <w:rPr>
          <w:rFonts w:ascii="Arial" w:cs="Arial" w:eastAsia="Arial" w:hAnsi="Arial"/>
          <w:sz w:val="22"/>
          <w:szCs w:val="22"/>
        </w:rPr>
        <w:t xml:space="preserve">Modèle d'embedding multilingue requis : paraphrase-multilingual-mpnet-base-v2 ou OpenAI text-embedding-3-large</w:t>
      </w:r>
    </w:p>
    <w:p>
      <w:pPr>
        <w:pStyle w:val="ListParagraph"/>
        <w:numPr>
          <w:ilvl w:val="0"/>
          <w:numId w:val="2"/>
        </w:numPr>
      </w:pPr>
      <w:r>
        <w:rPr>
          <w:rFonts w:ascii="Arial" w:cs="Arial" w:eastAsia="Arial" w:hAnsi="Arial"/>
          <w:sz w:val="22"/>
          <w:szCs w:val="22"/>
        </w:rPr>
        <w:t xml:space="preserve">Prompts d'extraction rédigés en anglais (performance LLM optimale) avec terminologie FR/EN</w:t>
      </w:r>
    </w:p>
    <w:p>
      <w:pPr>
        <w:pStyle w:val="Heading2"/>
      </w:pPr>
      <w:r>
        <w:rPr>
          <w:rFonts w:ascii="Arial" w:cs="Arial" w:eastAsia="Arial" w:hAnsi="Arial"/>
        </w:rPr>
        <w:t xml:space="preserve">4.3 Contraintes de qualité</w:t>
      </w:r>
    </w:p>
    <w:p>
      <w:pPr>
        <w:pStyle w:val="ListParagraph"/>
        <w:numPr>
          <w:ilvl w:val="0"/>
          <w:numId w:val="2"/>
        </w:numPr>
      </w:pPr>
      <w:r>
        <w:rPr>
          <w:rFonts w:ascii="Arial" w:cs="Arial" w:eastAsia="Arial" w:hAnsi="Arial"/>
          <w:sz w:val="22"/>
          <w:szCs w:val="22"/>
        </w:rPr>
        <w:t xml:space="preserve">Taux d'extraction correcte cible : &gt; 85% sur les champs haute priorité</w:t>
      </w:r>
    </w:p>
    <w:p>
      <w:pPr>
        <w:pStyle w:val="ListParagraph"/>
        <w:numPr>
          <w:ilvl w:val="0"/>
          <w:numId w:val="2"/>
        </w:numPr>
      </w:pPr>
      <w:r>
        <w:rPr>
          <w:rFonts w:ascii="Arial" w:cs="Arial" w:eastAsia="Arial" w:hAnsi="Arial"/>
          <w:sz w:val="22"/>
          <w:szCs w:val="22"/>
        </w:rPr>
        <w:t xml:space="preserve">Zéro hallucination acceptable : tout champ non trouvé = null, jamais une valeur inventée</w:t>
      </w:r>
    </w:p>
    <w:p>
      <w:pPr>
        <w:pStyle w:val="ListParagraph"/>
        <w:numPr>
          <w:ilvl w:val="0"/>
          <w:numId w:val="2"/>
        </w:numPr>
      </w:pPr>
      <w:r>
        <w:rPr>
          <w:rFonts w:ascii="Arial" w:cs="Arial" w:eastAsia="Arial" w:hAnsi="Arial"/>
          <w:sz w:val="22"/>
          <w:szCs w:val="22"/>
        </w:rPr>
        <w:t xml:space="preserve">Traçabilité obligatoire : chaque valeur extraite doit référencer sa source (page + extrait)</w:t>
      </w:r>
    </w:p>
    <w:p>
      <w:pPr>
        <w:spacing w:after="120"/>
      </w:pPr>
    </w:p>
    <w:p>
      <w:pPr>
        <w:pStyle w:val="Heading1"/>
      </w:pPr>
      <w:r>
        <w:rPr>
          <w:rFonts w:ascii="Arial" w:cs="Arial" w:eastAsia="Arial" w:hAnsi="Arial"/>
          <w:b/>
          <w:bCs/>
        </w:rPr>
        <w:t xml:space="preserve">5. Identification des Risques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00"/>
      </w:tblGrid>
      <w:tr>
        <w:tc>
          <w:tcPr>
            <w:tcW w:type="dxa" w:w="200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Risque</w:t>
            </w:r>
          </w:p>
        </w:tc>
        <w:tc>
          <w:tcPr>
            <w:tcW w:type="dxa" w:w="250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00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Hallucination LLM</w:t>
            </w:r>
          </w:p>
        </w:tc>
        <w:tc>
          <w:tcPr>
            <w:tcW w:type="dxa" w:w="2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Le modèle invente une valeur absente du document</w:t>
            </w:r>
          </w:p>
        </w:tc>
        <w:tc>
          <w:tcPr>
            <w:tcW w:type="dxa" w:w="2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Critique — décision sur données fausses</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Contraindre au contexte + indicateur confiance</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Hétérogénéité docs</w:t>
            </w:r>
          </w:p>
        </w:tc>
        <w:tc>
          <w:tcPr>
            <w:tcW w:type="dxa" w:w="2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Structures très variables selon émetteur</w:t>
            </w:r>
          </w:p>
        </w:tc>
        <w:tc>
          <w:tcPr>
            <w:tcW w:type="dxa" w:w="2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Élevé — extraction manquée</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Chunking sémantique + profils par type</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Tableaux PDF</w:t>
            </w:r>
          </w:p>
        </w:tc>
        <w:tc>
          <w:tcPr>
            <w:tcW w:type="dxa" w:w="2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Les tableaux financiers sont mal parsés</w:t>
            </w:r>
          </w:p>
        </w:tc>
        <w:tc>
          <w:tcPr>
            <w:tcW w:type="dxa" w:w="2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Élevé — données numériques critiques</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pdfplumber + détection de tables</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Bilingue FR/EN</w:t>
            </w:r>
          </w:p>
        </w:tc>
        <w:tc>
          <w:tcPr>
            <w:tcW w:type="dxa" w:w="2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Terminologie différente selon la langue</w:t>
            </w:r>
          </w:p>
        </w:tc>
        <w:tc>
          <w:tcPr>
            <w:tcW w:type="dxa" w:w="2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Moyen — champs non reconnus</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Embeddings multilingues + prompts duaux</w:t>
            </w:r>
          </w:p>
        </w:tc>
      </w:tr>
    </w:tbl>
    <w:p>
      <w:pPr>
        <w:spacing w:after="160"/>
      </w:pPr>
    </w:p>
    <w:p>
      <w:pPr>
        <w:pStyle w:val="Heading1"/>
      </w:pPr>
      <w:r>
        <w:rPr>
          <w:rFonts w:ascii="Arial" w:cs="Arial" w:eastAsia="Arial" w:hAnsi="Arial"/>
          <w:b/>
          <w:bCs/>
        </w:rPr>
        <w:t xml:space="preserve">6. Livrables &amp; Jalons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000"/>
        <w:gridCol w:w="1600"/>
        <w:gridCol w:w="1600"/>
      </w:tblGrid>
      <w:tr>
        <w:tc>
          <w:tcPr>
            <w:tcW w:type="dxa" w:w="80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Livrable</w:t>
            </w:r>
          </w:p>
        </w:tc>
        <w:tc>
          <w:tcPr>
            <w:tcW w:type="dxa" w:w="200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60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L1</w:t>
            </w:r>
          </w:p>
        </w:tc>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Spécifications fonctionnelles</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Markdown / DOCX</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Phase 1</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 Livré</w:t>
            </w:r>
          </w:p>
        </w:tc>
      </w:tr>
      <w:tr>
        <w:tc>
          <w:tcPr>
            <w:tcW w:type="dxa" w:w="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L2</w:t>
            </w:r>
          </w:p>
        </w:tc>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Architecture technique documentée</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Markdown + Diagramme</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Phase 2</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À venir</w:t>
            </w:r>
          </w:p>
        </w:tc>
      </w:tr>
      <w:tr>
        <w:tc>
          <w:tcPr>
            <w:tcW w:type="dxa" w:w="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L3</w:t>
            </w:r>
          </w:p>
        </w:tc>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Code source pipeline RAG complet</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Python (GitHub)</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Phase 3</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À venir</w:t>
            </w:r>
          </w:p>
        </w:tc>
      </w:tr>
      <w:tr>
        <w:tc>
          <w:tcPr>
            <w:tcW w:type="dxa" w:w="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L4</w:t>
            </w:r>
          </w:p>
        </w:tc>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Schéma de données structuré</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JSON Schema</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Phase 4</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À venir</w:t>
            </w:r>
          </w:p>
        </w:tc>
      </w:tr>
      <w:tr>
        <w:tc>
          <w:tcPr>
            <w:tcW w:type="dxa" w:w="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L5</w:t>
            </w:r>
          </w:p>
        </w:tc>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Jeu de tests annoté (ground truth)</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CSV / JSON</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Phase 5</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À venir</w:t>
            </w:r>
          </w:p>
        </w:tc>
      </w:tr>
      <w:tr>
        <w:tc>
          <w:tcPr>
            <w:tcW w:type="dxa" w:w="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L6</w:t>
            </w:r>
          </w:p>
        </w:tc>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Rapport de performance</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Markdown / PDF</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Phase 5</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À venir</w:t>
            </w:r>
          </w:p>
        </w:tc>
      </w:tr>
      <w:tr>
        <w:tc>
          <w:tcPr>
            <w:tcW w:type="dxa" w:w="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L7</w:t>
            </w:r>
          </w:p>
        </w:tc>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Démonstration fonctionnelle</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Vidéo ou démo live</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Phase 5-6</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b w:val="false"/>
                <w:bCs w:val="false"/>
                <w:color w:val="1A1A24"/>
                <w:sz w:val="20"/>
                <w:szCs w:val="20"/>
              </w:rPr>
              <w:t xml:space="preserve">À venir</w:t>
            </w:r>
          </w:p>
        </w:tc>
      </w:tr>
    </w:tbl>
    <w:p>
      <w:pPr>
        <w:spacing w:after="160"/>
      </w:pPr>
    </w:p>
    <w:p>
      <w:pPr>
        <w:pStyle w:val="Heading1"/>
      </w:pPr>
      <w:r>
        <w:rPr>
          <w:rFonts w:ascii="Arial" w:cs="Arial" w:eastAsia="Arial" w:hAnsi="Arial"/>
          <w:b/>
          <w:bCs/>
        </w:rPr>
        <w:t xml:space="preserve">7. Décisions de Conception Clés</w:t>
      </w:r>
    </w:p>
    <w:p>
      <w:pPr>
        <w:pStyle w:val="Heading2"/>
      </w:pPr>
      <w:r>
        <w:rPr>
          <w:rFonts w:ascii="Arial" w:cs="Arial" w:eastAsia="Arial" w:hAnsi="Arial"/>
        </w:rPr>
        <w:t xml:space="preserve">7.1 Schéma JSON modulaire par type d'entité</w:t>
      </w:r>
    </w:p>
    <w:p>
      <w:pPr>
        <w:spacing w:after="120"/>
      </w:pPr>
      <w:r>
        <w:rPr>
          <w:rFonts w:ascii="Arial" w:cs="Arial" w:eastAsia="Arial" w:hAnsi="Arial"/>
          <w:sz w:val="22"/>
          <w:szCs w:val="22"/>
        </w:rPr>
        <w:t xml:space="preserve">Le schéma cible doit inclure un champ type_entite permettant d'activer/désactiver des blocs de champs selon le profil détecté. Un PME n'aura pas de bloc dividendes ; une administration aura un bloc budgetaire à la place du bloc financier standard.</w:t>
      </w:r>
    </w:p>
    <w:p>
      <w:pPr>
        <w:pStyle w:val="Heading2"/>
      </w:pPr>
      <w:r>
        <w:rPr>
          <w:rFonts w:ascii="Arial" w:cs="Arial" w:eastAsia="Arial" w:hAnsi="Arial"/>
        </w:rPr>
        <w:t xml:space="preserve">7.2 Stratégie de chunking hybride</w:t>
      </w:r>
    </w:p>
    <w:p>
      <w:pPr>
        <w:spacing w:after="120"/>
      </w:pPr>
      <w:r>
        <w:rPr>
          <w:rFonts w:ascii="Arial" w:cs="Arial" w:eastAsia="Arial" w:hAnsi="Arial"/>
          <w:sz w:val="22"/>
          <w:szCs w:val="22"/>
        </w:rPr>
        <w:t xml:space="preserve">Face à la variabilité des structures documentaires, la stratégie retenue combine :</w:t>
      </w:r>
    </w:p>
    <w:p>
      <w:pPr>
        <w:pStyle w:val="ListParagraph"/>
        <w:numPr>
          <w:ilvl w:val="0"/>
          <w:numId w:val="2"/>
        </w:numPr>
      </w:pPr>
      <w:r>
        <w:rPr>
          <w:rFonts w:ascii="Arial" w:cs="Arial" w:eastAsia="Arial" w:hAnsi="Arial"/>
          <w:sz w:val="22"/>
          <w:szCs w:val="22"/>
        </w:rPr>
        <w:t xml:space="preserve">Chunking par section/titre pour les documents bien structurés (repérage des H1/H2)</w:t>
      </w:r>
    </w:p>
    <w:p>
      <w:pPr>
        <w:pStyle w:val="ListParagraph"/>
        <w:numPr>
          <w:ilvl w:val="0"/>
          <w:numId w:val="2"/>
        </w:numPr>
      </w:pPr>
      <w:r>
        <w:rPr>
          <w:rFonts w:ascii="Arial" w:cs="Arial" w:eastAsia="Arial" w:hAnsi="Arial"/>
          <w:sz w:val="22"/>
          <w:szCs w:val="22"/>
        </w:rPr>
        <w:t xml:space="preserve">Chunking sémantique (512 tokens, overlap 64) pour les documents sans structure explicite</w:t>
      </w:r>
    </w:p>
    <w:p>
      <w:pPr>
        <w:pStyle w:val="ListParagraph"/>
        <w:numPr>
          <w:ilvl w:val="0"/>
          <w:numId w:val="2"/>
        </w:numPr>
      </w:pPr>
      <w:r>
        <w:rPr>
          <w:rFonts w:ascii="Arial" w:cs="Arial" w:eastAsia="Arial" w:hAnsi="Arial"/>
          <w:sz w:val="22"/>
          <w:szCs w:val="22"/>
        </w:rPr>
        <w:t xml:space="preserve">Détection et extraction spéciale des tableaux (pdfplumber) — traitement séparé du texte narratif</w:t>
      </w:r>
    </w:p>
    <w:p>
      <w:pPr>
        <w:pStyle w:val="Heading2"/>
      </w:pPr>
      <w:r>
        <w:rPr>
          <w:rFonts w:ascii="Arial" w:cs="Arial" w:eastAsia="Arial" w:hAnsi="Arial"/>
        </w:rPr>
        <w:t xml:space="preserve">7.3 Gestion des hallucinations</w:t>
      </w:r>
    </w:p>
    <w:p>
      <w:pPr>
        <w:spacing w:after="160"/>
      </w:pPr>
      <w:r>
        <w:rPr>
          <w:rFonts w:ascii="Arial" w:cs="Arial" w:eastAsia="Arial" w:hAnsi="Arial"/>
          <w:sz w:val="22"/>
          <w:szCs w:val="22"/>
        </w:rPr>
        <w:t xml:space="preserve">Le prompt système imposera au LLM de ne répondre qu'à partir du contexte fourni, d'utiliser explicitement null si l'information est absente, et de fournir un score de confiance pour chaque champ. Un post-traitement vérifiera la cohérence des valeurs extraites (ex : CA &gt; 0, effectif entier positif).</w:t>
      </w:r>
    </w:p>
    <w:p>
      <w:pPr>
        <w:pStyle w:val="Heading1"/>
      </w:pPr>
      <w:r>
        <w:rPr>
          <w:rFonts w:ascii="Arial" w:cs="Arial" w:eastAsia="Arial" w:hAnsi="Arial"/>
          <w:b/>
          <w:bCs/>
        </w:rPr>
        <w:t xml:space="preserve">8. Prochaines Étapes (Phase 2)</w:t>
      </w:r>
    </w:p>
    <w:p>
      <w:pPr>
        <w:pStyle w:val="ListParagraph"/>
        <w:numPr>
          <w:ilvl w:val="0"/>
          <w:numId w:val="2"/>
        </w:numPr>
      </w:pPr>
      <w:r>
        <w:rPr>
          <w:rFonts w:ascii="Arial" w:cs="Arial" w:eastAsia="Arial" w:hAnsi="Arial"/>
          <w:sz w:val="22"/>
          <w:szCs w:val="22"/>
        </w:rPr>
        <w:t xml:space="preserve">T1.4 — Collecter un jeu de 10 rapports réels ou fictifs couvrant les 4 types d'organisations</w:t>
      </w:r>
    </w:p>
    <w:p>
      <w:pPr>
        <w:pStyle w:val="ListParagraph"/>
        <w:numPr>
          <w:ilvl w:val="0"/>
          <w:numId w:val="2"/>
        </w:numPr>
      </w:pPr>
      <w:r>
        <w:rPr>
          <w:rFonts w:ascii="Arial" w:cs="Arial" w:eastAsia="Arial" w:hAnsi="Arial"/>
          <w:sz w:val="22"/>
          <w:szCs w:val="22"/>
        </w:rPr>
        <w:t xml:space="preserve">T1.5 — Valider ces spécifications avec l'encadrant (retours attendus sous 1 semaine)</w:t>
      </w:r>
    </w:p>
    <w:p>
      <w:pPr>
        <w:pStyle w:val="ListParagraph"/>
        <w:numPr>
          <w:ilvl w:val="0"/>
          <w:numId w:val="2"/>
        </w:numPr>
      </w:pPr>
      <w:r>
        <w:rPr>
          <w:rFonts w:ascii="Arial" w:cs="Arial" w:eastAsia="Arial" w:hAnsi="Arial"/>
          <w:sz w:val="22"/>
          <w:szCs w:val="22"/>
        </w:rPr>
        <w:t xml:space="preserve">T2.1 — Choisir la stack technique : LangChain vs LlamaIndex, FAISS vs Chroma</w:t>
      </w:r>
    </w:p>
    <w:p>
      <w:pPr>
        <w:pStyle w:val="ListParagraph"/>
        <w:numPr>
          <w:ilvl w:val="0"/>
          <w:numId w:val="2"/>
        </w:numPr>
      </w:pPr>
      <w:r>
        <w:rPr>
          <w:rFonts w:ascii="Arial" w:cs="Arial" w:eastAsia="Arial" w:hAnsi="Arial"/>
          <w:sz w:val="22"/>
          <w:szCs w:val="22"/>
        </w:rPr>
        <w:t xml:space="preserve">T2.5 — Produire le diagramme d'architecture du pipeline RAG</w:t>
      </w:r>
    </w:p>
    <w:p>
      <w:pPr>
        <w:spacing w:after="400"/>
      </w:pPr>
    </w:p>
    <w:p>
      <w:pPr>
        <w:pBdr>
          <w:top w:val="single" w:color="B8860B" w:sz="2" w:space="4"/>
        </w:pBdr>
      </w:pPr>
      <w:r>
        <w:rPr>
          <w:rFonts w:ascii="Arial" w:cs="Arial" w:eastAsia="Arial" w:hAnsi="Arial"/>
          <w:color w:val="AAAAAA"/>
          <w:sz w:val="18"/>
          <w:szCs w:val="18"/>
        </w:rPr>
        <w:t xml:space="preserve">Document généré automatiquement — Agent RAG Phase 1 — v1.0</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2" w:space="4"/>
      </w:pBdr>
    </w:pPr>
    <w:r>
      <w:rPr>
        <w:rFonts w:ascii="Arial" w:cs="Arial" w:eastAsia="Arial" w:hAnsi="Arial"/>
        <w:color w:val="999999"/>
        <w:sz w:val="18"/>
        <w:szCs w:val="18"/>
      </w:rPr>
      <w:t xml:space="preserve">Agent RAG — Analyse de Rapports d'Activité</w:t>
    </w:r>
    <w:r>
      <w:rPr>
        <w:rFonts w:ascii="Arial" w:cs="Arial" w:eastAsia="Arial" w:hAnsi="Arial"/>
        <w:color w:val="BBBBBB"/>
        <w:sz w:val="18"/>
        <w:szCs w:val="18"/>
      </w:rPr>
      <w:t xml:space="preserve">   |   Spécifications Fonctionnelles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4" w:space="4"/>
      </w:pBdr>
      <w:spacing w:after="200" w:before="360"/>
      <w:outlineLvl w:val="0"/>
    </w:pPr>
    <w:rPr>
      <w:rFonts w:ascii="Arial" w:cs="Arial" w:eastAsia="Arial" w:hAnsi="Arial"/>
      <w:b/>
      <w:bCs/>
      <w:color w:val="1A1A2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B8860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2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2026-05-09T14:05:29.352Z</dcterms:created>
  <dcterms:modified xsi:type="dcterms:W3CDTF">2026-05-09T14:05:29.352Z</dcterms:modified>
</cp:coreProperties>
</file>

<file path=docProps/custom.xml><?xml version="1.0" encoding="utf-8"?>
<Properties xmlns="http://schemas.openxmlformats.org/officeDocument/2006/custom-properties" xmlns:vt="http://schemas.openxmlformats.org/officeDocument/2006/docPropsVTypes"/>
</file>