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چندین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اشتراک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مشخصه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ابسترکتی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QPluginLoader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Q_DECLARE_INTERFACE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بیفتد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ورژن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ابزار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