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88.png" ContentType="image/png"/>
  <Override PartName="/word/media/rId85.png" ContentType="image/png"/>
  <Override PartName="/word/media/rId64.png" ContentType="image/png"/>
  <Override PartName="/word/media/rId67.png" ContentType="image/png"/>
  <Override PartName="/word/media/rId70.png" ContentType="image/png"/>
  <Override PartName="/word/media/rId73.png" ContentType="image/png"/>
  <Override PartName="/word/media/rId91.png" ContentType="image/png"/>
  <Override PartName="/word/media/rId94.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2" w:name="editors-requests"/>
    <w:p>
      <w:pPr>
        <w:pStyle w:val="Heading1"/>
      </w:pPr>
      <w:r>
        <w:t xml:space="preserve">EDITOR’S REQUESTS</w:t>
      </w:r>
    </w:p>
    <w:bookmarkStart w:id="21" w:name="overview-of-the-revision"/>
    <w:p>
      <w:pPr>
        <w:pStyle w:val="Heading2"/>
      </w:pPr>
      <w:r>
        <w:t xml:space="preserve">OVERVIEW OF THE REVISION</w:t>
      </w:r>
    </w:p>
    <w:p>
      <w:pPr>
        <w:pStyle w:val="BlockText"/>
      </w:pPr>
      <w:r>
        <w:rPr>
          <w:b/>
          <w:bCs/>
        </w:rPr>
        <w:t xml:space="preserve">Authors</w:t>
      </w:r>
      <w:r>
        <w:t xml:space="preserve"> </w:t>
      </w:r>
      <w:r>
        <w:t xml:space="preserve">We thank the Editor and reviewers for their careful assessment of our manuscript.</w:t>
      </w:r>
      <w:r>
        <w:t xml:space="preserve"> </w:t>
      </w:r>
      <w:r>
        <w:t xml:space="preserve">Since receiving their comments, we have undertaken a substantial analytical and textual revision.</w:t>
      </w:r>
      <w:r>
        <w:t xml:space="preserve"> </w:t>
      </w:r>
      <w:r>
        <w:t xml:space="preserve">We strengthened the central H1 comparison at both scales: the spatial analysis now accounts for time within each pollen sequence, while the temporal analysis accounts for spatial structure among sequences within each continental-group time slice.</w:t>
      </w:r>
      <w:r>
        <w:t xml:space="preserve"> </w:t>
      </w:r>
      <w:r>
        <w:t xml:space="preserve">Following revisions to the model specifications, we refitted the complete set of hierarchical generalised additive models (hGAMs) used to describe temporal trajectories of pollen assemblage properties and predictor histories, then regenerated their predictions and figures.</w:t>
      </w:r>
      <w:r>
        <w:t xml:space="preserve"> </w:t>
      </w:r>
      <w:r>
        <w:t xml:space="preserve">We corrected the extraction of hierarchical variation-partitioning contributions and now report overall model fit separately from the relative contributions of climate and human activity.</w:t>
      </w:r>
    </w:p>
    <w:p>
      <w:pPr>
        <w:pStyle w:val="BlockText"/>
      </w:pPr>
      <w:r>
        <w:rPr>
          <w:b/>
          <w:bCs/>
        </w:rPr>
        <w:t xml:space="preserve">Authors</w:t>
      </w:r>
      <w:r>
        <w:t xml:space="preserve"> </w:t>
      </w:r>
      <w:r>
        <w:t xml:space="preserve">We added quality-control and sensitivity analyses of pollen-count coverage, correlations among pollen assemblage properties, shared and negative contributions, residual spatial dependence, spatial thinning, omission of geographic groups, the archaeological radiocarbon neighbourhood, and the definition of the human-activity proxy.</w:t>
      </w:r>
      <w:r>
        <w:t xml:space="preserve"> </w:t>
      </w:r>
      <w:r>
        <w:t xml:space="preserve">After adding these checks and sensitivity analyses, we continue to find the same general pattern as in the original H1 analysis: climate had the larger estimated contribution than human activity at the broad spatial and temporal scales examined.</w:t>
      </w:r>
    </w:p>
    <w:p>
      <w:pPr>
        <w:pStyle w:val="BlockText"/>
      </w:pPr>
      <w:r>
        <w:rPr>
          <w:b/>
          <w:bCs/>
        </w:rPr>
        <w:t xml:space="preserve">Authors</w:t>
      </w:r>
      <w:r>
        <w:t xml:space="preserve"> </w:t>
      </w:r>
      <w:r>
        <w:t xml:space="preserve">We have revised the Methods, Results, Discussion, figures, and Supplementary Information to make these changes and their limitations clear.</w:t>
      </w:r>
      <w:r>
        <w:t xml:space="preserve"> </w:t>
      </w:r>
      <w:r>
        <w:t xml:space="preserve">The responses below address the editorial requirements and each reviewer comment in detail.</w:t>
      </w:r>
    </w:p>
    <w:p>
      <w:pPr>
        <w:pStyle w:val="FirstParagraph"/>
      </w:pPr>
      <w:r>
        <w:t xml:space="preserve">In particular, the following editorial requirements need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strengthened the evidence for the central conclusion and clarified what the models do and do not show. The revised article now distinguishes the overall explanatory power of each model from the relative contributions associated with palaeoclimate and human activity. During revision, we also corrected the extraction of these contributions and examined whether the conclusion depended on alternative treatments of shared or negative components. Palaeoclimate had the larger estimated contribution in 891 of the 1,098 pollen sequences in the controlled spatial analysis (81.1%). For these same sequences, total adjusted</w:t>
      </w:r>
      <w:r>
        <w:t xml:space="preserve"> </w:t>
      </w:r>
      <m:oMath>
        <m:sSup>
          <m:e>
            <m:r>
              <m:t>R</m:t>
            </m:r>
          </m:e>
          <m:sup>
            <m:r>
              <m:t>2</m:t>
            </m:r>
          </m:sup>
        </m:sSup>
      </m:oMath>
      <w:r>
        <w:t xml:space="preserve"> </w:t>
      </w:r>
      <w:r>
        <w:t xml:space="preserve">was 0.440 [0.426, 0.449] (mean, 95% CI) and 0.450 [0.326, 0.567] (median, interquartile range). The regional analysis through time gave the same general result: climate had the larger estimated contribution in 69 of 70 comparisons for which both climate and archaeological evidence could be evaluated.</w:t>
      </w:r>
    </w:p>
    <w:p>
      <w:pPr>
        <w:pStyle w:val="BlockText"/>
      </w:pPr>
      <w:r>
        <w:rPr>
          <w:b/>
          <w:bCs/>
        </w:rPr>
        <w:t xml:space="preserve">Changes in the revised article.</w:t>
      </w:r>
      <w:r>
        <w:t xml:space="preserve"> </w:t>
      </w:r>
      <w:r>
        <w:t xml:space="preserve">These results are reported in “H1: Holocene human impact secondary to palaeoclimate” and in Figs. 3–4. The Supplementary Information documents model fit, uncertainty arising from shared explanatory variation, and alternative ways of summarising the contributions. The Discussion now makes clear that these contributions divide the variation explained by a model; they do not represent proportions of all ecological change recorded in the pollen data.</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revised the article to describe explicitly the different spatial worlds represented by the evidence. A pollen sequence reflects vegetation within a source area that differs among lakes, bogs, and depositional settings. The climatic values describe conditions at the location of each sequence, whereas the archaeological SPDs draw on radiocarbon dates from a much broader surrounding landscape. The expert chronologies represent regionally informed interpretations of changes within individual pollen diagrams. These sources cannot be made spatially equivalent within a global compilation. We therefore restrict our conclusion to continental-group and regional patterns between 8.5 and 2.0 ka BP and discuss how scale affects ecological interpretation. We also compare results obtained with 250 and 500 km archaeological neighbourhoods and with alternative evidence for human activity. The revised Discussion gives fuller attention to pollen production and count size, regional differences in archaeological knowledge, climatic smoothing, shifting Holocene climates, and the persistence of spatial and temporal structure in ecological archives.</w:t>
      </w:r>
    </w:p>
    <w:p>
      <w:pPr>
        <w:pStyle w:val="BlockText"/>
      </w:pPr>
      <w:r>
        <w:rPr>
          <w:b/>
          <w:bCs/>
        </w:rPr>
        <w:t xml:space="preserve">Changes in the revised article.</w:t>
      </w:r>
      <w:r>
        <w:t xml:space="preserve"> </w:t>
      </w:r>
      <w:r>
        <w:t xml:space="preserve">The spatial meaning and limitations of each source are now explained in the Methods sections on data filtering, spatial units, human activity, palaeoclimate, and H1. Their consequences for interpreting local and regional ecological change are developed in the Discussion, with the supporting analyses reported in the Supplementary Information.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have expanded the Methods so that readers can follow the evidence from pollen counts and archaeological dates to the ecological comparison presented in the Results. The revised text explains how sequences were selected, how the ten pollen assemblage properties were calculated, how temporal trajectories were summarised without allowing long or densely sampled sequences to dominate, and how the climate and human-history variables were assembled. It also distinguishes the amount of variation explained by a model from the division of that explained variation between climate and human activity. The treatment of time, spatial pattern, and the supplementary robustness analyses is now stated explicitly. The guide below shows which pollen sequences or continental-group time intervals contribute to each part of the study.</w:t>
      </w:r>
    </w:p>
    <w:p>
      <w:pPr>
        <w:pStyle w:val="BlockText"/>
      </w:pPr>
      <w:r>
        <w:rPr>
          <w:b/>
          <w:bCs/>
        </w:rPr>
        <w:t xml:space="preserve">Changes in the revised article.</w:t>
      </w:r>
      <w:r>
        <w:t xml:space="preserve"> </w:t>
      </w:r>
      <w:r>
        <w:t xml:space="preserve">These explanations are integrated throughout the Methods. More specialised checks are described under “Result-validation analyses” in Methods, and each figure and table now states the sequences, regions, or time intervals on which it is based.</w:t>
      </w:r>
    </w:p>
    <w:p>
      <w:pPr>
        <w:pStyle w:val="BlockText"/>
      </w:pPr>
      <w:r>
        <w:rPr>
          <w:b/>
          <w:bCs/>
        </w:rPr>
        <w:t xml:space="preserve">Analysis subset guide (authors’ summary).</w:t>
      </w:r>
    </w:p>
    <w:p>
      <w:pPr>
        <w:pStyle w:val="BlockText"/>
      </w:pPr>
      <w:r>
        <w:t xml:space="preserve">The rows below refer to different bodies of evidence and, in two cases, different units of observation. They are therefore not successive losses from a single dataset. Full definitions are provided in Supplementary Table S1.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Evidence used</w:t>
            </w:r>
          </w:p>
        </w:tc>
        <w:tc>
          <w:tcPr/>
          <w:p>
            <w:pPr>
              <w:pStyle w:val="Compact"/>
              <w:jc w:val="right"/>
            </w:pPr>
            <w:r>
              <w:t xml:space="preserve">Count</w:t>
            </w:r>
          </w:p>
        </w:tc>
        <w:tc>
          <w:tcPr/>
          <w:p>
            <w:pPr>
              <w:pStyle w:val="Compact"/>
            </w:pPr>
            <w:r>
              <w:t xml:space="preserve">Sequences or comparisons represented</w:t>
            </w:r>
          </w:p>
        </w:tc>
      </w:tr>
      <w:tr>
        <w:tc>
          <w:tcPr/>
          <w:p>
            <w:pPr>
              <w:pStyle w:val="Compact"/>
            </w:pPr>
            <w:r>
              <w:t xml:space="preserve">Prepared pollen collection</w:t>
            </w:r>
          </w:p>
        </w:tc>
        <w:tc>
          <w:tcPr/>
          <w:p>
            <w:pPr>
              <w:pStyle w:val="Compact"/>
              <w:jc w:val="right"/>
            </w:pPr>
            <w:r>
              <w:t xml:space="preserve">1,270</w:t>
            </w:r>
          </w:p>
        </w:tc>
        <w:tc>
          <w:tcPr/>
          <w:p>
            <w:pPr>
              <w:pStyle w:val="Compact"/>
            </w:pPr>
            <w:r>
              <w:t xml:space="preserve">Pollen sequences after baseline preparation</w:t>
            </w:r>
          </w:p>
        </w:tc>
      </w:tr>
      <w:tr>
        <w:tc>
          <w:tcPr/>
          <w:p>
            <w:pPr>
              <w:pStyle w:val="Compact"/>
            </w:pPr>
            <w:r>
              <w:t xml:space="preserve">Sequences considered for the initial spatial analysis</w:t>
            </w:r>
          </w:p>
        </w:tc>
        <w:tc>
          <w:tcPr/>
          <w:p>
            <w:pPr>
              <w:pStyle w:val="Compact"/>
              <w:jc w:val="right"/>
            </w:pPr>
            <w:r>
              <w:t xml:space="preserve">1,262</w:t>
            </w:r>
          </w:p>
        </w:tc>
        <w:tc>
          <w:tcPr/>
          <w:p>
            <w:pPr>
              <w:pStyle w:val="Compact"/>
            </w:pPr>
            <w:r>
              <w:t xml:space="preserve">Initial set before model eligibility checks</w:t>
            </w:r>
          </w:p>
        </w:tc>
      </w:tr>
      <w:tr>
        <w:tc>
          <w:tcPr/>
          <w:p>
            <w:pPr>
              <w:pStyle w:val="Compact"/>
            </w:pPr>
            <w:r>
              <w:t xml:space="preserve">Sequences with an estimable initial comparison</w:t>
            </w:r>
          </w:p>
        </w:tc>
        <w:tc>
          <w:tcPr/>
          <w:p>
            <w:pPr>
              <w:pStyle w:val="Compact"/>
              <w:jc w:val="right"/>
            </w:pPr>
            <w:r>
              <w:t xml:space="preserve">1,156</w:t>
            </w:r>
          </w:p>
        </w:tc>
        <w:tc>
          <w:tcPr/>
          <w:p>
            <w:pPr>
              <w:pStyle w:val="Compact"/>
            </w:pPr>
            <w:r>
              <w:t xml:space="preserve">Sequences for which climate and human contributions could be estimated</w:t>
            </w:r>
          </w:p>
        </w:tc>
      </w:tr>
      <w:tr>
        <w:tc>
          <w:tcPr/>
          <w:p>
            <w:pPr>
              <w:pStyle w:val="Compact"/>
            </w:pPr>
            <w:r>
              <w:t xml:space="preserve">Principal spatial analysis</w:t>
            </w:r>
          </w:p>
        </w:tc>
        <w:tc>
          <w:tcPr/>
          <w:p>
            <w:pPr>
              <w:pStyle w:val="Compact"/>
              <w:jc w:val="right"/>
            </w:pPr>
            <w:r>
              <w:t xml:space="preserve">1,098</w:t>
            </w:r>
          </w:p>
        </w:tc>
        <w:tc>
          <w:tcPr/>
          <w:p>
            <w:pPr>
              <w:pStyle w:val="Compact"/>
            </w:pPr>
            <w:r>
              <w:t xml:space="preserve">Pollen sequences analysed after accounting for time within each sequence</w:t>
            </w:r>
          </w:p>
        </w:tc>
      </w:tr>
      <w:tr>
        <w:tc>
          <w:tcPr/>
          <w:p>
            <w:pPr>
              <w:pStyle w:val="Compact"/>
            </w:pPr>
            <w:r>
              <w:t xml:space="preserve">Principal regional analysis through time</w:t>
            </w:r>
          </w:p>
        </w:tc>
        <w:tc>
          <w:tcPr/>
          <w:p>
            <w:pPr>
              <w:pStyle w:val="Compact"/>
              <w:jc w:val="right"/>
            </w:pPr>
            <w:r>
              <w:t xml:space="preserve">70</w:t>
            </w:r>
          </w:p>
        </w:tc>
        <w:tc>
          <w:tcPr/>
          <w:p>
            <w:pPr>
              <w:pStyle w:val="Compact"/>
            </w:pPr>
            <w:r>
              <w:t xml:space="preserve">Regional time intervals analysed after accounting for geographical pattern</w:t>
            </w:r>
          </w:p>
        </w:tc>
      </w:tr>
      <w:tr>
        <w:tc>
          <w:tcPr/>
          <w:p>
            <w:pPr>
              <w:pStyle w:val="Compact"/>
            </w:pPr>
            <w:r>
              <w:t xml:space="preserve">Spatial comparison of archaeological and expert evidence</w:t>
            </w:r>
          </w:p>
        </w:tc>
        <w:tc>
          <w:tcPr/>
          <w:p>
            <w:pPr>
              <w:pStyle w:val="Compact"/>
              <w:jc w:val="right"/>
            </w:pPr>
            <w:r>
              <w:t xml:space="preserve">151</w:t>
            </w:r>
          </w:p>
        </w:tc>
        <w:tc>
          <w:tcPr/>
          <w:p>
            <w:pPr>
              <w:pStyle w:val="Compact"/>
            </w:pPr>
            <w:r>
              <w:t xml:space="preserve">Sequences with both archaeological and expert evidence available for comparison</w:t>
            </w:r>
          </w:p>
        </w:tc>
      </w:tr>
      <w:tr>
        <w:tc>
          <w:tcPr/>
          <w:p>
            <w:pPr>
              <w:pStyle w:val="Compact"/>
            </w:pPr>
            <w:r>
              <w:t xml:space="preserve">Temporal comparison of archaeological and expert evidence</w:t>
            </w:r>
          </w:p>
        </w:tc>
        <w:tc>
          <w:tcPr/>
          <w:p>
            <w:pPr>
              <w:pStyle w:val="Compact"/>
              <w:jc w:val="right"/>
            </w:pPr>
            <w:r>
              <w:t xml:space="preserve">61</w:t>
            </w:r>
          </w:p>
        </w:tc>
        <w:tc>
          <w:tcPr/>
          <w:p>
            <w:pPr>
              <w:pStyle w:val="Compact"/>
            </w:pPr>
            <w:r>
              <w:t xml:space="preserve">Regional time intervals with both forms of human evidence available</w:t>
            </w:r>
          </w:p>
        </w:tc>
      </w:tr>
    </w:tbl>
    <w:bookmarkEnd w:id="21"/>
    <w:bookmarkEnd w:id="22"/>
    <w:bookmarkStart w:id="106" w:name="reviewer-comments"/>
    <w:p>
      <w:pPr>
        <w:pStyle w:val="Heading1"/>
      </w:pPr>
      <w:r>
        <w:t xml:space="preserve">REVIEWER COMMENTS</w:t>
      </w:r>
    </w:p>
    <w:bookmarkStart w:id="31" w:name="reviewer-1-remarks-to-the-author"/>
    <w:p>
      <w:pPr>
        <w:pStyle w:val="Heading2"/>
      </w:pPr>
      <w:r>
        <w:t xml:space="preserve">Reviewer #1 (Remarks to the Author)</w:t>
      </w:r>
    </w:p>
    <w:bookmarkStart w:id="23"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the constructive assessment. The revision defines more carefully the ecological meaning of the pollen assemblage properties, the historical interval and spatial scales to which the conclusions apply, and the strengths and limitations of the climate and archaeological evidence.</w:t>
      </w:r>
    </w:p>
    <w:bookmarkEnd w:id="23"/>
    <w:bookmarkStart w:id="24"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specifies the interval 8.5–2.0 ka BP and refers to pollen assemblage dynamics. This is the period for which the archaeological SPD evidence supports the principal comparison. Some expert-identified events occur after 2.0 ka BP, but these younger observations are shown separately and do not extend the principal conclusion into the last two millennia. We have also removed the broad statement that human transformation was not destructive. The revised Discussion instead emphasises that our result concerns the spatially aggregated ecological patterns represented in this study and does not diminish the extensive historical and palaeoecological evidence for substantial local human transformation.</w:t>
      </w:r>
    </w:p>
    <w:p>
      <w:pPr>
        <w:pStyle w:val="BlockText"/>
      </w:pPr>
      <w:r>
        <w:rPr>
          <w:b/>
          <w:bCs/>
        </w:rPr>
        <w:t xml:space="preserve">Changes in the revised article.</w:t>
      </w:r>
      <w:r>
        <w:t xml:space="preserve"> </w:t>
      </w:r>
      <w:r>
        <w:t xml:space="preserve">The title is now “Climate outweighs human effects on pollen assemblage dynamics from 8.5 to 2.0 ka BP.” The same temporal and ecological scope is maintained in the Abstract, hypotheses, Results, Discussion, and Conclusion. Younger event observations are identified separately in Fig. 4.</w:t>
      </w:r>
    </w:p>
    <w:bookmarkEnd w:id="24"/>
    <w:bookmarkStart w:id="25"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a fuller discussion. CHELSA-TraCE21k provides a spatially continuous and internally consistent description of climatic change across regions where proxy reconstructions remain uneven. This is valuable for a global comparison, but the simulations smooth short-lived and local climatic variation, depend on model assumptions, and may not reproduce conditions within the actual pollen source area, especially where elevation or topography changes over short distances. We therefore interpret the climate variables as broad representations of climatic history rather than exact reconstructions of the environments surrounding individual sites.</w:t>
      </w:r>
    </w:p>
    <w:p>
      <w:pPr>
        <w:pStyle w:val="BlockText"/>
      </w:pPr>
      <w:r>
        <w:rPr>
          <w:b/>
          <w:bCs/>
        </w:rPr>
        <w:t xml:space="preserve">Changes in the revised article.</w:t>
      </w:r>
      <w:r>
        <w:t xml:space="preserve"> </w:t>
      </w:r>
      <w:r>
        <w:t xml:space="preserve">The advantages and limitations of the simulated climate histories are now explained under “Palaeoclimate” and revisited in the Discussion when comparing local ecological change with broad climatic patterns.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We retain archaeological SPDs as validated proxies for regional human population changes, while making clear that they are histories of dated archaeological activity rather than direct censuses of past populations. Their form is influenced by preservation, calibration, archaeological research traditions, and uneven knowledge among regions and periods. SPD remains the principal human-history proxy because it is independent of the pollen response and can be compared across much of the study area. The expert-derived events contribute a different kind of evidence: regionally informed indications of land use and vegetation disturbance within pollen diagrams. They can reveal changes not represented by a regional SPD, but they are unevenly available and partly circular because both the event and the ecological response may be inferred from the same pollen sequence. We therefore use them to examine sensitivity to the choice of historical evidence, not as independent confirmation.</w:t>
      </w:r>
    </w:p>
    <w:p>
      <w:pPr>
        <w:pStyle w:val="BlockText"/>
      </w:pPr>
      <w:r>
        <w:rPr>
          <w:b/>
          <w:bCs/>
        </w:rPr>
        <w:t xml:space="preserve">Changes in the revised article.</w:t>
      </w:r>
      <w:r>
        <w:t xml:space="preserve"> </w:t>
      </w:r>
      <w:r>
        <w:t xml:space="preserve">These complementary strengths and limitations are now explained in the Methods and Discussion. The Supplementary Information shows how the results change when archaeological SPDs, expert-derived events, or both are used to represent human activity.</w:t>
      </w:r>
    </w:p>
    <w:bookmarkEnd w:id="25"/>
    <w:bookmarkStart w:id="26"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literature is essential context. The Discussion now relates our study to European and other regional attempts to separate climatic and human influences on past vegetation. We also clarify an important ecological distinction: our response variables describe richness, evenness, turnover, and other properties of pollen assemblages, whereas several earlier studies reconstructed changes in particular taxa or vegetation composition.</w:t>
      </w:r>
    </w:p>
    <w:p>
      <w:pPr>
        <w:pStyle w:val="BlockText"/>
      </w:pPr>
      <w:r>
        <w:rPr>
          <w:b/>
          <w:bCs/>
        </w:rPr>
        <w:t xml:space="preserve">Changes in the revised article.</w:t>
      </w:r>
      <w:r>
        <w:t xml:space="preserve"> </w:t>
      </w:r>
      <w:r>
        <w:t xml:space="preserve">The revised text discusses Kuosmanen et al. (2018), Marquer et al. (2017), Reitalu et al. (2013) on climatic and human influences on forest composition, and Reitalu et al. (2015) on functional and phylogenetic diversity inferred from pollen.</w:t>
      </w:r>
    </w:p>
    <w:bookmarkEnd w:id="26"/>
    <w:bookmarkStart w:id="27"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now describe human activity as the proposed “primary driver” in H1. This wording reflects the intended comparison with climate without implying that a smaller estimated contribution would make human influence ecologically unimportant.</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continental-group and regional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agree and now distinguish the geographical coherence of a driver from the ecological importance of its local effects. Climatic change can produce related responses across widely separated pollen sequences, whereas cultivation, burning, grazing, woodland clearance, and settlement often have intense but spatially heterogeneous effects. Summarising pollen assemblage properties across continental-group and regional units may therefore accentuate the coherent climatic component while obscuring diverse local histories of land use. The revised interpretation makes this scale dependence explicit.</w:t>
      </w:r>
    </w:p>
    <w:p>
      <w:pPr>
        <w:pStyle w:val="BlockText"/>
      </w:pPr>
      <w:r>
        <w:rPr>
          <w:b/>
          <w:bCs/>
        </w:rPr>
        <w:t xml:space="preserve">Changes in the revised article.</w:t>
      </w:r>
      <w:r>
        <w:t xml:space="preserve"> </w:t>
      </w:r>
      <w:r>
        <w:t xml:space="preserve">The Discussion now cautions that the broad climatic pattern should not be used to discount well-supported local histories of human transformation. It also explains how the spatial extent of pollen recruitment, archaeological evidence, and analytical regions affects the comparison.</w:t>
      </w:r>
    </w:p>
    <w:p>
      <w:pPr>
        <w:pStyle w:val="FirstParagraph"/>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the ecological interpretation required expansion. Richness records how many pollen types were detected; evenness describes how evenly they were represented; turnover and rate of change indicate the degree to which assemblages were reorganised through time. These properties can reflect migration, community reassembly, changes in dominance, disturbance, and land use. They are also shaped by pollen productivity and dispersal, basin setting, taxonomic resolution, and sampling effort. We therefore interpret them as properties of the pollen assemblage and avoid attributing a climatic or human contribution to particular trees, grasses, crops, or disturbance indicators without a taxon-level analysis.</w:t>
      </w:r>
    </w:p>
    <w:p>
      <w:pPr>
        <w:pStyle w:val="BlockText"/>
      </w:pPr>
      <w:r>
        <w:rPr>
          <w:b/>
          <w:bCs/>
        </w:rPr>
        <w:t xml:space="preserve">Changes in the revised article.</w:t>
      </w:r>
      <w:r>
        <w:t xml:space="preserve"> </w:t>
      </w:r>
      <w:r>
        <w:t xml:space="preserve">The Discussion now explains the ecological meaning of each family of pollen assemblage properties and distinguishes this approach from reconstructions of particular taxa or land-cover classes.</w:t>
      </w:r>
    </w:p>
    <w:bookmarkEnd w:id="27"/>
    <w:bookmarkStart w:id="28"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account of how the pollen archive was assembled. Duplicate sequences were removed; samples outside the study interval or lacking adequate chronological control were excluded; each retained sample contained at least 25 terrestrial pollen grains; and each sequence contained at least five usable samples. Taxonomic names were harmonised before the assemblage properties were calculated. Africa was not included because the available sequences were too sparse when the compilation was assembled to support comparable regional analyses. This procedure yielded 1,270 prepared sequences, of which 1,262 entered the original H1 spatial analysis. Particular analyses use fewer sequences where the necessary climate, archaeological, ecological, or control information is absent.</w:t>
      </w:r>
    </w:p>
    <w:p>
      <w:pPr>
        <w:pStyle w:val="BlockText"/>
      </w:pPr>
      <w:r>
        <w:rPr>
          <w:b/>
          <w:bCs/>
        </w:rPr>
        <w:t xml:space="preserve">Changes in the revised article.</w:t>
      </w:r>
      <w:r>
        <w:t xml:space="preserve"> </w:t>
      </w:r>
      <w:r>
        <w:t xml:space="preserve">The full selection criteria are now listed under “Data filtering.” Supplementary Table S1 and the guide at the beginning of this letter identify the sequences or regional comparisons represented in each analysis. Because the original search did not retain a complete count of every potentially available public sequence, we do not present the prepared collection as a fully quantified global census of pollen sequences.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Basin size and depositional setting determine how much of the surrounding vegetation contributes pollen to a sequence, while distance from settlements or cultivated land affects the likelihood that local land use will be recorded. These differences are ecologically important when a site-scale pollen signal is compared with an archaeological history assembled over hundreds of kilometres. Consistent information on basin geometry, depositional environment, and settlement proximity is unavailable for much of the global compilation, so these factors could not be represented uniformly in the models. We consequently restrict the interpretation to broad spatial patterns and discuss why individual sites may depart from them.</w:t>
      </w:r>
    </w:p>
    <w:p>
      <w:pPr>
        <w:pStyle w:val="BlockText"/>
      </w:pPr>
      <w:r>
        <w:rPr>
          <w:b/>
          <w:bCs/>
        </w:rPr>
        <w:t xml:space="preserve">Changes in the revised article.</w:t>
      </w:r>
      <w:r>
        <w:t xml:space="preserve"> </w:t>
      </w:r>
      <w:r>
        <w:t xml:space="preserve">The Methods and Discussion now give greater attention to basin setting, pollen source area, and the contrast between local land-use histories and broad archaeological neighbourhoods. A separate comparison shows how the results change when dates are drawn from 250 rather than 500 km around a pollen site.</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climatic boundaries moved during the Holocene. We now call the five broad geographical units</w:t>
      </w:r>
      <w:r>
        <w:t xml:space="preserve"> </w:t>
      </w:r>
      <w:r>
        <w:rPr>
          <w:i/>
          <w:iCs/>
        </w:rPr>
        <w:t xml:space="preserve">continental groups</w:t>
      </w:r>
      <w:r>
        <w:t xml:space="preserve"> </w:t>
      </w:r>
      <w:r>
        <w:t xml:space="preserve">and their smaller analytical subdivisions</w:t>
      </w:r>
      <w:r>
        <w:t xml:space="preserve"> </w:t>
      </w:r>
      <w:r>
        <w:rPr>
          <w:i/>
          <w:iCs/>
        </w:rPr>
        <w:t xml:space="preserve">regions</w:t>
      </w:r>
      <w:r>
        <w:t xml:space="preserve">. The regions were defined reproducibly from present-day Köppen–Geiger classes to divide the sequences into groups that are easier to compare. This is a practical classification, not a claim that these are natural, permanent, or uniquely correct ecological boundaries. A site assigned to a region using its modern Köppen–Geiger class may have experienced different climatic conditions in the past. The continuous palaeoclimate histories, rather than the fixed regional assignments, provide the climatic evidence in the fitted models.</w:t>
      </w:r>
    </w:p>
    <w:p>
      <w:pPr>
        <w:pStyle w:val="BlockText"/>
      </w:pPr>
      <w:r>
        <w:rPr>
          <w:b/>
          <w:bCs/>
        </w:rPr>
        <w:t xml:space="preserve">Changes in the revised article.</w:t>
      </w:r>
      <w:r>
        <w:t xml:space="preserve"> </w:t>
      </w:r>
      <w:r>
        <w:t xml:space="preserve">The Methods now define</w:t>
      </w:r>
      <w:r>
        <w:t xml:space="preserve"> </w:t>
      </w:r>
      <w:r>
        <w:rPr>
          <w:i/>
          <w:iCs/>
        </w:rPr>
        <w:t xml:space="preserve">continental groups</w:t>
      </w:r>
      <w:r>
        <w:t xml:space="preserve"> </w:t>
      </w:r>
      <w:r>
        <w:t xml:space="preserve">and</w:t>
      </w:r>
      <w:r>
        <w:t xml:space="preserve"> </w:t>
      </w:r>
      <w:r>
        <w:rPr>
          <w:i/>
          <w:iCs/>
        </w:rPr>
        <w:t xml:space="preserve">regions</w:t>
      </w:r>
      <w:r>
        <w:t xml:space="preserve"> </w:t>
      </w:r>
      <w:r>
        <w:t xml:space="preserve">and explain why the regions were formed. Figure captions, tables, and the Discussion use these terms consistently and state the limits of a fixed modern classification.</w:t>
      </w:r>
    </w:p>
    <w:bookmarkEnd w:id="28"/>
    <w:bookmarkStart w:id="29"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small pollen counts make richness, evenness, and turnover less precise. We have clarified that 25 grains is the minimum for retaining an individual sample, whereas 150 grains is the usual rarefaction target. A lower sequence-specific target is used only when a sequence cannot consistently support 150 grains. Retaining these sequences preserves evidence from regions where pollen archives are sparse. We also quantified the geographical cost of more demanding targets. A target of 300 grains retains 1105 of 1270 sequences; a target of 500 grains retains 616; and a target of 1,000 grains retains only 246. The losses are strongly uneven among regions and periods, so stricter filtering would narrow both the quantity and historical representativeness of the evidence. These comparisons raise the rarefaction target and its associated minimum; they do not require every sample to contain 300 or 500 grains, and they do not constitute a refitted H1 analysis at those strict minima.</w:t>
      </w:r>
    </w:p>
    <w:p>
      <w:pPr>
        <w:pStyle w:val="BlockText"/>
      </w:pPr>
      <w:r>
        <w:rPr>
          <w:b/>
          <w:bCs/>
        </w:rPr>
        <w:t xml:space="preserve">Changes in the revised article.</w:t>
      </w:r>
      <w:r>
        <w:t xml:space="preserve"> </w:t>
      </w:r>
      <w:r>
        <w:t xml:space="preserve">The Methods now distinguish the 25-grain sample minimum, the requirement that more than half of samples in a retained count-based sequence meet the 150-grain target, and the lower rarefaction targets used for some retained sequences. Supplementary Fig. S23 and Supplementary Table S3 show how stricter targets reduce regional and temporal coverage, and the Discussion treats finite counts and pollen production as limitations on ecological interpretation.</w:t>
      </w:r>
    </w:p>
    <w:bookmarkEnd w:id="29"/>
    <w:bookmarkStart w:id="30"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and have reorganised the figures around the ecological sequence of the argument. Fig. 1 introduces the study design. Fig. 2 then shows six representative histories of pollen assemblage change, with all ten properties presented in Supplementary Figs. S12–S21. Figs. 3 and 4 compare the climatic and human contributions in space and through time. The former H2 figure is now Supplementary Fig. S10, and the remaining robustness analyses are grouped in the Supplementary Information.</w:t>
      </w:r>
    </w:p>
    <w:p>
      <w:pPr>
        <w:pStyle w:val="BlockText"/>
      </w:pPr>
      <w:r>
        <w:rPr>
          <w:b/>
          <w:bCs/>
        </w:rPr>
        <w:t xml:space="preserve">Changes in the revised article.</w:t>
      </w:r>
      <w:r>
        <w:t xml:space="preserve"> </w:t>
      </w:r>
      <w:r>
        <w:t xml:space="preserve">Figs. 2–4 now each address one principal question at a readable scale, and their captions identify the evidence, temporal or spatial controls, and treatment of uncertain estimates.</w:t>
      </w:r>
    </w:p>
    <w:p>
      <w:pPr>
        <w:pStyle w:val="FirstParagraph"/>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The revised article now places the statistical comparison within a clearer account of the pollen archive, the historical proxies, the spatial scale of ecological change, and the limits of broad-scale inference.</w:t>
      </w:r>
    </w:p>
    <w:bookmarkEnd w:id="30"/>
    <w:bookmarkEnd w:id="31"/>
    <w:bookmarkStart w:id="99"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scope of the study and for identifying where the ecological evidence and its limitations required clearer explanation. We now refer consistently to pollen assemblage dynamics, define 8.5–2.0 ka BP as the interval supported by the principal archaeological comparison, and show younger expert-derived events separately. Histories of the pollen assemblage properties now precede the comparison of climate and human activity, and the revised Methods and Discussion give fuller attention to the construction, spatial meaning, and limitations of each source of evidence.</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overstated both the temporal extent and the ecological domain of the study. The revised title is “Climate outweighs human effects on pollen assemblage dynamics from 8.5 to 2.0 ka BP,” and the conclusion is explicitly restricted to this interval. The expert event chronology is too coarse to represent the full diversity of local human activity, but we have retained it as secondary historical evidence. It documents regionally interpreted indications of disturbance and land use that may be absent from archaeological SPDs and, in some regions, extends into younger periods. Comparing the two sources shows whether the broad conclusion depends on how human activity is represented. SPD remains the principal proxy, and the event chronology is not treated as independent confirmation because it partly derives from the same pollen archive as the ecological response.</w:t>
      </w:r>
    </w:p>
    <w:p>
      <w:pPr>
        <w:pStyle w:val="BlockText"/>
      </w:pPr>
      <w:r>
        <w:rPr>
          <w:b/>
          <w:bCs/>
        </w:rPr>
        <w:t xml:space="preserve">Changes in the revised article.</w:t>
      </w:r>
      <w:r>
        <w:t xml:space="preserve"> </w:t>
      </w:r>
      <w:r>
        <w:t xml:space="preserve">The title, Abstract, hypotheses, Results, Discussion, and Conclusion now define the principal interval as 8.5–2.0 ka BP. Younger event observations are labelled separately in Fig. 4. The Methods and Supplementary Information explain the different historical evidence represented by SPDs and expert-interpreted pollen events.</w:t>
      </w:r>
    </w:p>
    <w:bookmarkStart w:id="63"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that the histories of the pollen assemblage properties should be visible before their possible drivers are considered. We have therefore moved the descriptive trajectories ahead of the H1 results. Fig. 2 brings together six properties spanning richness, diversity, compositional change, and change-point density; Supplementary Figs. S12–S21 show all ten properties individually for each region within the continental groups. The shaded intervals convey uncertainty in the modelled trajectories, and gaps indicate where the contributing sequences do not provide sufficient temporal coverage. Each sequence contributes equally over its observed interval, so a long or densely sampled sequence does not dominate a regional curve. Together, these figures show both broad temporal tendencies and substantial variation among regions, providing ecological context for the subsequent comparison of climate and human activity.</w:t>
      </w:r>
    </w:p>
    <w:p>
      <w:pPr>
        <w:pStyle w:val="BlockText"/>
      </w:pPr>
      <w:r>
        <w:t xml:space="preserve">The regional curves are not response data for either H1 analysis. In the spatial analysis, HVarPart is fitted to PAP values within each individual fossil pollen sequence, and the resulting contributions are summarised across sequences only afterward. In the temporal analysis, PAP values from individual sequences enter 500-year continental-group time slices, with spatial structure among those sequences represented in the model. Neither analysis uses the plotted regional summary curves as its response. The</w:t>
      </w:r>
      <w:r>
        <w:t xml:space="preserve"> </w:t>
      </w:r>
      <w:hyperlink r:id="rId32">
        <w:r>
          <w:rPr>
            <w:rStyle w:val="Hyperlink"/>
          </w:rPr>
          <w:t xml:space="preserve">full collection of figures for eligible individual sequences</w:t>
        </w:r>
      </w:hyperlink>
      <w:r>
        <w:t xml:space="preserve"> </w:t>
      </w:r>
      <w:r>
        <w:t xml:space="preserve">is available on GitHub for inspection; the number of figures makes their inclusion in the Supplementary Information impractical.</w:t>
      </w:r>
    </w:p>
    <w:p>
      <w:pPr>
        <w:pStyle w:val="BlockText"/>
      </w:pPr>
      <w:r>
        <w:rPr>
          <w:b/>
          <w:bCs/>
        </w:rPr>
        <w:t xml:space="preserve">Changes in the revised article.</w:t>
      </w:r>
      <w:r>
        <w:t xml:space="preserve"> </w:t>
      </w:r>
      <w:r>
        <w:t xml:space="preserve">The Results now begin with “Temporal patterns in pollen assemblage properties.” Fig. 2 and Supplementary Figs. S12–S21 present descriptive regional trajectories. The Methods explicitly distinguish these displays from the sequence-level PAP values used in H1.</w:t>
      </w:r>
    </w:p>
    <w:p>
      <w:pPr>
        <w:pStyle w:val="FirstParagraph"/>
      </w:pPr>
      <w:r>
        <w:t xml:space="preserve">For ease of assessment, we reproduce the ten supplementary PAP figures below. They are descriptive summaries of sequence-level trajectories; the H1 models use PAP values from individual sequences, as explained above.</w:t>
      </w:r>
    </w:p>
    <w:p>
      <w:r>
        <w:br w:type="page"/>
      </w:r>
    </w:p>
    <w:p>
      <w:pPr>
        <w:pStyle w:val="BodyText"/>
      </w:pPr>
      <w:r>
        <w:drawing>
          <wp:inline>
            <wp:extent cx="5177790" cy="3836242"/>
            <wp:effectExtent b="0" l="0" r="0" t="0"/>
            <wp:docPr descr="" title="" id="34" name="Picture"/>
            <a:graphic>
              <a:graphicData uri="http://schemas.openxmlformats.org/drawingml/2006/picture">
                <pic:pic>
                  <pic:nvPicPr>
                    <pic:cNvPr descr="../figures/supplementary-figure-06-pap-n0.png" id="35" name="Picture"/>
                    <pic:cNvPicPr>
                      <a:picLocks noChangeArrowheads="1" noChangeAspect="1"/>
                    </pic:cNvPicPr>
                  </pic:nvPicPr>
                  <pic:blipFill>
                    <a:blip r:embed="rId33"/>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S12 (reproduced). Taxonomic richness (</w:t>
      </w:r>
      <m:oMath>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37" name="Picture"/>
            <a:graphic>
              <a:graphicData uri="http://schemas.openxmlformats.org/drawingml/2006/picture">
                <pic:pic>
                  <pic:nvPicPr>
                    <pic:cNvPr descr="../figures/supplementary-figure-07-pap-n1.png" id="38" name="Picture"/>
                    <pic:cNvPicPr>
                      <a:picLocks noChangeArrowheads="1" noChangeAspect="1"/>
                    </pic:cNvPicPr>
                  </pic:nvPicPr>
                  <pic:blipFill>
                    <a:blip r:embed="rId36"/>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S13 (reproduced). Shannon-effective diversity (</w:t>
      </w:r>
      <m:oMath>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0" name="Picture"/>
            <a:graphic>
              <a:graphicData uri="http://schemas.openxmlformats.org/drawingml/2006/picture">
                <pic:pic>
                  <pic:nvPicPr>
                    <pic:cNvPr descr="../figures/supplementary-figure-08-pap-n2.png" id="41" name="Picture"/>
                    <pic:cNvPicPr>
                      <a:picLocks noChangeArrowheads="1" noChangeAspect="1"/>
                    </pic:cNvPicPr>
                  </pic:nvPicPr>
                  <pic:blipFill>
                    <a:blip r:embed="rId39"/>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S14 (reproduced). Simpson-effective diversity (</w:t>
      </w:r>
      <m:oMath>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3" name="Picture"/>
            <a:graphic>
              <a:graphicData uri="http://schemas.openxmlformats.org/drawingml/2006/picture">
                <pic:pic>
                  <pic:nvPicPr>
                    <pic:cNvPr descr="../figures/supplementary-figure-09-pap-n1-minus-n2.png" id="44" name="Picture"/>
                    <pic:cNvPicPr>
                      <a:picLocks noChangeArrowheads="1" noChangeAspect="1"/>
                    </pic:cNvPicPr>
                  </pic:nvPicPr>
                  <pic:blipFill>
                    <a:blip r:embed="rId42"/>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S15 (reproduced). Shannon–Simpson diversity difference (</w:t>
      </w:r>
      <m:oMath>
        <m:sSub>
          <m:e>
            <m:r>
              <m:t>N</m:t>
            </m:r>
          </m:e>
          <m:sub>
            <m:r>
              <m:t>1</m:t>
            </m:r>
          </m:sub>
        </m:sSub>
        <m:r>
          <m:rPr>
            <m:sty m:val="p"/>
          </m:rPr>
          <m:t>−</m:t>
        </m:r>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6" name="Picture"/>
            <a:graphic>
              <a:graphicData uri="http://schemas.openxmlformats.org/drawingml/2006/picture">
                <pic:pic>
                  <pic:nvPicPr>
                    <pic:cNvPr descr="../figures/supplementary-figure-10-pap-n2-n1.png" id="47" name="Picture"/>
                    <pic:cNvPicPr>
                      <a:picLocks noChangeArrowheads="1" noChangeAspect="1"/>
                    </pic:cNvPicPr>
                  </pic:nvPicPr>
                  <pic:blipFill>
                    <a:blip r:embed="rId45"/>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S16 (reproduced). Simpson-to-Shannon diversity ratio (</w:t>
      </w:r>
      <m:oMath>
        <m:sSub>
          <m:e>
            <m:r>
              <m:t>N</m:t>
            </m:r>
          </m:e>
          <m:sub>
            <m:r>
              <m:t>2</m:t>
            </m:r>
          </m:sub>
        </m:sSub>
        <m:r>
          <m:rPr>
            <m:sty m:val="p"/>
          </m:rPr>
          <m:t>/</m:t>
        </m:r>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9" name="Picture"/>
            <a:graphic>
              <a:graphicData uri="http://schemas.openxmlformats.org/drawingml/2006/picture">
                <pic:pic>
                  <pic:nvPicPr>
                    <pic:cNvPr descr="../figures/supplementary-figure-11-pap-n1-n0.png" id="50" name="Picture"/>
                    <pic:cNvPicPr>
                      <a:picLocks noChangeArrowheads="1" noChangeAspect="1"/>
                    </pic:cNvPicPr>
                  </pic:nvPicPr>
                  <pic:blipFill>
                    <a:blip r:embed="rId48"/>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S17 (reproduced). Shannon-diversity-to-richness ratio (</w:t>
      </w:r>
      <m:oMath>
        <m:sSub>
          <m:e>
            <m:r>
              <m:t>N</m:t>
            </m:r>
          </m:e>
          <m:sub>
            <m:r>
              <m:t>1</m:t>
            </m:r>
          </m:sub>
        </m:sSub>
        <m:r>
          <m:rPr>
            <m:sty m:val="p"/>
          </m:rPr>
          <m:t>/</m:t>
        </m:r>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2" name="Picture"/>
            <a:graphic>
              <a:graphicData uri="http://schemas.openxmlformats.org/drawingml/2006/picture">
                <pic:pic>
                  <pic:nvPicPr>
                    <pic:cNvPr descr="../figures/supplementary-figure-12-pap-roc.png" id="53" name="Picture"/>
                    <pic:cNvPicPr>
                      <a:picLocks noChangeArrowheads="1" noChangeAspect="1"/>
                    </pic:cNvPicPr>
                  </pic:nvPicPr>
                  <pic:blipFill>
                    <a:blip r:embed="rId51"/>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S18 (reproduced). Rate of compositional change.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5" name="Picture"/>
            <a:graphic>
              <a:graphicData uri="http://schemas.openxmlformats.org/drawingml/2006/picture">
                <pic:pic>
                  <pic:nvPicPr>
                    <pic:cNvPr descr="../figures/supplementary-figure-13-pap-dcca.png" id="56" name="Picture"/>
                    <pic:cNvPicPr>
                      <a:picLocks noChangeArrowheads="1" noChangeAspect="1"/>
                    </pic:cNvPicPr>
                  </pic:nvPicPr>
                  <pic:blipFill>
                    <a:blip r:embed="rId54"/>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S19 (reproduced). DCCA axis 1.</w:t>
      </w:r>
      <w:r>
        <w:t xml:space="preserve"> </w:t>
      </w:r>
      <w:r>
        <w:t xml:space="preserve">Regional trajectories along the primary compositional gradient; the axis sign is arbitrary.</w:t>
      </w:r>
    </w:p>
    <w:p>
      <w:r>
        <w:br w:type="page"/>
      </w:r>
    </w:p>
    <w:p>
      <w:pPr>
        <w:pStyle w:val="BodyText"/>
      </w:pPr>
      <w:r>
        <w:drawing>
          <wp:inline>
            <wp:extent cx="5177790" cy="3836242"/>
            <wp:effectExtent b="0" l="0" r="0" t="0"/>
            <wp:docPr descr="" title="" id="58" name="Picture"/>
            <a:graphic>
              <a:graphicData uri="http://schemas.openxmlformats.org/drawingml/2006/picture">
                <pic:pic>
                  <pic:nvPicPr>
                    <pic:cNvPr descr="../figures/supplementary-figure-14-pap-density-diversity.png" id="59" name="Picture"/>
                    <pic:cNvPicPr>
                      <a:picLocks noChangeArrowheads="1" noChangeAspect="1"/>
                    </pic:cNvPicPr>
                  </pic:nvPicPr>
                  <pic:blipFill>
                    <a:blip r:embed="rId57"/>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S20 (reproduced). Diversity change-point density.</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61" name="Picture"/>
            <a:graphic>
              <a:graphicData uri="http://schemas.openxmlformats.org/drawingml/2006/picture">
                <pic:pic>
                  <pic:nvPicPr>
                    <pic:cNvPr descr="../figures/supplementary-figure-15-pap-density-turnover.png" id="62" name="Picture"/>
                    <pic:cNvPicPr>
                      <a:picLocks noChangeArrowheads="1" noChangeAspect="1"/>
                    </pic:cNvPicPr>
                  </pic:nvPicPr>
                  <pic:blipFill>
                    <a:blip r:embed="rId60"/>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S21 (reproduced). Turnover change-point density.</w:t>
      </w:r>
      <w:r>
        <w:t xml:space="preserve"> </w:t>
      </w:r>
      <w:r>
        <w:t xml:space="preserve">Regional trajectories over the observed sequence coverage.</w:t>
      </w:r>
    </w:p>
    <w:p>
      <w:r>
        <w:br w:type="page"/>
      </w:r>
    </w:p>
    <w:bookmarkEnd w:id="63"/>
    <w:bookmarkStart w:id="76"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odyText"/>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We agree that pollen productivity, dispersal, taxonomic resolution, basin setting, and count size all influence the ecological meaning of pollen assemblage properties. Low counts can make uncommon pollen types less likely to be detected and can affect estimates of richness, evenness, and compositional change. These properties are therefore interpreted as features of the recovered pollen assemblage rather than direct estimates of plant abundance or vegetation diversity. A minimum of 25 terrestrial grains determines whether an individual count-based sample can be retained; it is not a common rarefaction target imposed on every sample. A count-based sequence is retained only when more than half of its samples in the study interval have at least 150 grains. The usual rarefaction target is 150 grains, with a lower sequence-specific target where a retained sequence cannot consistently support 150. This rule limits the contribution of low-count samples while preserving sequences from less well represented regions; it does not remove the uncertainty associated with smaller counts.</w:t>
      </w:r>
    </w:p>
    <w:p>
      <w:pPr>
        <w:pStyle w:val="BlockText"/>
      </w:pPr>
      <w:r>
        <w:t xml:space="preserve">We examined what would be lost if more demanding count criteria were applied to the 1,270 prepared sequences. A 300-grain rarefaction target, paired with a 50-grain sample minimum, retains 1105 sequences. A 500-grain target, paired with a sample minimum of about 83 grains, retains 616; a 1,000-grain target, paired with a minimum of about 167 grains, retains only 246. The 500-grain scenario therefore removes 51.5% of baseline sequences and 45.3% of their samples; the 1,000-grain scenario removes 80.6% of sequences. The losses differ among continental groups, so higher count requirements would come at the cost of a narrower and less geographically representative historical archive. Supplementary Fig. S23A shows the observed count distribution in count-based samples, while Fig. S23B shows that the loss of sequences and samples differs markedly among continental groups. We retain the baseline rule on that basis while acknowledging the greater uncertainty of PAP estimates from smaller counts.</w:t>
      </w:r>
    </w:p>
    <w:p>
      <w:pPr>
        <w:pStyle w:val="BlockText"/>
      </w:pPr>
      <w:r>
        <w:t xml:space="preserve">This diagnostic concerns the availability of pollen evidence under different thresholds. It does not meet the reviewer’s proposed robustness test in full: we did not refit H1 after requiring every sample to contain 300–500 grains, and the figure does not show that the estimated climate and human contributions would remain unchanged under such a restriction. The response to pollen-production and dispersal differences also remains incomplete without a comparable correction across regions.</w:t>
      </w:r>
    </w:p>
    <w:p>
      <w:r>
        <w:br w:type="page"/>
      </w:r>
    </w:p>
    <w:p>
      <w:pPr>
        <w:pStyle w:val="FirstParagraph"/>
      </w:pPr>
      <w:r>
        <w:drawing>
          <wp:inline>
            <wp:extent cx="4890135" cy="4618588"/>
            <wp:effectExtent b="0" l="0" r="0" t="0"/>
            <wp:docPr descr="" title="" id="65" name="Picture"/>
            <a:graphic>
              <a:graphicData uri="http://schemas.openxmlformats.org/drawingml/2006/picture">
                <pic:pic>
                  <pic:nvPicPr>
                    <pic:cNvPr descr="../figures/supplementary-figure-28-pollen-count-distribution.png" id="66" name="Picture"/>
                    <pic:cNvPicPr>
                      <a:picLocks noChangeArrowheads="1" noChangeAspect="1"/>
                    </pic:cNvPicPr>
                  </pic:nvPicPr>
                  <pic:blipFill>
                    <a:blip r:embed="rId64"/>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S23A (reproduced).</w:t>
      </w:r>
      <w:r>
        <w:t xml:space="preserve"> </w:t>
      </w:r>
      <w:r>
        <w:t xml:space="preserve">Terrestrial pollen counts in individual count-based samples, grouped by continental group and region. Percentage-only sequences are excluded because their values are not grain counts.</w:t>
      </w:r>
    </w:p>
    <w:p>
      <w:r>
        <w:br w:type="page"/>
      </w:r>
    </w:p>
    <w:p>
      <w:pPr>
        <w:pStyle w:val="BodyText"/>
      </w:pPr>
      <w:r>
        <w:drawing>
          <wp:inline>
            <wp:extent cx="4890135" cy="4618588"/>
            <wp:effectExtent b="0" l="0" r="0" t="0"/>
            <wp:docPr descr="" title="" id="68" name="Picture"/>
            <a:graphic>
              <a:graphicData uri="http://schemas.openxmlformats.org/drawingml/2006/picture">
                <pic:pic>
                  <pic:nvPicPr>
                    <pic:cNvPr descr="../figures/supplementary-figure-28-pollen-retention.png" id="69" name="Picture"/>
                    <pic:cNvPicPr>
                      <a:picLocks noChangeArrowheads="1" noChangeAspect="1"/>
                    </pic:cNvPicPr>
                  </pic:nvPicPr>
                  <pic:blipFill>
                    <a:blip r:embed="rId67"/>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S23B (reproduced).</w:t>
      </w:r>
      <w:r>
        <w:t xml:space="preserve"> </w:t>
      </w:r>
      <w:r>
        <w:t xml:space="preserve">Proportions of sequences (dashed) and samples (solid) retained within each continental group. The 300-, 500-, and 1,000-grain labels denote rarefaction targets with associated sample minima of 50, about 83, and about 167 grains, relative to the 150-grain target and 25-grain sample-minimum baseline. This is a coverage diagnostic, not an H1 model refit.</w:t>
      </w:r>
    </w:p>
    <w:p>
      <w:pPr>
        <w:pStyle w:val="BlockText"/>
      </w:pPr>
      <w:r>
        <w:t xml:space="preserve">Correlation among the PAP responses does not itself invalidate the multivariate H1 analysis. Ecological community analyses routinely consider species whose abundances covary; their response variables need not be mutually independent. Richness, evenness, and the Hill-number measures likewise describe related aspects of the same pollen assemblages. Their overlap could give some dimensions of assemblage change greater weight, so we measured it rather than assuming it was inconsequential. Supplementary Fig. S24 shows the actual PAP correlations: 3 of 45 pairs have a median absolute correlation of at least 0.8 across eligible groups.</w:t>
      </w:r>
    </w:p>
    <w:p>
      <w:pPr>
        <w:pStyle w:val="BlockText"/>
      </w:pPr>
      <w:r>
        <w:t xml:space="preserve">We then repeated the spatial SPD H1 analysis with a reduced, less redundant PAP response. Among 1,114 sequences estimable in both configurations, the median signed climate contribution ratio changed from 0.798 to 0.792, and the median signed human contribution ratio changed from 0.202 to 0.208. Supplementary Fig. S30 shows the reduced-response climate–human pattern. Climate retains the larger estimated contribution in the aggregate; changes for individual sequences remain visible and should not be described as identical results.</w:t>
      </w:r>
      <w:r>
        <w:t xml:space="preserve"> </w:t>
      </w:r>
      <w:r>
        <w:t xml:space="preserve">We did not apply REVEALS because the pollen-productivity estimates, dispersal parameters, basin descriptions, and taxonomic resolution needed for a comparable analysis are not available across all regions. Restricting that correction to Europe or other well-studied regions would make the ecological meaning of the response differ among continental groups. The revised article therefore treats productivity and dispersal as unresolved limitations and does not imply that rarefaction corrects them.</w:t>
      </w:r>
    </w:p>
    <w:p>
      <w:pPr>
        <w:pStyle w:val="BlockText"/>
      </w:pPr>
      <w:r>
        <w:rPr>
          <w:b/>
          <w:bCs/>
        </w:rPr>
        <w:t xml:space="preserve">Changes in the revised article.</w:t>
      </w:r>
      <w:r>
        <w:t xml:space="preserve"> </w:t>
      </w:r>
      <w:r>
        <w:t xml:space="preserve">The count procedure and the relationships among pollen assemblage properties are now explained in the Methods. The Supplementary Information shows the loss of geographical and temporal coverage under stricter targets, the observed correlations among properties in Fig. S24, and the reduced-response climate–human result in Fig. S30. The Discussion contains a dedicated account of how pollen production, dispersal, and finite counts constrain ecological interpretation.</w:t>
      </w:r>
    </w:p>
    <w:p>
      <w:pPr>
        <w:pStyle w:val="FirstParagraph"/>
      </w:pPr>
      <w:r>
        <w:t xml:space="preserve">For direct assessment, we reproduce the observed PAP correlations and the climate–human result obtained with a less redundant response set.</w:t>
      </w:r>
    </w:p>
    <w:p>
      <w:r>
        <w:br w:type="page"/>
      </w:r>
    </w:p>
    <w:p>
      <w:pPr>
        <w:pStyle w:val="BodyText"/>
      </w:pPr>
      <w:r>
        <w:drawing>
          <wp:inline>
            <wp:extent cx="4890135" cy="4890135"/>
            <wp:effectExtent b="0" l="0" r="0" t="0"/>
            <wp:docPr descr="" title="" id="71" name="Picture"/>
            <a:graphic>
              <a:graphicData uri="http://schemas.openxmlformats.org/drawingml/2006/picture">
                <pic:pic>
                  <pic:nvPicPr>
                    <pic:cNvPr descr="../figures/supplementary-figure-29-pap-collinearity.png" id="72" name="Picture"/>
                    <pic:cNvPicPr>
                      <a:picLocks noChangeArrowheads="1" noChangeAspect="1"/>
                    </pic:cNvPicPr>
                  </pic:nvPicPr>
                  <pic:blipFill>
                    <a:blip r:embed="rId70"/>
                    <a:stretch>
                      <a:fillRect/>
                    </a:stretch>
                  </pic:blipFill>
                  <pic:spPr bwMode="auto">
                    <a:xfrm>
                      <a:off x="0" y="0"/>
                      <a:ext cx="4890135" cy="4890135"/>
                    </a:xfrm>
                    <a:prstGeom prst="rect">
                      <a:avLst/>
                    </a:prstGeom>
                    <a:noFill/>
                    <a:ln w="9525">
                      <a:noFill/>
                      <a:headEnd/>
                      <a:tailEnd/>
                    </a:ln>
                  </pic:spPr>
                </pic:pic>
              </a:graphicData>
            </a:graphic>
          </wp:inline>
        </w:drawing>
      </w:r>
    </w:p>
    <w:p>
      <w:pPr>
        <w:pStyle w:val="BodyText"/>
      </w:pPr>
      <w:r>
        <w:rPr>
          <w:b/>
          <w:bCs/>
        </w:rPr>
        <w:t xml:space="preserve">Supplementary Fig. S24 (reproduced). Correlations among pollen assemblage properties.</w:t>
      </w:r>
      <w:r>
        <w:t xml:space="preserve"> </w:t>
      </w:r>
      <w:r>
        <w:t xml:space="preserve">Tiles give the median absolute pairwise correlation across eligible continental-group–region subsets. They show the strength, not the direction, of association.</w:t>
      </w:r>
    </w:p>
    <w:p>
      <w:r>
        <w:br w:type="page"/>
      </w:r>
    </w:p>
    <w:p>
      <w:pPr>
        <w:pStyle w:val="BodyText"/>
      </w:pPr>
      <w:r>
        <w:drawing>
          <wp:inline>
            <wp:extent cx="5177790" cy="4602750"/>
            <wp:effectExtent b="0" l="0" r="0" t="0"/>
            <wp:docPr descr="" title="" id="74" name="Picture"/>
            <a:graphic>
              <a:graphicData uri="http://schemas.openxmlformats.org/drawingml/2006/picture">
                <pic:pic>
                  <pic:nvPicPr>
                    <pic:cNvPr descr="../figures/supplementary-figure-30-pap-reduced.png" id="75" name="Picture"/>
                    <pic:cNvPicPr>
                      <a:picLocks noChangeArrowheads="1" noChangeAspect="1"/>
                    </pic:cNvPicPr>
                  </pic:nvPicPr>
                  <pic:blipFill>
                    <a:blip r:embed="rId73"/>
                    <a:stretch>
                      <a:fillRect/>
                    </a:stretch>
                  </pic:blipFill>
                  <pic:spPr bwMode="auto">
                    <a:xfrm>
                      <a:off x="0" y="0"/>
                      <a:ext cx="5177790" cy="4602750"/>
                    </a:xfrm>
                    <a:prstGeom prst="rect">
                      <a:avLst/>
                    </a:prstGeom>
                    <a:noFill/>
                    <a:ln w="9525">
                      <a:noFill/>
                      <a:headEnd/>
                      <a:tailEnd/>
                    </a:ln>
                  </pic:spPr>
                </pic:pic>
              </a:graphicData>
            </a:graphic>
          </wp:inline>
        </w:drawing>
      </w:r>
    </w:p>
    <w:p>
      <w:pPr>
        <w:pStyle w:val="BodyText"/>
      </w:pPr>
      <w:r>
        <w:rPr>
          <w:b/>
          <w:bCs/>
        </w:rPr>
        <w:t xml:space="preserve">Supplementary Fig. S30 (reproduced). Climate–human allocation with a reduced PAP response.</w:t>
      </w:r>
      <w:r>
        <w:t xml:space="preserve"> </w:t>
      </w:r>
      <w:r>
        <w:t xml:space="preserve">The spatial H1 analysis was repeated with a less redundant set of PAPs. This zero-truncated display favours climate in most regional groups; the matched signed comparison is reported above and in Supplementary Table S7.</w:t>
      </w:r>
    </w:p>
    <w:p>
      <w:r>
        <w:br w:type="page"/>
      </w:r>
    </w:p>
    <w:bookmarkEnd w:id="76"/>
    <w:bookmarkStart w:id="80"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retain archaeological SPDs as validated proxies for regional human population changes, while agreeing that they are not direct population censuses. They are shaped by the survival and discovery of archaeological material, the history and intensity of research, laboratory dating practices, and the structure of the radiocarbon calibration curve. These influences vary among continental groups, regions, and periods and become particularly important near the younger boundary of this study. The regional distributions of dates and SPDs showed that 2.0 ka BP is the youngest common 500-year boundary at which a broad comparison remains supportable. We use it as a practical limit for this global historical comparison, not as a universal date after which SPDs cease to be informative.</w:t>
      </w:r>
    </w:p>
    <w:p>
      <w:pPr>
        <w:pStyle w:val="BlockText"/>
      </w:pPr>
      <w:r>
        <w:rPr>
          <w:b/>
          <w:bCs/>
        </w:rPr>
        <w:t xml:space="preserve">Changes in the revised article.</w:t>
      </w:r>
      <w:r>
        <w:t xml:space="preserve"> </w:t>
      </w:r>
      <w:r>
        <w:t xml:space="preserve">The Methods and Discussion now describe SPDs as archaeological histories whose interpretation depends on preservation and research practice. Supplementary Fig. S2 shows the regional coverage that informed the 2.0 ka BP boundary, and the article does not extend the principal conclusion into younger periods.</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the pollen and archaeological evidence describe landscapes at very different scales. Pollen deposited in a small bog may chiefly reflect vegetation within a few kilometres or less, whereas an SPD assembled within 250 or 500 km describes a much broader archaeological landscape. Ideally, the archaeological neighbourhood would be tailored to the source area of each pollen sequence. This is not possible here because basin dimensions, depositional settings, and estimates of pollen source area are unavailable or inconsistent for much of the global compilation. We therefore compared the same pollen sequences using archaeological dates drawn from 250 and 500 km. Among 999 sequences available for both comparisons, 94 changed from a climate-dominant to a human-dominant result, or vice versa; among 70 continental-group time comparisons, 3 changed ordering. The median change in the spatial climate–human balance was 0.025. This shows that the chosen archaeological neighbourhood affects some individual results, while leaving the broad pattern intact. Because even 250 km greatly exceeds the pollen source area of many sites, this comparison does not remove the mismatch. We have accordingly restricted the conclusion to broad regional patterns and emphasised that individual sites retain their own ecological and land-use histories.</w:t>
      </w:r>
    </w:p>
    <w:p>
      <w:pPr>
        <w:pStyle w:val="BlockText"/>
      </w:pPr>
      <w:r>
        <w:rPr>
          <w:b/>
          <w:bCs/>
        </w:rPr>
        <w:t xml:space="preserve">Changes in the revised article.</w:t>
      </w:r>
      <w:r>
        <w:t xml:space="preserve"> </w:t>
      </w:r>
      <w:r>
        <w:t xml:space="preserve">The Methods now explain why proximity to a pollen site must be balanced against the number of archaeological dates available. Supplementary Figs. S8 and S37–S38 and Supplementary Table S9 present the 250 and 500 km comparison. The Discussion explains why it cannot substitute for site-specific pollen-source estimates.</w:t>
      </w:r>
    </w:p>
    <w:p>
      <w:pPr>
        <w:pStyle w:val="FirstParagraph"/>
      </w:pPr>
      <w:r>
        <w:t xml:space="preserve">The matched spatial comparison of archaeological search radii is reproduced below. It tests the operational radius choice; neither radius represents a measured pollen-source area.</w:t>
      </w:r>
    </w:p>
    <w:p>
      <w:r>
        <w:br w:type="page"/>
      </w:r>
    </w:p>
    <w:p>
      <w:pPr>
        <w:pStyle w:val="BodyText"/>
      </w:pPr>
      <w:r>
        <w:drawing>
          <wp:inline>
            <wp:extent cx="5177790" cy="6042785"/>
            <wp:effectExtent b="0" l="0" r="0" t="0"/>
            <wp:docPr descr="" title="" id="78" name="Picture"/>
            <a:graphic>
              <a:graphicData uri="http://schemas.openxmlformats.org/drawingml/2006/picture">
                <pic:pic>
                  <pic:nvPicPr>
                    <pic:cNvPr descr="../figures/supplementary-figure-35-spd-radius-spatial.png" id="79" name="Picture"/>
                    <pic:cNvPicPr>
                      <a:picLocks noChangeArrowheads="1" noChangeAspect="1"/>
                    </pic:cNvPicPr>
                  </pic:nvPicPr>
                  <pic:blipFill>
                    <a:blip r:embed="rId77"/>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S8 (reproduced). Spatial SPD-radius sensitivity.</w:t>
      </w:r>
      <w:r>
        <w:t xml:space="preserve"> </w:t>
      </w:r>
      <w:r>
        <w:t xml:space="preserve">The same eligible pollen sequences are compared using strict 250 and 500 km archaeological neighbourhoods; a negative balance indicates the larger estimated climatic contribution.</w:t>
      </w:r>
    </w:p>
    <w:p>
      <w:r>
        <w:br w:type="page"/>
      </w:r>
    </w:p>
    <w:bookmarkEnd w:id="80"/>
    <w:bookmarkStart w:id="84"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a binary event chronology cannot capture the continuity and diversity of past human land use. Clearance, grazing, cultivation, burning, and settlement varied in form, duration, intensity, and ecological consequence among regions. We have therefore removed “No Evidence of Impact” as an interpretation: absence of a recorded event means only that the specified pollen indicator was not identified. Nevertheless, we retain the chronology as secondary historical evidence because it brings locally interpreted indications of land use into a study otherwise dependent on broad archaeological SPDs, includes some younger observations, and allows us to ask whether the climate–human comparison changes when human activity is represented differently. Its partial dependence on the pollen sequence is stated explicitly, and it is not presented as independent confirmation.</w:t>
      </w:r>
    </w:p>
    <w:p>
      <w:pPr>
        <w:pStyle w:val="BlockText"/>
      </w:pPr>
      <w:r>
        <w:t xml:space="preserve">The comparison is limited to places and periods for which an expert chronology was actually available: 151 pollen sequences in the spatial analysis and 61 continental-group–age combinations in the temporal analysis. Adding or substituting the event evidence changed estimates in both directions. This variability is historically informative because it shows that the inferred human contribution depends in part on the archive used to represent past activity. It does not extend the principal SPD conclusion beyond 2.0 ka BP. John Birks and Hilary Birks assessed Europe and North America; John Birks and Kuber Bhatta assessed Asia; and Simon Haberle and Annika Herbert assessed Oceania. They were chosen for regional palaeoecological and pollen-analytical expertise. The Central and South American indicators follow the published regional synthesis. The Methods section describes how the diagrams were assessed, and Supplementary Table S4 summarises the event categories, and the Methods retain the detailed regional detection criteria from the submitted version.</w:t>
      </w:r>
    </w:p>
    <w:p>
      <w:pPr>
        <w:pStyle w:val="BlockText"/>
      </w:pPr>
      <w:r>
        <w:rPr>
          <w:b/>
          <w:bCs/>
        </w:rPr>
        <w:t xml:space="preserve">Changes in the revised article.</w:t>
      </w:r>
      <w:r>
        <w:t xml:space="preserve"> </w:t>
      </w:r>
      <w:r>
        <w:t xml:space="preserve">The event chronology is now presented as a complementary historical perspective rather than evidence equal to the archaeological SPD. The Methods identify the experts and regional indicators, the Discussion addresses the incompleteness and partial circularity of the evidence, and the Supplementary Information compares results based on SPDs, events, and both sources together.</w:t>
      </w:r>
    </w:p>
    <w:p>
      <w:pPr>
        <w:pStyle w:val="FirstParagraph"/>
      </w:pPr>
      <w:r>
        <w:t xml:space="preserve">We reproduce the matched comparison of human-activity proxies so that the effect of retaining the event chronology can be assessed directly. These results use observed event chronologies and do not treat an undetected event as absence of human activity.</w:t>
      </w:r>
    </w:p>
    <w:p>
      <w:r>
        <w:br w:type="page"/>
      </w:r>
    </w:p>
    <w:p>
      <w:pPr>
        <w:pStyle w:val="BodyText"/>
      </w:pPr>
      <w:r>
        <w:drawing>
          <wp:inline>
            <wp:extent cx="5177790" cy="6042785"/>
            <wp:effectExtent b="0" l="0" r="0" t="0"/>
            <wp:docPr descr="" title="" id="82" name="Picture"/>
            <a:graphic>
              <a:graphicData uri="http://schemas.openxmlformats.org/drawingml/2006/picture">
                <pic:pic>
                  <pic:nvPicPr>
                    <pic:cNvPr descr="../figures/supplementary-figure-38-event-spatial.png" id="83" name="Picture"/>
                    <pic:cNvPicPr>
                      <a:picLocks noChangeArrowheads="1" noChangeAspect="1"/>
                    </pic:cNvPicPr>
                  </pic:nvPicPr>
                  <pic:blipFill>
                    <a:blip r:embed="rId81"/>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S9 (reproduced). Human-event sensitivity.</w:t>
      </w:r>
      <w:r>
        <w:t xml:space="preserve"> </w:t>
      </w:r>
      <w:r>
        <w:t xml:space="preserve">SPD-only, event-only, and combined predictors are compared within matched sequences with observed event histories; the event evidence remains partly dependent on the pollen response.</w:t>
      </w:r>
    </w:p>
    <w:p>
      <w:r>
        <w:br w:type="page"/>
      </w:r>
    </w:p>
    <w:bookmarkEnd w:id="84"/>
    <w:bookmarkStart w:id="97"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that the strength of the ecological interpretation depends on how much variation the models explain. For the 1,098 pollen sequences in the principal spatial analysis, total adjusted</w:t>
      </w:r>
      <w:r>
        <w:t xml:space="preserve"> </w:t>
      </w:r>
      <m:oMath>
        <m:sSup>
          <m:e>
            <m:r>
              <m:t>R</m:t>
            </m:r>
          </m:e>
          <m:sup>
            <m:r>
              <m:t>2</m:t>
            </m:r>
          </m:sup>
        </m:sSup>
      </m:oMath>
      <w:r>
        <w:t xml:space="preserve"> </w:t>
      </w:r>
      <w:r>
        <w:t xml:space="preserve">is 0.440 [0.426, 0.449] (mean, 95% CI). The sequence-level distribution is 0.450 [0.326, 0.567] (median, interquartile range). Supplementary Fig. S31 shows how explanatory power varies among continental groups and regions, because a global average can conceal pollen sequences for which climate and human activity account for little of the observed history. Supplementary Table S5 separately reports the larger set of 1,156 sequences for which the original comparison of climatic and human contributions could be estimated.</w:t>
      </w:r>
    </w:p>
    <w:p>
      <w:pPr>
        <w:pStyle w:val="BlockText"/>
      </w:pPr>
      <w:r>
        <w:t xml:space="preserve">During revision, we also corrected how the separate climatic and human contributions were extracted. The revised article retains the signed estimates, uses non-negative values only for the principal visual summary, and reports a further comparison that omits models with negative components. Climate had the larger estimated contribution under each treatment, although the numerical values differed. We stress that these contributions divide the variation explained by a model and must not be read as proportions of all change in the pollen assemblage.</w:t>
      </w:r>
    </w:p>
    <w:p>
      <w:pPr>
        <w:pStyle w:val="BlockText"/>
      </w:pPr>
      <w:r>
        <w:rPr>
          <w:b/>
          <w:bCs/>
        </w:rPr>
        <w:t xml:space="preserve">Changes in the revised article.</w:t>
      </w:r>
      <w:r>
        <w:t xml:space="preserve"> </w:t>
      </w:r>
      <w:r>
        <w:t xml:space="preserve">The Results now report overall model fit alongside the comparison of climate and human activity. Supplementary figures and tables show its geographical distribution, its relationship to the estimated contributions, and the effect of alternative treatments of shared or negative explanatory variation.</w:t>
      </w:r>
    </w:p>
    <w:p>
      <w:pPr>
        <w:pStyle w:val="FirstParagraph"/>
      </w:pPr>
      <w:r>
        <w:t xml:space="preserve">The model-fit distribution and the comparison of extraction profiles are reproduced below. Total adjusted</w:t>
      </w:r>
      <w:r>
        <w:t xml:space="preserve"> </w:t>
      </w:r>
      <m:oMath>
        <m:sSup>
          <m:e>
            <m:r>
              <m:t>R</m:t>
            </m:r>
          </m:e>
          <m:sup>
            <m:r>
              <m:t>2</m:t>
            </m:r>
          </m:sup>
        </m:sSup>
      </m:oMath>
      <w:r>
        <w:t xml:space="preserve"> </w:t>
      </w:r>
      <w:r>
        <w:t xml:space="preserve">describes complete-model fit, whereas the profiles show alternative allocations of the fitted component.</w:t>
      </w:r>
    </w:p>
    <w:p>
      <w:r>
        <w:br w:type="page"/>
      </w:r>
    </w:p>
    <w:p>
      <w:pPr>
        <w:pStyle w:val="BodyText"/>
      </w:pPr>
      <w:r>
        <w:drawing>
          <wp:inline>
            <wp:extent cx="5177790" cy="3451318"/>
            <wp:effectExtent b="0" l="0" r="0" t="0"/>
            <wp:docPr descr="" title="" id="86" name="Picture"/>
            <a:graphic>
              <a:graphicData uri="http://schemas.openxmlformats.org/drawingml/2006/picture">
                <pic:pic>
                  <pic:nvPicPr>
                    <pic:cNvPr descr="../figures/supplementary-figure-23-adjusted-r2.png" id="87" name="Picture"/>
                    <pic:cNvPicPr>
                      <a:picLocks noChangeArrowheads="1" noChangeAspect="1"/>
                    </pic:cNvPicPr>
                  </pic:nvPicPr>
                  <pic:blipFill>
                    <a:blip r:embed="rId85"/>
                    <a:stretch>
                      <a:fillRect/>
                    </a:stretch>
                  </pic:blipFill>
                  <pic:spPr bwMode="auto">
                    <a:xfrm>
                      <a:off x="0" y="0"/>
                      <a:ext cx="5177790" cy="3451318"/>
                    </a:xfrm>
                    <a:prstGeom prst="rect">
                      <a:avLst/>
                    </a:prstGeom>
                    <a:noFill/>
                    <a:ln w="9525">
                      <a:noFill/>
                      <a:headEnd/>
                      <a:tailEnd/>
                    </a:ln>
                  </pic:spPr>
                </pic:pic>
              </a:graphicData>
            </a:graphic>
          </wp:inline>
        </w:drawing>
      </w:r>
    </w:p>
    <w:p>
      <w:pPr>
        <w:pStyle w:val="BodyText"/>
      </w:pPr>
      <w:r>
        <w:rPr>
          <w:b/>
          <w:bCs/>
        </w:rPr>
        <w:t xml:space="preserve">Supplementary Fig. S31 (reproduced). Total adjusted</w:t>
      </w:r>
      <w:r>
        <w:rPr>
          <w:b/>
          <w:bCs/>
        </w:rPr>
        <w:t xml:space="preserve"> </w:t>
      </w:r>
      <m:oMath>
        <m:sSup>
          <m:e>
            <m:r>
              <m:t>R</m:t>
            </m:r>
          </m:e>
          <m:sup>
            <m:r>
              <m:t>2</m:t>
            </m:r>
          </m:sup>
        </m:sSup>
      </m:oMath>
      <w:r>
        <w:rPr>
          <w:b/>
          <w:bCs/>
        </w:rPr>
        <w:t xml:space="preserve"> </w:t>
      </w:r>
      <w:r>
        <w:rPr>
          <w:b/>
          <w:bCs/>
        </w:rPr>
        <w:t xml:space="preserve">among pollen sequences.</w:t>
      </w:r>
      <w:r>
        <w:t xml:space="preserve"> </w:t>
      </w:r>
      <w:r>
        <w:t xml:space="preserve">The distribution shows variation in complete-model fit across continental groups and regions; negative adjusted values remain visible.</w:t>
      </w:r>
    </w:p>
    <w:p>
      <w:r>
        <w:br w:type="page"/>
      </w:r>
    </w:p>
    <w:p>
      <w:pPr>
        <w:pStyle w:val="BodyText"/>
      </w:pPr>
      <w:r>
        <w:drawing>
          <wp:inline>
            <wp:extent cx="5177790" cy="3165152"/>
            <wp:effectExtent b="0" l="0" r="0" t="0"/>
            <wp:docPr descr="" title="" id="89" name="Picture"/>
            <a:graphic>
              <a:graphicData uri="http://schemas.openxmlformats.org/drawingml/2006/picture">
                <pic:pic>
                  <pic:nvPicPr>
                    <pic:cNvPr descr="../figures/supplementary-figure-22-hvarpart-profiles.png" id="90" name="Picture"/>
                    <pic:cNvPicPr>
                      <a:picLocks noChangeArrowheads="1" noChangeAspect="1"/>
                    </pic:cNvPicPr>
                  </pic:nvPicPr>
                  <pic:blipFill>
                    <a:blip r:embed="rId88"/>
                    <a:stretch>
                      <a:fillRect/>
                    </a:stretch>
                  </pic:blipFill>
                  <pic:spPr bwMode="auto">
                    <a:xfrm>
                      <a:off x="0" y="0"/>
                      <a:ext cx="5177790" cy="3165152"/>
                    </a:xfrm>
                    <a:prstGeom prst="rect">
                      <a:avLst/>
                    </a:prstGeom>
                    <a:noFill/>
                    <a:ln w="9525">
                      <a:noFill/>
                      <a:headEnd/>
                      <a:tailEnd/>
                    </a:ln>
                  </pic:spPr>
                </pic:pic>
              </a:graphicData>
            </a:graphic>
          </wp:inline>
        </w:drawing>
      </w:r>
    </w:p>
    <w:p>
      <w:pPr>
        <w:pStyle w:val="BodyText"/>
      </w:pPr>
      <w:r>
        <w:rPr>
          <w:b/>
          <w:bCs/>
        </w:rPr>
        <w:t xml:space="preserve">Supplementary Fig. S4 (reproduced). HVarPart extraction profiles.</w:t>
      </w:r>
      <w:r>
        <w:t xml:space="preserve"> </w:t>
      </w:r>
      <w:r>
        <w:t xml:space="preserve">Signed, zero-truncated, and exclude-negative summaries are compared for their respective eligible analysis subsets; these allocations are distinct from total adjusted</w:t>
      </w:r>
      <w:r>
        <w:t xml:space="preserve"> </w:t>
      </w:r>
      <m:oMath>
        <m:sSup>
          <m:e>
            <m:r>
              <m:t>R</m:t>
            </m:r>
          </m:e>
          <m:sup>
            <m:r>
              <m:t>2</m:t>
            </m:r>
          </m:sup>
        </m:sSup>
      </m:oMath>
      <w:r>
        <w:t xml:space="preserve">.</w:t>
      </w:r>
    </w:p>
    <w:p>
      <w:r>
        <w:br w:type="page"/>
      </w:r>
    </w:p>
    <w:p>
      <w:pPr>
        <w:pStyle w:val="BodyText"/>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ecological observations close together in time or space are not independent. Long-term succession and directional change can make neighbouring levels within a pollen sequence resemble one another, while shared geography can produce similar assemblages among nearby sites. The principal analysis of individual sequences now accounts for temporal structure, and the continental-group analysis through time accounts for spatial structure among sites. We also examine remaining spatial pattern in the residuals, repeat analyses using more widely spaced sequences, and test whether the broad result depends on any single continental group or region. These checks retain the general predominance of climate, while showing that some individual estimates remain uncertain or sensitive to analytical choices.</w:t>
      </w:r>
    </w:p>
    <w:p>
      <w:pPr>
        <w:pStyle w:val="BlockText"/>
      </w:pPr>
      <w:r>
        <w:rPr>
          <w:b/>
          <w:bCs/>
        </w:rPr>
        <w:t xml:space="preserve">Changes in the revised article.</w:t>
      </w:r>
      <w:r>
        <w:t xml:space="preserve"> </w:t>
      </w:r>
      <w:r>
        <w:t xml:space="preserve">Figs. 3 and 4 now present the analyses that account for temporal or spatial structure. The Methods describe these controls, and the Supplementary Information reports checks for remaining geographical pattern, the influence of closely spaced sites, and the effect of excluding individual continental groups or regions.</w:t>
      </w:r>
    </w:p>
    <w:p>
      <w:pPr>
        <w:pStyle w:val="FirstParagraph"/>
      </w:pPr>
      <w:r>
        <w:t xml:space="preserve">We reproduce the residual spatial-dependence and thinning diagnostics because they show what the controls changed and what geographical structure remains.</w:t>
      </w:r>
    </w:p>
    <w:p>
      <w:r>
        <w:br w:type="page"/>
      </w:r>
    </w:p>
    <w:p>
      <w:pPr>
        <w:pStyle w:val="BodyText"/>
      </w:pPr>
      <w:r>
        <w:drawing>
          <wp:inline>
            <wp:extent cx="5177790" cy="3883951"/>
            <wp:effectExtent b="0" l="0" r="0" t="0"/>
            <wp:docPr descr="" title="" id="92" name="Picture"/>
            <a:graphic>
              <a:graphicData uri="http://schemas.openxmlformats.org/drawingml/2006/picture">
                <pic:pic>
                  <pic:nvPicPr>
                    <pic:cNvPr descr="../figures/supplementary-figure-31-moran.png" id="93" name="Picture"/>
                    <pic:cNvPicPr>
                      <a:picLocks noChangeArrowheads="1" noChangeAspect="1"/>
                    </pic:cNvPicPr>
                  </pic:nvPicPr>
                  <pic:blipFill>
                    <a:blip r:embed="rId91"/>
                    <a:stretch>
                      <a:fillRect/>
                    </a:stretch>
                  </pic:blipFill>
                  <pic:spPr bwMode="auto">
                    <a:xfrm>
                      <a:off x="0" y="0"/>
                      <a:ext cx="5177790" cy="3883951"/>
                    </a:xfrm>
                    <a:prstGeom prst="rect">
                      <a:avLst/>
                    </a:prstGeom>
                    <a:noFill/>
                    <a:ln w="9525">
                      <a:noFill/>
                      <a:headEnd/>
                      <a:tailEnd/>
                    </a:ln>
                  </pic:spPr>
                </pic:pic>
              </a:graphicData>
            </a:graphic>
          </wp:inline>
        </w:drawing>
      </w:r>
    </w:p>
    <w:p>
      <w:pPr>
        <w:pStyle w:val="BodyText"/>
      </w:pPr>
      <w:r>
        <w:rPr>
          <w:b/>
          <w:bCs/>
        </w:rPr>
        <w:t xml:space="preserve">Supplementary Fig. S6 (reproduced). Residual spatial dependence.</w:t>
      </w:r>
      <w:r>
        <w:t xml:space="preserve"> </w:t>
      </w:r>
      <w:r>
        <w:t xml:space="preserve">Moran diagnostics compare spatial pattern before and after control in eligible spatial subsets; residual clustering is not assumed to disappear completely.</w:t>
      </w:r>
    </w:p>
    <w:p>
      <w:r>
        <w:br w:type="page"/>
      </w:r>
    </w:p>
    <w:p>
      <w:pPr>
        <w:pStyle w:val="BodyText"/>
      </w:pPr>
      <w:r>
        <w:drawing>
          <wp:inline>
            <wp:extent cx="5177790" cy="3021392"/>
            <wp:effectExtent b="0" l="0" r="0" t="0"/>
            <wp:docPr descr="" title="" id="95" name="Picture"/>
            <a:graphic>
              <a:graphicData uri="http://schemas.openxmlformats.org/drawingml/2006/picture">
                <pic:pic>
                  <pic:nvPicPr>
                    <pic:cNvPr descr="../figures/supplementary-figure-32-thinning.png" id="96" name="Picture"/>
                    <pic:cNvPicPr>
                      <a:picLocks noChangeArrowheads="1" noChangeAspect="1"/>
                    </pic:cNvPicPr>
                  </pic:nvPicPr>
                  <pic:blipFill>
                    <a:blip r:embed="rId94"/>
                    <a:stretch>
                      <a:fillRect/>
                    </a:stretch>
                  </pic:blipFill>
                  <pic:spPr bwMode="auto">
                    <a:xfrm>
                      <a:off x="0" y="0"/>
                      <a:ext cx="5177790" cy="3021392"/>
                    </a:xfrm>
                    <a:prstGeom prst="rect">
                      <a:avLst/>
                    </a:prstGeom>
                    <a:noFill/>
                    <a:ln w="9525">
                      <a:noFill/>
                      <a:headEnd/>
                      <a:tailEnd/>
                    </a:ln>
                  </pic:spPr>
                </pic:pic>
              </a:graphicData>
            </a:graphic>
          </wp:inline>
        </w:drawing>
      </w:r>
    </w:p>
    <w:p>
      <w:pPr>
        <w:pStyle w:val="BodyText"/>
      </w:pPr>
      <w:r>
        <w:rPr>
          <w:b/>
          <w:bCs/>
        </w:rPr>
        <w:t xml:space="preserve">Supplementary Fig. S34 (reproduced). Spatial thinning.</w:t>
      </w:r>
      <w:r>
        <w:t xml:space="preserve"> </w:t>
      </w:r>
      <w:r>
        <w:t xml:space="preserve">Repeatedly retaining more widely separated sequences tests whether densely sampled places determine the aggregate climate–human balance.</w:t>
      </w:r>
    </w:p>
    <w:p>
      <w:r>
        <w:br w:type="page"/>
      </w:r>
    </w:p>
    <w:bookmarkEnd w:id="97"/>
    <w:bookmarkStart w:id="98"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The revised article uses Giesecke et al. (2019), Gordon et al. (2024), and Mottl et al. (2021) to place the results within later-Holocene histories of pollen diversity, vegetation change, and land use. Chaput and Gajewski (2016), Crema (2022), and Crema and Bevan (2021) support the discussion of how radiocarbon dates can, and cannot, inform histories of human population.</w:t>
      </w:r>
    </w:p>
    <w:bookmarkEnd w:id="98"/>
    <w:bookmarkEnd w:id="99"/>
    <w:bookmarkStart w:id="105"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placing the study within the debate over early human influence on the Earth system. The history of rice cultivation in eastern Asia is clearly relevant to the early anthropogenic hypothesis. Our evidence, however, cannot resolve that question. The ten pollen assemblage properties describe broad changes in richness, evenness, and compositional reorganisation; they do not identify rice pollen or reconstruct the extent and intensity of cultivation. Nor do the present models examine greenhouse-gas sources. Consequently, the larger estimated climatic contribution in our analyses neither supports nor refutes the proposal that early rice agriculture affected atmospheric carbon dioxide or methane. A direct test would require harmonised taxon-level rice evidence, regional histories of cultivation and land use, and an analytical design linking those histories to greenhouse-gas change.</w:t>
      </w:r>
    </w:p>
    <w:p>
      <w:pPr>
        <w:pStyle w:val="BlockText"/>
      </w:pPr>
      <w:r>
        <w:rPr>
          <w:b/>
          <w:bCs/>
        </w:rPr>
        <w:t xml:space="preserve">Changes in the revised article.</w:t>
      </w:r>
      <w:r>
        <w:t xml:space="preserve"> </w:t>
      </w:r>
      <w:r>
        <w:t xml:space="preserve">The final Discussion paragraph now locates the result within the early anthropogenic debate while defining its evidential boundary. It explains why broad pollen assemblage properties cannot substitute for taxon-level pollen evidence of rice cultivation, archaeological histories of cultivation, or evidence concerning the sources of Holocene greenhouse gases.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assessment. The revised article now discusses eastern-Asian rice cultivation as an important historical and Earth-system question while making clear that the present broad-scale pollen analysis cannot adjudicate between competing explanations of Holocene greenhouse-gas change.</w:t>
      </w:r>
    </w:p>
    <w:bookmarkStart w:id="102"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100">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101">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this literature. It is now used to frame the early anthropogenic debate and the alternative anthropogenic and oceanic explanations for Holocene greenhouse-gas change. We state explicitly that the evidence analysed here does not distinguish between those mechanisms.</w:t>
      </w:r>
    </w:p>
    <w:bookmarkEnd w:id="102"/>
    <w:bookmarkStart w:id="104"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103">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added the Our World in Data synthesis to document the long-term expansion of cropland, grazing land, and settlements. Peer-reviewed studies remain the basis for causal interpretations and for the geological discussion of the Anthropocene.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expressed as a prediction about historical changes in the relationships among pollen assemblage properties within continental groups and their regions, rather than as a claim about the response of particular plant taxa.</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thereby linking the hypothesis to its ecological and temporal setting while indicating the observed direction of the result.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article is now dedicated to the memory of Eric C. Grimm, and submission-facing prose refers to the revised work as an article.</w:t>
      </w:r>
    </w:p>
    <w:bookmarkEnd w:id="104"/>
    <w:bookmarkEnd w:id="105"/>
    <w:bookmarkEnd w:id="106"/>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2026-09-22T09:22:03Z</dcterms:created>
  <dcterms:modified xsi:type="dcterms:W3CDTF">2026-09-22T09:22:03Z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