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合理用药</w:t>
        <w:br/>
        <w:t>大纲、逐页设计与资料核验</w:t>
      </w:r>
    </w:p>
    <w:p>
      <w:r>
        <w:t>设计依据：PPT制作30分、语言表达30分、内容完整性15分、互动效果15分、时间把握10分。围绕“课堂可读、案例可讲、选择可做、时间可控”落实。</w:t>
      </w:r>
    </w:p>
    <w:p>
      <w:pPr>
        <w:pStyle w:val="Heading1"/>
      </w:pPr>
      <w:r>
        <w:t>整体方案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</w:tcPr>
          <w:p>
            <w:r>
              <w:t>项目</w:t>
            </w:r>
          </w:p>
        </w:tc>
        <w:tc>
          <w:tcPr>
            <w:tcW w:type="dxa" w:w="4997"/>
          </w:tcPr>
          <w:p>
            <w:r>
              <w:t>实现方式</w:t>
            </w:r>
          </w:p>
        </w:tc>
      </w:tr>
      <w:tr>
        <w:tc>
          <w:tcPr>
            <w:tcW w:type="dxa" w:w="4997"/>
          </w:tcPr>
          <w:p>
            <w:r>
              <w:t>内容结构</w:t>
            </w:r>
          </w:p>
        </w:tc>
        <w:tc>
          <w:tcPr>
            <w:tcW w:type="dxa" w:w="4997"/>
          </w:tcPr>
          <w:p>
            <w:r>
              <w:t>基本原则5分钟；宿舍误区17分钟；安全用药8分钟；选择挑战5分钟。</w:t>
            </w:r>
          </w:p>
        </w:tc>
      </w:tr>
      <w:tr>
        <w:tc>
          <w:tcPr>
            <w:tcW w:type="dxa" w:w="4997"/>
          </w:tcPr>
          <w:p>
            <w:r>
              <w:t>视觉</w:t>
            </w:r>
          </w:p>
        </w:tc>
        <w:tc>
          <w:tcPr>
            <w:tcW w:type="dxa" w:w="4997"/>
          </w:tcPr>
          <w:p>
            <w:r>
              <w:t>16:9；蓝 #153E75、红 #E3464F、白 #FFFFFF；不引入其他模板色。标题约30pt，主体20—30pt。</w:t>
            </w:r>
          </w:p>
        </w:tc>
      </w:tr>
      <w:tr>
        <w:tc>
          <w:tcPr>
            <w:tcW w:type="dxa" w:w="4997"/>
          </w:tcPr>
          <w:p>
            <w:r>
              <w:t>图片</w:t>
            </w:r>
          </w:p>
        </w:tc>
        <w:tc>
          <w:tcPr>
            <w:tcW w:type="dxa" w:w="4997"/>
          </w:tcPr>
          <w:p>
            <w:r>
              <w:t>原创矢量人物、药盒、药箱、水杯、细菌和病毒示意，均为PowerPoint可编辑形状。</w:t>
            </w:r>
          </w:p>
        </w:tc>
      </w:tr>
      <w:tr>
        <w:tc>
          <w:tcPr>
            <w:tcW w:type="dxa" w:w="4997"/>
          </w:tcPr>
          <w:p>
            <w:r>
              <w:t>图表</w:t>
            </w:r>
          </w:p>
        </w:tc>
        <w:tc>
          <w:tcPr>
            <w:tcW w:type="dxa" w:w="4997"/>
          </w:tcPr>
          <w:p>
            <w:r>
              <w:t>第8页为PowerPoint原生图表；第13页为可编辑矢量图，含不确定性区间。</w:t>
            </w:r>
          </w:p>
        </w:tc>
      </w:tr>
      <w:tr>
        <w:tc>
          <w:tcPr>
            <w:tcW w:type="dxa" w:w="4997"/>
          </w:tcPr>
          <w:p>
            <w:r>
              <w:t>互动</w:t>
            </w:r>
          </w:p>
        </w:tc>
        <w:tc>
          <w:tcPr>
            <w:tcW w:type="dxa" w:w="4997"/>
          </w:tcPr>
          <w:p>
            <w:r>
              <w:t>三次穿插投票＋一题综合挑战；A/B/C举手，不要求开放表达。</w:t>
            </w:r>
          </w:p>
        </w:tc>
      </w:tr>
      <w:tr>
        <w:tc>
          <w:tcPr>
            <w:tcW w:type="dxa" w:w="4997"/>
          </w:tcPr>
          <w:p>
            <w:r>
              <w:t>演讲支持</w:t>
            </w:r>
          </w:p>
        </w:tc>
        <w:tc>
          <w:tcPr>
            <w:tcW w:type="dxa" w:w="4997"/>
          </w:tcPr>
          <w:p>
            <w:r>
              <w:t>完整逐页备注、双人台词、交接提示和累计时间；附独立Word讲稿。</w:t>
            </w:r>
          </w:p>
        </w:tc>
      </w:tr>
      <w:tr>
        <w:tc>
          <w:tcPr>
            <w:tcW w:type="dxa" w:w="4997"/>
          </w:tcPr>
          <w:p>
            <w:r>
              <w:t>高中生物</w:t>
            </w:r>
          </w:p>
        </w:tc>
        <w:tc>
          <w:tcPr>
            <w:tcW w:type="dxa" w:w="4997"/>
          </w:tcPr>
          <w:p>
            <w:r>
              <w:t>蛋白质结构与功能、受体与信号、细菌和病毒、变异与自然选择。</w:t>
            </w:r>
          </w:p>
        </w:tc>
      </w:tr>
      <w:tr>
        <w:tc>
          <w:tcPr>
            <w:tcW w:type="dxa" w:w="4997"/>
          </w:tcPr>
          <w:p>
            <w:r>
              <w:t>文件使用</w:t>
            </w:r>
          </w:p>
        </w:tc>
        <w:tc>
          <w:tcPr>
            <w:tcW w:type="dxa" w:w="4997"/>
          </w:tcPr>
          <w:p>
            <w:r>
              <w:t>PPT内含3页隐藏参考文献；PDF用于预览，编辑请使用PPTX。</w:t>
            </w:r>
          </w:p>
        </w:tc>
      </w:tr>
    </w:tbl>
    <w:p>
      <w:pPr>
        <w:pStyle w:val="Heading1"/>
      </w:pPr>
      <w:r>
        <w:t>四部分大纲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</w:tcPr>
          <w:p>
            <w:r>
              <w:t>部分</w:t>
            </w:r>
          </w:p>
        </w:tc>
        <w:tc>
          <w:tcPr>
            <w:tcW w:type="dxa" w:w="3331"/>
          </w:tcPr>
          <w:p>
            <w:r>
              <w:t>页码</w:t>
            </w:r>
          </w:p>
        </w:tc>
        <w:tc>
          <w:tcPr>
            <w:tcW w:type="dxa" w:w="3331"/>
          </w:tcPr>
          <w:p>
            <w:r>
              <w:t>要点</w:t>
            </w:r>
          </w:p>
        </w:tc>
      </w:tr>
      <w:tr>
        <w:tc>
          <w:tcPr>
            <w:tcW w:type="dxa" w:w="3331"/>
          </w:tcPr>
          <w:p>
            <w:r>
              <w:t>1 基本原则</w:t>
            </w:r>
          </w:p>
        </w:tc>
        <w:tc>
          <w:tcPr>
            <w:tcW w:type="dxa" w:w="3331"/>
          </w:tcPr>
          <w:p>
            <w:r>
              <w:t>1—5</w:t>
            </w:r>
          </w:p>
        </w:tc>
        <w:tc>
          <w:tcPr>
            <w:tcW w:type="dxa" w:w="3331"/>
          </w:tcPr>
          <w:p>
            <w:r>
              <w:t>开场情境；合理用药四原则；靶点示意；四段路线。</w:t>
            </w:r>
          </w:p>
        </w:tc>
      </w:tr>
      <w:tr>
        <w:tc>
          <w:tcPr>
            <w:tcW w:type="dxa" w:w="3331"/>
          </w:tcPr>
          <w:p>
            <w:r>
              <w:t>2 宿舍误区</w:t>
            </w:r>
          </w:p>
        </w:tc>
        <w:tc>
          <w:tcPr>
            <w:tcW w:type="dxa" w:w="3331"/>
          </w:tcPr>
          <w:p>
            <w:r>
              <w:t>6—19</w:t>
            </w:r>
          </w:p>
        </w:tc>
        <w:tc>
          <w:tcPr>
            <w:tcW w:type="dxa" w:w="3331"/>
          </w:tcPr>
          <w:p>
            <w:r>
              <w:t>重复成分；两篇研究图表；抗生素与耐药；备考产品；抗过敏嗜睡；酒精相互作用。</w:t>
            </w:r>
          </w:p>
        </w:tc>
      </w:tr>
      <w:tr>
        <w:tc>
          <w:tcPr>
            <w:tcW w:type="dxa" w:w="3331"/>
          </w:tcPr>
          <w:p>
            <w:r>
              <w:t>3 安全用药</w:t>
            </w:r>
          </w:p>
        </w:tc>
        <w:tc>
          <w:tcPr>
            <w:tcW w:type="dxa" w:w="3331"/>
          </w:tcPr>
          <w:p>
            <w:r>
              <w:t>20—26</w:t>
            </w:r>
          </w:p>
        </w:tc>
        <w:tc>
          <w:tcPr>
            <w:tcW w:type="dxa" w:w="3331"/>
          </w:tcPr>
          <w:p>
            <w:r>
              <w:t>看核问记；说明书六处；剂量、时间和剂型；咨询信息；就医信号；药箱管理；动作回顾。</w:t>
            </w:r>
          </w:p>
        </w:tc>
      </w:tr>
      <w:tr>
        <w:tc>
          <w:tcPr>
            <w:tcW w:type="dxa" w:w="3331"/>
          </w:tcPr>
          <w:p>
            <w:r>
              <w:t>4 选择挑战</w:t>
            </w:r>
          </w:p>
        </w:tc>
        <w:tc>
          <w:tcPr>
            <w:tcW w:type="dxa" w:w="3331"/>
          </w:tcPr>
          <w:p>
            <w:r>
              <w:t>27—30</w:t>
            </w:r>
          </w:p>
        </w:tc>
        <w:tc>
          <w:tcPr>
            <w:tcW w:type="dxa" w:w="3331"/>
          </w:tcPr>
          <w:p>
            <w:r>
              <w:t>复方感冒药＋聚餐情境；三选一；逐项揭晓；三句收尾。</w:t>
            </w:r>
          </w:p>
        </w:tc>
      </w:tr>
    </w:tbl>
    <w:p>
      <w:pPr>
        <w:pStyle w:val="Heading1"/>
      </w:pPr>
      <w:r>
        <w:t>逐页文案与图片 / 图表说明</w:t>
      </w:r>
    </w:p>
    <w:p>
      <w:pPr>
        <w:pStyle w:val="Heading2"/>
      </w:pPr>
      <w:r>
        <w:t>01｜合理用药：给宿舍药箱上堂课</w:t>
      </w:r>
    </w:p>
    <w:p>
      <w:r>
        <w:t>页面短文案：会选药 · 看成分 · 避误区；苏州大学｜选修课课堂展示；主讲：同学甲 / 同学乙</w:t>
      </w:r>
    </w:p>
    <w:p>
      <w:r>
        <w:t>底部关键句：把每一次“吃什么药”，变成有依据的选择。</w:t>
      </w:r>
    </w:p>
    <w:p>
      <w:r>
        <w:t>视觉：蓝红白宿舍桌面插画：药盒、书本、水杯；原创可编辑矢量元素。</w:t>
      </w:r>
    </w:p>
    <w:p>
      <w:r>
        <w:t>分工与时间：甲，45秒。依据：原创课堂组织 / 综合归纳。</w:t>
      </w:r>
    </w:p>
    <w:p>
      <w:pPr>
        <w:pStyle w:val="Heading2"/>
      </w:pPr>
      <w:r>
        <w:t>02｜室友感冒了，你先做哪一步？</w:t>
      </w:r>
    </w:p>
    <w:p>
      <w:r>
        <w:t>页面短文案：A 先吃室友推荐的两种感冒药；B 先看症状、成分和注意事项；C 先加一粒抗生素，求个安心</w:t>
      </w:r>
    </w:p>
    <w:p>
      <w:r>
        <w:t>底部关键句：举手选择 A / B / C｜暂不揭晓</w:t>
      </w:r>
    </w:p>
    <w:p>
      <w:r>
        <w:t>视觉：三张等宽选择卡；不突出正确选项。</w:t>
      </w:r>
    </w:p>
    <w:p>
      <w:r>
        <w:t>分工与时间：甲，90秒。依据：原创课堂组织 / 综合归纳。</w:t>
      </w:r>
    </w:p>
    <w:p>
      <w:pPr>
        <w:pStyle w:val="Heading2"/>
      </w:pPr>
      <w:r>
        <w:t>03｜合理用药，要同时过四关</w:t>
      </w:r>
    </w:p>
    <w:p>
      <w:r>
        <w:t>页面短文案：安全｜关注禁忌与不良反应；有效｜针对真正需要解决的问题；经济｜避免不必要的花费；适宜｜适合这个人、这个时机</w:t>
      </w:r>
    </w:p>
    <w:p>
      <w:r>
        <w:t>底部关键句：刚才选 B：先了解，再决定。</w:t>
      </w:r>
    </w:p>
    <w:p>
      <w:r>
        <w:t>视觉：四象限原则卡；每格一个关键词和一个简短解释。</w:t>
      </w:r>
    </w:p>
    <w:p>
      <w:r>
        <w:t>分工与时间：甲，60秒。依据：S1。</w:t>
      </w:r>
    </w:p>
    <w:p>
      <w:pPr>
        <w:pStyle w:val="Heading2"/>
      </w:pPr>
      <w:r>
        <w:t>04｜高中生物连接：药物也要找“靶点”</w:t>
      </w:r>
    </w:p>
    <w:p>
      <w:r>
        <w:t>页面短文案：受体：接收信号的蛋白质；酶：参与并催化化学反应；药物：可能改变信号或反应过程</w:t>
      </w:r>
    </w:p>
    <w:p>
      <w:r>
        <w:t>底部关键句：结构与功能有关｜靶点也可能分布在多个部位</w:t>
      </w:r>
    </w:p>
    <w:p>
      <w:r>
        <w:t>视觉：可编辑“药物—受体—信号”示意，标注简化模型、非比例。</w:t>
      </w:r>
    </w:p>
    <w:p>
      <w:r>
        <w:t>分工与时间：甲，60秒。依据：S8。</w:t>
      </w:r>
    </w:p>
    <w:p>
      <w:pPr>
        <w:pStyle w:val="Heading2"/>
      </w:pPr>
      <w:r>
        <w:t>05｜今天的路线：从会判断，到会行动</w:t>
      </w:r>
    </w:p>
    <w:p>
      <w:r>
        <w:t>页面短文案：01 基本原则｜5分钟；02 宿舍误区｜17分钟；03 安全用药｜8分钟；04 选择挑战｜5分钟</w:t>
      </w:r>
    </w:p>
    <w:p>
      <w:r>
        <w:t>底部关键句：全程约35分钟，已包含举手互动。</w:t>
      </w:r>
    </w:p>
    <w:p>
      <w:r>
        <w:t>视觉：四段路线图，时间比例示意。</w:t>
      </w:r>
    </w:p>
    <w:p>
      <w:r>
        <w:t>分工与时间：甲，45秒。依据：原创课堂组织 / 综合归纳。</w:t>
      </w:r>
    </w:p>
    <w:p>
      <w:pPr>
        <w:pStyle w:val="Heading2"/>
      </w:pPr>
      <w:r>
        <w:t>06｜案例①：两盒感冒药，真是“双保险”？</w:t>
      </w:r>
    </w:p>
    <w:p>
      <w:r>
        <w:t>页面短文案：小苏：一盒治头痛，一盒治感冒；室友：名字不同，应该能一起吃？；先暂停：翻到“成分”一栏</w:t>
      </w:r>
    </w:p>
    <w:p>
      <w:r>
        <w:t>底部关键句：虚构情境｜包装不同，成分可能重复。</w:t>
      </w:r>
    </w:p>
    <w:p>
      <w:r>
        <w:t>视觉：人物气泡＋两个匿名药盒；均为教学道具。</w:t>
      </w:r>
    </w:p>
    <w:p>
      <w:r>
        <w:t>分工与时间：甲，75秒。依据：S2。</w:t>
      </w:r>
    </w:p>
    <w:p>
      <w:pPr>
        <w:pStyle w:val="Heading2"/>
      </w:pPr>
      <w:r>
        <w:t>07｜看成分，才能发现“隐形重复”</w:t>
      </w:r>
    </w:p>
    <w:p>
      <w:r>
        <w:t>页面短文案：药盒A｜对乙酰氨基酚；药盒B｜对乙酰氨基酚＋其他成分；同一成分，会从不同药盒汇合</w:t>
      </w:r>
    </w:p>
    <w:p>
      <w:r>
        <w:t>底部关键句：通用名 / 成分优先于商品名｜示意标签，不是实际说明书</w:t>
      </w:r>
    </w:p>
    <w:p>
      <w:r>
        <w:t>视觉：两张可编辑药盒成分标签，红框突出同名成分，箭头汇合。</w:t>
      </w:r>
    </w:p>
    <w:p>
      <w:r>
        <w:t>分工与时间：甲，60秒。依据：S2。</w:t>
      </w:r>
    </w:p>
    <w:p>
      <w:pPr>
        <w:pStyle w:val="Heading2"/>
      </w:pPr>
      <w:r>
        <w:t>08｜真实研究：模拟用药，也容易出错</w:t>
      </w:r>
    </w:p>
    <w:p>
      <w:r>
        <w:t>页面短文案：23.8%｜单一产品模拟用量超标；45.6%｜模拟联用出现重复超量</w:t>
      </w:r>
    </w:p>
    <w:p>
      <w:r>
        <w:t>底部关键句：两项指标可能重叠，不能相加；不是实际中毒率。</w:t>
      </w:r>
    </w:p>
    <w:p>
      <w:r>
        <w:t>视觉：PowerPoint原生可编辑水平条形图，0—100%；标出美国、n=500、2012。</w:t>
      </w:r>
    </w:p>
    <w:p>
      <w:r>
        <w:t>分工与时间：甲，60秒。依据：S3。</w:t>
      </w:r>
    </w:p>
    <w:p>
      <w:pPr>
        <w:pStyle w:val="Heading2"/>
      </w:pPr>
      <w:r>
        <w:t>09｜选择题②：两盒都含相同成分，怎么办？</w:t>
      </w:r>
    </w:p>
    <w:p>
      <w:r>
        <w:t>页面短文案：A 商品名不同，可以照常同服；B 两种各减一半，自己调一调；C 暂不叠加，核对说明书并问药师</w:t>
      </w:r>
    </w:p>
    <w:p>
      <w:r>
        <w:t>底部关键句：请选最稳妥的下一步｜答案在下一页</w:t>
      </w:r>
    </w:p>
    <w:p>
      <w:r>
        <w:t>视觉：三个等权选项，保持与第一题相同的布局。</w:t>
      </w:r>
    </w:p>
    <w:p>
      <w:r>
        <w:t>分工与时间：甲，75秒。依据：S2。</w:t>
      </w:r>
    </w:p>
    <w:p>
      <w:pPr>
        <w:pStyle w:val="Heading2"/>
      </w:pPr>
      <w:r>
        <w:t>10｜答案 C：先核对，再决定</w:t>
      </w:r>
    </w:p>
    <w:p>
      <w:r>
        <w:t>页面短文案：同成分：先不自行叠加；规格、时间、已服药物：一起核对；拿不准：带包装或照片问药师</w:t>
      </w:r>
    </w:p>
    <w:p>
      <w:r>
        <w:t>底部关键句：少猜一步，就少一个出错机会。</w:t>
      </w:r>
    </w:p>
    <w:p>
      <w:r>
        <w:t>视觉：大号C与三步行动箭头。</w:t>
      </w:r>
    </w:p>
    <w:p>
      <w:r>
        <w:t>分工与时间：甲，30秒。依据：S2。</w:t>
      </w:r>
    </w:p>
    <w:p>
      <w:pPr>
        <w:pStyle w:val="Heading2"/>
      </w:pPr>
      <w:r>
        <w:t>11｜案例②：抗生素，不是感冒的通用答案</w:t>
      </w:r>
    </w:p>
    <w:p>
      <w:r>
        <w:t>页面短文案：细菌｜具有细胞结构；病毒｜没有细胞结构，依赖宿主复制；抗生素｜针对细菌的某些结构或过程</w:t>
      </w:r>
    </w:p>
    <w:p>
      <w:r>
        <w:t>底部关键句：普通感冒通常由病毒引起；是否需要抗生素，由医生判断。</w:t>
      </w:r>
    </w:p>
    <w:p>
      <w:r>
        <w:t>视觉：原创细菌与病毒矢量插画；清楚标注细胞壁为部分抗生素靶点。</w:t>
      </w:r>
    </w:p>
    <w:p>
      <w:r>
        <w:t>分工与时间：甲，75秒。依据：S4; S11。</w:t>
      </w:r>
    </w:p>
    <w:p>
      <w:pPr>
        <w:pStyle w:val="Heading2"/>
      </w:pPr>
      <w:r>
        <w:t>12｜耐药：被筛选出来的是细菌</w:t>
      </w:r>
    </w:p>
    <w:p>
      <w:r>
        <w:t>页面短文案：原有差异｜少数细菌具有耐药性；选择压力｜敏感细菌更易被抑制；存活与繁殖｜耐药菌比例可能上升</w:t>
      </w:r>
    </w:p>
    <w:p>
      <w:r>
        <w:t>底部关键句：连接高中生物：变异＋选择｜不是“人吃出了耐药体质”。</w:t>
      </w:r>
    </w:p>
    <w:p>
      <w:r>
        <w:t>视觉：三阶段细菌群落示意；红色耐药菌数量标注为概念模型，不作真实比例。</w:t>
      </w:r>
    </w:p>
    <w:p>
      <w:r>
        <w:t>分工与时间：甲，80秒。依据：S4; S5。</w:t>
      </w:r>
    </w:p>
    <w:p>
      <w:pPr>
        <w:pStyle w:val="Heading2"/>
      </w:pPr>
      <w:r>
        <w:t>13｜耐药风险，有多大？看清数据口径</w:t>
      </w:r>
    </w:p>
    <w:p>
      <w:r>
        <w:t>页面短文案：495万｜与细菌耐药相关的死亡；127万｜归因于细菌耐药的死亡</w:t>
      </w:r>
    </w:p>
    <w:p>
      <w:r>
        <w:t>底部关键句：2019年全球估计｜两种口径，不可相加。</w:t>
      </w:r>
    </w:p>
    <w:p>
      <w:r>
        <w:t>视觉：带95%不确定性区间的水平条形图；单位万人，轴从0起；注明数据年2019、发表年2022。</w:t>
      </w:r>
    </w:p>
    <w:p>
      <w:r>
        <w:t>分工与时间：甲，70秒。依据：S5。</w:t>
      </w:r>
    </w:p>
    <w:p>
      <w:pPr>
        <w:pStyle w:val="Heading2"/>
      </w:pPr>
      <w:r>
        <w:t>14｜抗生素的三条行动规则</w:t>
      </w:r>
    </w:p>
    <w:p>
      <w:r>
        <w:t>页面短文案：不自行启用｜先明确是否需要；不分享剩药｜相似症状不等于相同病因；按处方使用｜不擅自停、加或延长</w:t>
      </w:r>
    </w:p>
    <w:p>
      <w:r>
        <w:t>底部关键句：出现不良反应或疗效疑问，及时联系医生 / 药师。</w:t>
      </w:r>
    </w:p>
    <w:p>
      <w:r>
        <w:t>视觉：三张行动卡配药盒、分享禁止、时钟图标。</w:t>
      </w:r>
    </w:p>
    <w:p>
      <w:r>
        <w:t>分工与时间：甲，55秒。依据：S4。</w:t>
      </w:r>
    </w:p>
    <w:p>
      <w:pPr>
        <w:pStyle w:val="Heading2"/>
      </w:pPr>
      <w:r>
        <w:t>15｜案例③：“备考外挂”，真的值得试？</w:t>
      </w:r>
    </w:p>
    <w:p>
      <w:r>
        <w:t>页面短文案：保健食品｜不能代替药物治疗疾病；“提高考试成绩”｜警惕夸大宣传；处方兴奋剂｜不借药、不自行购买服用</w:t>
      </w:r>
    </w:p>
    <w:p>
      <w:r>
        <w:t>底部关键句：清醒感，不等于学习效果的保证。</w:t>
      </w:r>
    </w:p>
    <w:p>
      <w:r>
        <w:t>视觉：宿舍书桌与广告气泡插画；红色警示围绕“提分保证”，不展示品牌。</w:t>
      </w:r>
    </w:p>
    <w:p>
      <w:r>
        <w:t>分工与时间：甲，60秒。依据：S6; S7。</w:t>
      </w:r>
    </w:p>
    <w:p>
      <w:pPr>
        <w:pStyle w:val="Heading2"/>
      </w:pPr>
      <w:r>
        <w:t>16｜案例④：鼻子舒服了，上课却困了</w:t>
      </w:r>
    </w:p>
    <w:p>
      <w:r>
        <w:t>页面短文案：部分抗组胺药｜可能引起嗜睡；“较少嗜睡”｜不代表人人都不困；困倦时｜避免驾驶、骑车等高风险活动</w:t>
      </w:r>
    </w:p>
    <w:p>
      <w:r>
        <w:t>底部关键句：不能仅凭“抗过敏药”四个字判断影响。</w:t>
      </w:r>
    </w:p>
    <w:p>
      <w:r>
        <w:t>视觉：清醒与困倦的同一人物对照；月牙眼和书本均为矢量元素。</w:t>
      </w:r>
    </w:p>
    <w:p>
      <w:r>
        <w:t>分工与时间：甲，75秒。依据：S8。</w:t>
      </w:r>
    </w:p>
    <w:p>
      <w:pPr>
        <w:pStyle w:val="Heading2"/>
      </w:pPr>
      <w:r>
        <w:t>17｜同一条信号，在不同部位有不同作用</w:t>
      </w:r>
    </w:p>
    <w:p>
      <w:r>
        <w:t>页面短文案：组胺＋受体｜参与过敏反应；脑内组胺信号｜也参与清醒状态；部分药物进入脑内｜可能引起嗜睡</w:t>
      </w:r>
    </w:p>
    <w:p>
      <w:r>
        <w:t>底部关键句：这是简化机制图；不能据此自行换药。</w:t>
      </w:r>
    </w:p>
    <w:p>
      <w:r>
        <w:t>视觉：外周与脑内双路径示意；受体、箭头及说明可编辑。</w:t>
      </w:r>
    </w:p>
    <w:p>
      <w:r>
        <w:t>分工与时间：乙，65秒。依据：S8; S14。</w:t>
      </w:r>
    </w:p>
    <w:p>
      <w:pPr>
        <w:pStyle w:val="Heading2"/>
      </w:pPr>
      <w:r>
        <w:t>18｜案例⑤：聚餐的酒，先缓一缓</w:t>
      </w:r>
    </w:p>
    <w:p>
      <w:r>
        <w:t>页面短文案：酒精＋部分抗过敏药｜嗜睡与反应受损风险增加；酒精＋某些药物｜可能增加其他不良反应风险；普通口服片剂 / 胶囊｜通常用白水，具体看说明书</w:t>
      </w:r>
    </w:p>
    <w:p>
      <w:r>
        <w:t>底部关键句：拿不准能否饮酒：先不喝，再查说明书或问药师。</w:t>
      </w:r>
    </w:p>
    <w:p>
      <w:r>
        <w:t>视觉：水杯、酒杯和药盒原创插画，搭配“先确认”的暂停标记。</w:t>
      </w:r>
    </w:p>
    <w:p>
      <w:r>
        <w:t>分工与时间：乙，120秒。依据：S8; S9; S13。</w:t>
      </w:r>
    </w:p>
    <w:p>
      <w:pPr>
        <w:pStyle w:val="Heading2"/>
      </w:pPr>
      <w:r>
        <w:t>19｜选择题③：聚餐前，选哪条路线？</w:t>
      </w:r>
    </w:p>
    <w:p>
      <w:r>
        <w:t>页面短文案：A 已经吃过药，统一等两小时再喝酒；B 看具体药品要求；拿不准就先不喝；C 只要不醉，就不会与药物相互作用</w:t>
      </w:r>
    </w:p>
    <w:p>
      <w:r>
        <w:t>底部关键句：背景：今天服了抗过敏药，具体饮酒要求尚未确认。</w:t>
      </w:r>
    </w:p>
    <w:p>
      <w:r>
        <w:t>视觉：同一三选一模板；正确答案仅在讲者备注中，下一页给出行动结论。</w:t>
      </w:r>
    </w:p>
    <w:p>
      <w:r>
        <w:t>分工与时间：乙，120秒。依据：S8; S9。</w:t>
      </w:r>
    </w:p>
    <w:p>
      <w:pPr>
        <w:pStyle w:val="Heading2"/>
      </w:pPr>
      <w:r>
        <w:t>20｜安全用药四步：看、核、问、记</w:t>
      </w:r>
    </w:p>
    <w:p>
      <w:r>
        <w:t>页面短文案：看｜症状、说明书、就医信号；核｜成分、剂量、间隔、禁忌；问｜医生 / 药师，确认不确定处；记｜药名、时间、用量与反应</w:t>
      </w:r>
    </w:p>
    <w:p>
      <w:r>
        <w:t>底部关键句：上一题选 B｜把“不确定”变成一个咨询动作。</w:t>
      </w:r>
    </w:p>
    <w:p>
      <w:r>
        <w:t>视觉：原创四步流程，标注“课堂助记法”。</w:t>
      </w:r>
    </w:p>
    <w:p>
      <w:r>
        <w:t>分工与时间：乙，60秒。依据：S1; S2; S8; S9。</w:t>
      </w:r>
    </w:p>
    <w:p>
      <w:pPr>
        <w:pStyle w:val="Heading2"/>
      </w:pPr>
      <w:r>
        <w:t>21｜说明书很长？先定位这六处</w:t>
      </w:r>
    </w:p>
    <w:p>
      <w:r>
        <w:t>页面短文案：成分 / 通用名；适应证或功能主治；用法用量；禁忌与注意事项；相互作用 / 不良反应；贮藏条件 / 有效期</w:t>
      </w:r>
    </w:p>
    <w:p>
      <w:r>
        <w:t>底部关键句：六处是阅读起点，不代表其余内容可以跳过。</w:t>
      </w:r>
    </w:p>
    <w:p>
      <w:r>
        <w:t>视觉：一张放大的原创示意说明书，六个编号定位区。</w:t>
      </w:r>
    </w:p>
    <w:p>
      <w:r>
        <w:t>分工与时间：乙，90秒。依据：S1; S2; S8。</w:t>
      </w:r>
    </w:p>
    <w:p>
      <w:pPr>
        <w:pStyle w:val="Heading2"/>
      </w:pPr>
      <w:r>
        <w:t>22｜时间、剂量、剂型，都别凭感觉改</w:t>
      </w:r>
    </w:p>
    <w:p>
      <w:r>
        <w:t>页面短文案：漏服｜先查具体处理要求，不自行加倍；疗程｜按处方执行，有问题及时咨询；剂型｜缓释、肠溶等，不随意掰碎</w:t>
      </w:r>
    </w:p>
    <w:p>
      <w:r>
        <w:t>底部关键句：不同药物要求不同；不要套用同一条补药规则。</w:t>
      </w:r>
    </w:p>
    <w:p>
      <w:r>
        <w:t>视觉：时钟、剂量格、完整片剂三幅矢量图。</w:t>
      </w:r>
    </w:p>
    <w:p>
      <w:r>
        <w:t>分工与时间：乙，70秒。依据：S10; S13; S4。</w:t>
      </w:r>
    </w:p>
    <w:p>
      <w:pPr>
        <w:pStyle w:val="Heading2"/>
      </w:pPr>
      <w:r>
        <w:t>23｜问药师时，把信息一次说清</w:t>
      </w:r>
    </w:p>
    <w:p>
      <w:r>
        <w:t>页面短文案：我有什么症状，持续多久？；我正在吃什么，何时吃了多少？；我有哪些过敏史、疾病或特殊情况？</w:t>
      </w:r>
    </w:p>
    <w:p>
      <w:r>
        <w:t>底部关键句：带药盒 / 说明书照片，比“那种白色药片”更有用。</w:t>
      </w:r>
    </w:p>
    <w:p>
      <w:r>
        <w:t>视觉：人物对话气泡与药盒照片框；三项信息清单。</w:t>
      </w:r>
    </w:p>
    <w:p>
      <w:r>
        <w:t>分工与时间：乙，60秒。依据：S2; S1。</w:t>
      </w:r>
    </w:p>
    <w:p>
      <w:pPr>
        <w:pStyle w:val="Heading2"/>
      </w:pPr>
      <w:r>
        <w:t>24｜什么时候，不该继续自己试药？</w:t>
      </w:r>
    </w:p>
    <w:p>
      <w:r>
        <w:t>页面短文案：呼吸困难 / 喉舌肿胀 / 意识异常｜立即急救；疑似超量或误服｜及时寻求医疗帮助；症状持续、加重或反复｜及时就诊</w:t>
      </w:r>
    </w:p>
    <w:p>
      <w:r>
        <w:t>底部关键句：严重急症拨打120；带上药品信息，别等“自己好”。</w:t>
      </w:r>
    </w:p>
    <w:p>
      <w:r>
        <w:t>视觉：红色警示区＋120大字，三级行动卡；只列主要信号。</w:t>
      </w:r>
    </w:p>
    <w:p>
      <w:r>
        <w:t>分工与时间：乙，75秒。依据：S2; S11; S12。</w:t>
      </w:r>
    </w:p>
    <w:p>
      <w:pPr>
        <w:pStyle w:val="Heading2"/>
      </w:pPr>
      <w:r>
        <w:t>25｜宿舍药箱：留信息，也留秩序</w:t>
      </w:r>
    </w:p>
    <w:p>
      <w:r>
        <w:t>页面短文案：原包装＋说明书｜一起保留；有效期＋贮藏条件｜定期检查；个人用药记录｜不混装、不分享处方药</w:t>
      </w:r>
    </w:p>
    <w:p>
      <w:r>
        <w:t>底部关键句：数量不求多；需要时能认清、查到、说清。</w:t>
      </w:r>
    </w:p>
    <w:p>
      <w:r>
        <w:t>视觉：可编辑药箱插画、原包装、说明书、手机记录卡。</w:t>
      </w:r>
    </w:p>
    <w:p>
      <w:r>
        <w:t>分工与时间：乙，65秒。依据：S2; S4。</w:t>
      </w:r>
    </w:p>
    <w:p>
      <w:pPr>
        <w:pStyle w:val="Heading2"/>
      </w:pPr>
      <w:r>
        <w:t>26｜把五个误区，换成五个动作</w:t>
      </w:r>
    </w:p>
    <w:p>
      <w:r>
        <w:t>页面短文案：感冒药叠加 → 核对成分；感冒吃抗生素 → 先明确是否需要；备考“外挂” → 不借用处方药；抗过敏后困倦 → 查提示、避风险活动；吃药后聚餐 → 先确认饮酒要求</w:t>
      </w:r>
    </w:p>
    <w:p>
      <w:r>
        <w:t>底部关键句：看、核、问、记：现在进入简单挑战。</w:t>
      </w:r>
    </w:p>
    <w:p>
      <w:r>
        <w:t>视觉：五行“场景→动作”映射；每行配一个小图标。</w:t>
      </w:r>
    </w:p>
    <w:p>
      <w:r>
        <w:t>分工与时间：乙，60秒。依据：原创课堂组织 / 综合归纳。</w:t>
      </w:r>
    </w:p>
    <w:p>
      <w:pPr>
        <w:pStyle w:val="Heading2"/>
      </w:pPr>
      <w:r>
        <w:t>27｜综合挑战：小苏今晚怎么安排？</w:t>
      </w:r>
    </w:p>
    <w:p>
      <w:r>
        <w:t>页面短文案：已服：一种复方感冒药；准备：再加一盒药＋参加聚餐；当前：成分没核对，症状尚轻</w:t>
      </w:r>
    </w:p>
    <w:p>
      <w:r>
        <w:t>底部关键句：虚构情境｜无呼吸困难、意识异常等急症表现。</w:t>
      </w:r>
    </w:p>
    <w:p>
      <w:r>
        <w:t>视觉：三张线索卡：已服、待核、聚餐；小苏人物复用。</w:t>
      </w:r>
    </w:p>
    <w:p>
      <w:r>
        <w:t>分工与时间：乙，60秒。依据：原创课堂组织 / 综合归纳。</w:t>
      </w:r>
    </w:p>
    <w:p>
      <w:pPr>
        <w:pStyle w:val="Heading2"/>
      </w:pPr>
      <w:r>
        <w:t>28｜你会替小苏选哪个方案？</w:t>
      </w:r>
    </w:p>
    <w:p>
      <w:r>
        <w:t>页面短文案：A 两盒一起吃，聚餐少喝一点；B 先核对成分，拿不准问药师；先不喝酒；C 加抗生素预防一下，明天再看</w:t>
      </w:r>
    </w:p>
    <w:p>
      <w:r>
        <w:t>底部关键句：单选 A / B / C｜想10秒，然后举手</w:t>
      </w:r>
    </w:p>
    <w:p>
      <w:r>
        <w:t>视觉：三张等权选择卡，B不过度加粗，避免提前暗示答案。</w:t>
      </w:r>
    </w:p>
    <w:p>
      <w:r>
        <w:t>分工与时间：乙，90秒。依据：原创课堂组织 / 综合归纳。</w:t>
      </w:r>
    </w:p>
    <w:p>
      <w:pPr>
        <w:pStyle w:val="Heading2"/>
      </w:pPr>
      <w:r>
        <w:t>29｜答案 B：三个判断点，全都用上了</w:t>
      </w:r>
    </w:p>
    <w:p>
      <w:r>
        <w:t>页面短文案：成分未核对 → 先不自行叠加；饮酒要求不明 → 先不喝，查询确认；没有用药依据 → 不自行加抗生素</w:t>
      </w:r>
    </w:p>
    <w:p>
      <w:r>
        <w:t>底部关键句：若症状加重或出现急症信号，应及时就医。</w:t>
      </w:r>
    </w:p>
    <w:p>
      <w:r>
        <w:t>视觉：大号B＋三个“线索→行动”映射。</w:t>
      </w:r>
    </w:p>
    <w:p>
      <w:r>
        <w:t>分工与时间：乙，90秒。依据：S2; S4; S9; S11; S12。</w:t>
      </w:r>
    </w:p>
    <w:p>
      <w:pPr>
        <w:pStyle w:val="Heading2"/>
      </w:pPr>
      <w:r>
        <w:t>30｜药可以常备，判断不能省略</w:t>
      </w:r>
    </w:p>
    <w:p>
      <w:r>
        <w:t>页面短文案：先看说明书，再做用药决定；核对重复成分，记录已服药物；拿不准，问医生 / 药师</w:t>
      </w:r>
    </w:p>
    <w:p>
      <w:r>
        <w:t>底部关键句：会看 · 会核 · 会问 · 会记</w:t>
      </w:r>
    </w:p>
    <w:p>
      <w:r>
        <w:t>视觉：蓝底白字收尾，红色胶囊图形；复现开场视觉。</w:t>
      </w:r>
    </w:p>
    <w:p>
      <w:r>
        <w:t>分工与时间：乙，60秒。依据：原创课堂组织 / 综合归纳。</w:t>
      </w:r>
    </w:p>
    <w:p>
      <w:pPr>
        <w:pStyle w:val="Heading1"/>
      </w:pPr>
      <w:r>
        <w:t>数据口径与重绘规则</w:t>
      </w:r>
    </w:p>
    <w:p>
      <w:r>
        <w:t>图1（第8页）：Wolf等，2012年，500名美国成人门诊参与者，模拟非处方对乙酰氨基酚用药任务。单一产品任务中23.8%安排出24小时超过4克的用量；联用任务中45.6%出现重复成分造成的潜在超量。4克为该研究的判定口径，不是本课给出的用药建议，也不能代替中国具体药品说明书的限量。两指标可能重叠，不相加；不能解释为实际中毒、肝损伤或中国大学生发生率。原始数值保留一位小数，条形轴从0至100%。</w:t>
      </w:r>
    </w:p>
    <w:p>
      <w:r>
        <w:t>图2（第13页）：Antimicrobial Resistance Collaborators，Lancet 2022；数据年2019，全球细菌耐药负担模型估计。相关死亡495万人（95%不确定性区间362—657万人）；归因死亡127万人（91.1—171万人）。相关口径以无耐药感染为反事实，归因口径以药物敏感感染替代耐药感染为反事实。不是两个人群可以相加，也不表示这些死亡均由个人滥用抗生素造成。没有把2019年数据写成当前最新数据。</w:t>
      </w:r>
    </w:p>
    <w:p>
      <w:r>
        <w:t>两组数据适合比较大小，因此采用条形图，而不是不适合当前数据结构的瀑布图。图表均按原文数据重绘并标注来源；没有直接截取论文整图。原始绘图数据另附CSV，便于更新。</w:t>
      </w:r>
    </w:p>
    <w:p>
      <w:pPr>
        <w:pStyle w:val="Heading1"/>
      </w:pPr>
      <w:r>
        <w:t>教学边界与常见追问</w:t>
      </w:r>
    </w:p>
    <w:p>
      <w:r>
        <w:t>问：感冒就一定不能用抗生素？答：普通感冒通常由病毒引起，抗生素不能治疗病毒；是否合并细菌感染或属于其他疾病，需要医生评估。</w:t>
      </w:r>
    </w:p>
    <w:p>
      <w:r>
        <w:t>问：抗生素是不是一定要吃到药盒空？答：按处方确定的方案使用；有问题及时联系医生，不自行缩短或延长，不按包装剩余量决定疗程。</w:t>
      </w:r>
    </w:p>
    <w:p>
      <w:r>
        <w:t>问：药盒名字不同为什么不能一起吃？答：商品名不是成分表，同一种有效成分可能出现在多个产品中；具体联用应核对并咨询。</w:t>
      </w:r>
    </w:p>
    <w:p>
      <w:r>
        <w:t>问：非嗜睡抗过敏药是不是绝对不会困？答：嗜睡风险较低不等于人人都没有，仍需看说明书并观察个体反应。</w:t>
      </w:r>
    </w:p>
    <w:p>
      <w:r>
        <w:t>问：能不能给个统一剂量或喝酒等待时长？答：具体药物、规格、病情和个体情况不同，不能给出统一值；看实际说明书和专业建议。</w:t>
      </w:r>
    </w:p>
    <w:p>
      <w:r>
        <w:t>问：耐药是不是身体对药适应了？答：此处讨论的是细菌对抗菌药物的抵抗能力，不是人的身体产生所谓耐药体质。</w:t>
      </w:r>
    </w:p>
    <w:p>
      <w:r>
        <w:t>课堂材料用于一般健康科普，不承担个体诊断和处方功能。案例均为虚构，无真实同学病史；急症行动以中国场景的120表述。</w:t>
      </w:r>
    </w:p>
    <w:p>
      <w:pPr>
        <w:pStyle w:val="Heading1"/>
      </w:pPr>
      <w:r>
        <w:t>评分点与排练检查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</w:tcPr>
          <w:p>
            <w:r>
              <w:t>评分项</w:t>
            </w:r>
          </w:p>
        </w:tc>
        <w:tc>
          <w:tcPr>
            <w:tcW w:type="dxa" w:w="4997"/>
          </w:tcPr>
          <w:p>
            <w:r>
              <w:t>检查动作</w:t>
            </w:r>
          </w:p>
        </w:tc>
      </w:tr>
      <w:tr>
        <w:tc>
          <w:tcPr>
            <w:tcW w:type="dxa" w:w="4997"/>
          </w:tcPr>
          <w:p>
            <w:r>
              <w:t>PPT制作 30</w:t>
            </w:r>
          </w:p>
        </w:tc>
        <w:tc>
          <w:tcPr>
            <w:tcW w:type="dxa" w:w="4997"/>
          </w:tcPr>
          <w:p>
            <w:r>
              <w:t>后排能读到主体文字；三色统一；图形无遮挡；不直接念参考文献。</w:t>
            </w:r>
          </w:p>
        </w:tc>
      </w:tr>
      <w:tr>
        <w:tc>
          <w:tcPr>
            <w:tcW w:type="dxa" w:w="4997"/>
          </w:tcPr>
          <w:p>
            <w:r>
              <w:t>语言表达 30</w:t>
            </w:r>
          </w:p>
        </w:tc>
        <w:tc>
          <w:tcPr>
            <w:tcW w:type="dxa" w:w="4997"/>
          </w:tcPr>
          <w:p>
            <w:r>
              <w:t>用自己的语气练熟讲稿；每页只围绕一个重点；甲乙交接自然；数据解释口径。</w:t>
            </w:r>
          </w:p>
        </w:tc>
      </w:tr>
      <w:tr>
        <w:tc>
          <w:tcPr>
            <w:tcW w:type="dxa" w:w="4997"/>
          </w:tcPr>
          <w:p>
            <w:r>
              <w:t>内容完整性 15</w:t>
            </w:r>
          </w:p>
        </w:tc>
        <w:tc>
          <w:tcPr>
            <w:tcW w:type="dxa" w:w="4997"/>
          </w:tcPr>
          <w:p>
            <w:r>
              <w:t>四部分完整；五类案例齐全；原则、机制和行动互相对应。</w:t>
            </w:r>
          </w:p>
        </w:tc>
      </w:tr>
      <w:tr>
        <w:tc>
          <w:tcPr>
            <w:tcW w:type="dxa" w:w="4997"/>
          </w:tcPr>
          <w:p>
            <w:r>
              <w:t>互动效果 15</w:t>
            </w:r>
          </w:p>
        </w:tc>
        <w:tc>
          <w:tcPr>
            <w:tcW w:type="dxa" w:w="4997"/>
          </w:tcPr>
          <w:p>
            <w:r>
              <w:t>先给阅读时间，再逐项举手；投票后揭晓；即使无人举手也继续解释。</w:t>
            </w:r>
          </w:p>
        </w:tc>
      </w:tr>
      <w:tr>
        <w:tc>
          <w:tcPr>
            <w:tcW w:type="dxa" w:w="4997"/>
          </w:tcPr>
          <w:p>
            <w:r>
              <w:t>时间把握 10</w:t>
            </w:r>
          </w:p>
        </w:tc>
        <w:tc>
          <w:tcPr>
            <w:tcW w:type="dxa" w:w="4997"/>
          </w:tcPr>
          <w:p>
            <w:r>
              <w:t>至少完整计时排练一次；检查5、22、30分钟节点；主线约35分钟。</w:t>
            </w:r>
          </w:p>
        </w:tc>
      </w:tr>
    </w:tbl>
    <w:p>
      <w:pPr>
        <w:pStyle w:val="Heading1"/>
      </w:pPr>
      <w:r>
        <w:t>完整参考资料</w:t>
      </w:r>
    </w:p>
    <w:p>
      <w:r>
        <w:t>[S1] 国家卫生健康委等（2020）《关于加强医疗机构药事管理促进合理用药的意见》</w:t>
      </w:r>
    </w:p>
    <w:p>
      <w:pPr>
        <w:spacing w:after="200"/>
      </w:pPr>
      <w:r>
        <w:t>https://www.nhc.gov.cn/yzygj/c100068/202002/fdb7240014db4d49827ca25bbb41b177.shtml</w:t>
      </w:r>
    </w:p>
    <w:p>
      <w:r>
        <w:t>[S2] FDA. Don’t Overuse Acetaminophen.</w:t>
      </w:r>
    </w:p>
    <w:p>
      <w:pPr>
        <w:spacing w:after="200"/>
      </w:pPr>
      <w:r>
        <w:t>https://www.fda.gov/consumers/consumer-updates/dont-overuse-acetaminophen</w:t>
      </w:r>
    </w:p>
    <w:p>
      <w:r>
        <w:t>[S3] Wolf MS, et al. Risk of Unintentional Overdose with Non-Prescription Acetaminophen Products. J Gen Intern Med. 2012;27:1587–1593. DOI: 10.1007/s11606-012-2096-3.</w:t>
      </w:r>
    </w:p>
    <w:p>
      <w:pPr>
        <w:spacing w:after="200"/>
      </w:pPr>
      <w:r>
        <w:t>https://pmc.ncbi.nlm.nih.gov/articles/PMC3509295/</w:t>
      </w:r>
    </w:p>
    <w:p>
      <w:r>
        <w:t>[S4] CDC. Healthy Habits: Antibiotic Do’s and Don’ts.</w:t>
      </w:r>
    </w:p>
    <w:p>
      <w:pPr>
        <w:spacing w:after="200"/>
      </w:pPr>
      <w:r>
        <w:t>https://www.cdc.gov/antibiotic-use/about/</w:t>
      </w:r>
    </w:p>
    <w:p>
      <w:r>
        <w:t>[S5] Antimicrobial Resistance Collaborators. Global burden of bacterial antimicrobial resistance in 2019: a systematic analysis. Lancet. 2022;399:629–655. DOI: 10.1016/S0140-6736(21)02724-0.</w:t>
      </w:r>
    </w:p>
    <w:p>
      <w:pPr>
        <w:spacing w:after="200"/>
      </w:pPr>
      <w:r>
        <w:t>https://pmc.ncbi.nlm.nih.gov/articles/PMC8841637/</w:t>
      </w:r>
    </w:p>
    <w:p>
      <w:r>
        <w:t>[S6] FDA（2023）Updating warnings to improve safe use of prescription stimulants used to treat ADHD and other conditions.</w:t>
      </w:r>
    </w:p>
    <w:p>
      <w:pPr>
        <w:spacing w:after="200"/>
      </w:pPr>
      <w:r>
        <w:t>https://www.fda.gov/drugs/drug-safety-communications/fda-updating-warnings-improve-safe-use-prescription-stimulants-used-treat-adhd-and-other-conditions</w:t>
      </w:r>
    </w:p>
    <w:p>
      <w:r>
        <w:t>[S7] 市场监管总局《关于防范保健食品功能声称虚假宣传的消费提示》</w:t>
      </w:r>
    </w:p>
    <w:p>
      <w:pPr>
        <w:spacing w:after="200"/>
      </w:pPr>
      <w:r>
        <w:t>https://www.samr.gov.cn/xw/zj/art/2023/art_d03ccbcf0c7e482198c4adfa23f9e59a.html</w:t>
      </w:r>
    </w:p>
    <w:p>
      <w:r>
        <w:t>[S8] NHS. Antihistamines.</w:t>
      </w:r>
    </w:p>
    <w:p>
      <w:pPr>
        <w:spacing w:after="200"/>
      </w:pPr>
      <w:r>
        <w:t>https://www.nhs.uk/medicines/antihistamines/</w:t>
      </w:r>
    </w:p>
    <w:p>
      <w:r>
        <w:t>[S9] NIAAA. Alcohol-Medication Interactions: Potentially Dangerous Mixes.</w:t>
      </w:r>
    </w:p>
    <w:p>
      <w:pPr>
        <w:spacing w:after="200"/>
      </w:pPr>
      <w:r>
        <w:t>https://www.niaaa.nih.gov/health-professionals-communities/core-resource-on-alcohol/alcohol-medication-interactions-potentially-dangerous-mixes</w:t>
      </w:r>
    </w:p>
    <w:p>
      <w:r>
        <w:t>[S10] NHS Specialist Pharmacy Service. Advising on missed or delayed doses of medicines.</w:t>
      </w:r>
    </w:p>
    <w:p>
      <w:pPr>
        <w:spacing w:after="200"/>
      </w:pPr>
      <w:r>
        <w:t>https://sps.nhs.uk/articles/advising-on-missed-or-delayed-doses-of-medicines/</w:t>
      </w:r>
    </w:p>
    <w:p>
      <w:r>
        <w:t>[S11] CDC. Manage Common Cold.</w:t>
      </w:r>
    </w:p>
    <w:p>
      <w:pPr>
        <w:spacing w:after="200"/>
      </w:pPr>
      <w:r>
        <w:t>https://www.cdc.gov/common-cold/treatment/index.html</w:t>
      </w:r>
    </w:p>
    <w:p>
      <w:r>
        <w:t>[S12] NHS. Anaphylaxis.</w:t>
      </w:r>
    </w:p>
    <w:p>
      <w:pPr>
        <w:spacing w:after="200"/>
      </w:pPr>
      <w:r>
        <w:t>https://www.nhs.uk/conditions/anaphylaxis/</w:t>
      </w:r>
    </w:p>
    <w:p>
      <w:r>
        <w:t>[S13] NHS. Omeprazole.</w:t>
      </w:r>
    </w:p>
    <w:p>
      <w:pPr>
        <w:spacing w:after="200"/>
      </w:pPr>
      <w:r>
        <w:t>https://www.nhs.uk/medicines/omeprazole/</w:t>
      </w:r>
    </w:p>
    <w:p>
      <w:r>
        <w:t>[S14] Simons FER, Simons KJ. H1 Antihistamines: Current Status and Future Directions. World Allergy Organ J. 2008;1:145–155.</w:t>
      </w:r>
    </w:p>
    <w:p>
      <w:pPr>
        <w:spacing w:after="200"/>
      </w:pPr>
      <w:r>
        <w:t>https://pmc.ncbi.nlm.nih.gov/articles/PMC3650962/</w:t>
      </w:r>
    </w:p>
    <w:p>
      <w:r>
        <w:t>检索日期：2026-10-09。网页更新时间可能改变；论文数值按上述固定发表版本使用。全文由课堂语言转述，未照搬整段原文或未授权品牌图像。</w:t>
      </w:r>
    </w:p>
    <w:sectPr w:rsidR="00FC693F" w:rsidRPr="0006063C" w:rsidSect="00034616">
      <w:footerReference w:type="default" r:id="rId9"/>
      <w:pgSz w:w="12240" w:h="15840"/>
      <w:pgMar w:top="1008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合理用药｜苏州大学选修课课堂展示　 ·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SC" w:hAnsi="Noto Sans CJK SC" w:eastAsia="Noto Sans CJK SC"/>
      <w:color w:val="153E7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53E7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