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16:9；模板蓝 #153E75、红 #E3464F、白 #FFFFFF；真实照片保留自然色。标题约30pt，主体以20—30pt为主。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18页主讲页加入9张不同的真实图库照片，按版面裁切后嵌入PPT；案例照片仅作场景示意。机制示意仍为可编辑形状。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第8页为PowerPoint原生图表；第13页为可编辑矢量图，含不确定性区间。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三次穿插投票＋一题综合挑战；A/B/C举手，不要求开放表达。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蛋白质结构与功能、受体与信号、细菌和病毒、变异与自然选择。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PPT内含3页隐藏文献附页、2页隐藏图片来源附页；PDF用于预览，编辑请使用PPTX。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1—5</w:t>
            </w:r>
          </w:p>
        </w:tc>
        <w:tc>
          <w:tcPr>
            <w:tcW w:type="dxa" w:w="3331"/>
          </w:tcPr>
          <w:p>
            <w:r>
              <w:t>开场情境；合理用药四原则；靶点示意；四段路线。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6—19</w:t>
            </w:r>
          </w:p>
        </w:tc>
        <w:tc>
          <w:tcPr>
            <w:tcW w:type="dxa" w:w="3331"/>
          </w:tcPr>
          <w:p>
            <w:r>
              <w:t>重复成分；两篇研究图表；抗生素与耐药；备考产品；抗过敏嗜睡；酒精相互作用。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20—26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27—30</w:t>
            </w:r>
          </w:p>
        </w:tc>
        <w:tc>
          <w:tcPr>
            <w:tcW w:type="dxa" w:w="3331"/>
          </w:tcPr>
          <w:p>
            <w:r>
              <w:t>复方感冒药＋聚餐情境；三选一；逐项揭晓；三句收尾。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页面短文案：会选药 · 看成分 · 避误区；苏州大学｜选修课课堂展示；主讲：同学甲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视觉：蓝底白字封面，右侧为手持药片的真实照片。；另嵌入真实照片：tablet-hand.jpg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02｜室友感冒了，你先做哪一步？</w:t>
      </w:r>
    </w:p>
    <w:p>
      <w:r>
        <w:t>页面短文案：A 先吃室友推荐的两种感冒药；B 先看症状、成分和注意事项；C 先加一粒抗生素，求个安心</w:t>
      </w:r>
    </w:p>
    <w:p>
      <w:r>
        <w:t>底部关键句：举手选择 A / B / C｜暂不揭晓</w:t>
      </w:r>
    </w:p>
    <w:p>
      <w:r>
        <w:t>视觉：三条横向选择卡；右侧为手持药片的真实照片。；另嵌入真实照片：tablet-hand.jpg</w:t>
      </w:r>
    </w:p>
    <w:p>
      <w:r>
        <w:t>分工与时间：甲，90秒。依据：原创课堂组织 / 综合归纳。</w:t>
      </w:r>
    </w:p>
    <w:p>
      <w:pPr>
        <w:pStyle w:val="Heading2"/>
      </w:pPr>
      <w:r>
        <w:t>03｜合理用药，要同时过四关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分工与时间：甲，60秒。依据：S1。</w:t>
      </w:r>
    </w:p>
    <w:p>
      <w:pPr>
        <w:pStyle w:val="Heading2"/>
      </w:pPr>
      <w:r>
        <w:t>04｜高中生物连接：药物也要找“靶点”</w:t>
      </w:r>
    </w:p>
    <w:p>
      <w:r>
        <w:t>页面短文案：受体：接收信号的蛋白质；酶：参与并催化化学反应；药物：可能改变信号或反应过程</w:t>
      </w:r>
    </w:p>
    <w:p>
      <w:r>
        <w:t>底部关键句：结构与功能有关｜靶点也可能分布在多个部位</w:t>
      </w:r>
    </w:p>
    <w:p>
      <w:r>
        <w:t>视觉：可编辑“药物—受体—信号”示意，标注简化模型、非比例。</w:t>
      </w:r>
    </w:p>
    <w:p>
      <w:r>
        <w:t>分工与时间：甲，60秒。依据：S8。</w:t>
      </w:r>
    </w:p>
    <w:p>
      <w:pPr>
        <w:pStyle w:val="Heading2"/>
      </w:pPr>
      <w:r>
        <w:t>05｜今天的路线：从会判断，到会行动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视觉：四段路线卡各配一张校园、药房或医疗空间的真实照片。；另嵌入真实照片：college-campus.jpg、pharmacy-01.jpg、pharmacy-02.jpg、hospital-02.jpg</w:t>
      </w:r>
    </w:p>
    <w:p>
      <w:r>
        <w:t>分工与时间：甲，45秒。依据：原创课堂组织 / 综合归纳。</w:t>
      </w:r>
    </w:p>
    <w:p>
      <w:pPr>
        <w:pStyle w:val="Heading2"/>
      </w:pPr>
      <w:r>
        <w:t>06｜案例①：两盒感冒药，真是“双保险”？</w:t>
      </w:r>
    </w:p>
    <w:p>
      <w:r>
        <w:t>页面短文案：小苏：一盒治头痛，一盒治感冒；室友：名字不同，应该能一起吃？；先暂停：翻到“成分”一栏</w:t>
      </w:r>
    </w:p>
    <w:p>
      <w:r>
        <w:t>底部关键句：虚构情境｜包装不同，成分可能重复。</w:t>
      </w:r>
    </w:p>
    <w:p>
      <w:r>
        <w:t>视觉：药瓶实拍照片配三条情境线索；照片不对应虚构故事。；另嵌入真实照片：pill-bottle.jpg</w:t>
      </w:r>
    </w:p>
    <w:p>
      <w:r>
        <w:t>分工与时间：甲，75秒。依据：S2。</w:t>
      </w:r>
    </w:p>
    <w:p>
      <w:pPr>
        <w:pStyle w:val="Heading2"/>
      </w:pPr>
      <w:r>
        <w:t>07｜看成分，才能发现“隐形重复”</w:t>
      </w:r>
    </w:p>
    <w:p>
      <w:r>
        <w:t>页面短文案：药盒A｜对乙酰氨基酚；药盒B｜对乙酰氨基酚＋其他成分；同一成分，会从不同药盒汇合</w:t>
      </w:r>
    </w:p>
    <w:p>
      <w:r>
        <w:t>底部关键句：通用名 / 成分优先于商品名｜示意标签，不是实际说明书</w:t>
      </w:r>
    </w:p>
    <w:p>
      <w:r>
        <w:t>视觉：两张可编辑药盒成分标签，红框突出同名成分，箭头汇合。</w:t>
      </w:r>
    </w:p>
    <w:p>
      <w:r>
        <w:t>分工与时间：甲，60秒。依据：S2。</w:t>
      </w:r>
    </w:p>
    <w:p>
      <w:pPr>
        <w:pStyle w:val="Heading2"/>
      </w:pPr>
      <w:r>
        <w:t>08｜真实研究：模拟用药，也容易出错</w:t>
      </w:r>
    </w:p>
    <w:p>
      <w:r>
        <w:t>页面短文案：23.8%｜单一产品模拟用量超标；45.6%｜模拟联用出现重复超量</w:t>
      </w:r>
    </w:p>
    <w:p>
      <w:r>
        <w:t>底部关键句：两项指标可能重叠，不能相加；不是实际中毒率。</w:t>
      </w:r>
    </w:p>
    <w:p>
      <w:r>
        <w:t>视觉：PowerPoint原生可编辑水平条形图，0—100%；标出美国、n=500、2012。</w:t>
      </w:r>
    </w:p>
    <w:p>
      <w:r>
        <w:t>分工与时间：甲，60秒。依据：S3。</w:t>
      </w:r>
    </w:p>
    <w:p>
      <w:pPr>
        <w:pStyle w:val="Heading2"/>
      </w:pPr>
      <w:r>
        <w:t>09｜选择题②：两盒都含相同成分，怎么办？</w:t>
      </w:r>
    </w:p>
    <w:p>
      <w:r>
        <w:t>页面短文案：A 商品名不同，可以照常同服；B 两种各减一半，自己调一调；C 暂不叠加，核对说明书并问药师</w:t>
      </w:r>
    </w:p>
    <w:p>
      <w:r>
        <w:t>底部关键句：请选最稳妥的下一步｜答案在下一页</w:t>
      </w:r>
    </w:p>
    <w:p>
      <w:r>
        <w:t>视觉：三选一卡片右侧配药瓶实拍照片。；另嵌入真实照片：pill-bottle.jpg</w:t>
      </w:r>
    </w:p>
    <w:p>
      <w:r>
        <w:t>分工与时间：甲，75秒。依据：S2。</w:t>
      </w:r>
    </w:p>
    <w:p>
      <w:pPr>
        <w:pStyle w:val="Heading2"/>
      </w:pPr>
      <w:r>
        <w:t>10｜答案 C：先核对，再决定</w:t>
      </w:r>
    </w:p>
    <w:p>
      <w:r>
        <w:t>页面短文案：同成分：先不自行叠加；规格、时间、已服药物：一起核对；拿不准：带包装或照片问药师</w:t>
      </w:r>
    </w:p>
    <w:p>
      <w:r>
        <w:t>底部关键句：少猜一步，就少一个出错机会。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11｜案例②：抗生素，不是感冒的通用答案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视觉：原创细菌与病毒矢量插画；清楚标注细胞壁为部分抗生素靶点。</w:t>
      </w:r>
    </w:p>
    <w:p>
      <w:r>
        <w:t>分工与时间：甲，75秒。依据：S4; S11。</w:t>
      </w:r>
    </w:p>
    <w:p>
      <w:pPr>
        <w:pStyle w:val="Heading2"/>
      </w:pPr>
      <w:r>
        <w:t>12｜耐药：被筛选出来的是细菌</w:t>
      </w:r>
    </w:p>
    <w:p>
      <w:r>
        <w:t>页面短文案：原有差异｜少数细菌具有耐药性；选择压力｜敏感细菌更易被抑制；存活与繁殖｜耐药菌比例可能上升</w:t>
      </w:r>
    </w:p>
    <w:p>
      <w:r>
        <w:t>底部关键句：连接高中生物：变异＋选择｜不是“人吃出了耐药体质”。</w:t>
      </w:r>
    </w:p>
    <w:p>
      <w:r>
        <w:t>视觉：三阶段细菌群落示意；红色耐药菌数量标注为概念模型，不作真实比例。</w:t>
      </w:r>
    </w:p>
    <w:p>
      <w:r>
        <w:t>分工与时间：甲，80秒。依据：S4; S5。</w:t>
      </w:r>
    </w:p>
    <w:p>
      <w:pPr>
        <w:pStyle w:val="Heading2"/>
      </w:pPr>
      <w:r>
        <w:t>13｜耐药风险，有多大？看清数据口径</w:t>
      </w:r>
    </w:p>
    <w:p>
      <w:r>
        <w:t>页面短文案：495万｜与细菌耐药相关的死亡；127万｜归因于细菌耐药的死亡</w:t>
      </w:r>
    </w:p>
    <w:p>
      <w:r>
        <w:t>底部关键句：2019年全球估计｜两种口径，不可相加。</w:t>
      </w:r>
    </w:p>
    <w:p>
      <w:r>
        <w:t>视觉：带95%不确定性区间的水平条形图；单位万人，轴从0起；注明数据年2019、发表年2022。</w:t>
      </w:r>
    </w:p>
    <w:p>
      <w:r>
        <w:t>分工与时间：甲，70秒。依据：S5。</w:t>
      </w:r>
    </w:p>
    <w:p>
      <w:pPr>
        <w:pStyle w:val="Heading2"/>
      </w:pPr>
      <w:r>
        <w:t>14｜抗生素的三条行动规则</w:t>
      </w:r>
    </w:p>
    <w:p>
      <w:r>
        <w:t>页面短文案：不自行启用｜先明确是否需要；不分享剩药｜相似症状不等于相同病因；按处方使用｜不擅自停、加或延长</w:t>
      </w:r>
    </w:p>
    <w:p>
      <w:r>
        <w:t>底部关键句：出现不良反应或疗效疑问，及时联系医生 / 药师。</w:t>
      </w:r>
    </w:p>
    <w:p>
      <w:r>
        <w:t>视觉：三条抗生素行动规则分别配药房、药师及药瓶实拍照片。；另嵌入真实照片：pharmacy-03.jpg、pharmacy-02.jpg、pill-bottle.jpg</w:t>
      </w:r>
    </w:p>
    <w:p>
      <w:r>
        <w:t>分工与时间：甲，55秒。依据：S4。</w:t>
      </w:r>
    </w:p>
    <w:p>
      <w:pPr>
        <w:pStyle w:val="Heading2"/>
      </w:pPr>
      <w:r>
        <w:t>15｜案例③：“备考外挂”，真的值得试？</w:t>
      </w:r>
    </w:p>
    <w:p>
      <w:r>
        <w:t>页面短文案：保健食品｜不能代替药物治疗疾病；“提高考试成绩”｜警惕夸大宣传；处方兴奋剂｜不借药、不自行购买服用</w:t>
      </w:r>
    </w:p>
    <w:p>
      <w:r>
        <w:t>底部关键句：清醒感，不等于学习效果的保证。</w:t>
      </w:r>
    </w:p>
    <w:p>
      <w:r>
        <w:t>视觉：校园学生实拍照片配备考产品的三项判断。；另嵌入真实照片：college-campus.jpg</w:t>
      </w:r>
    </w:p>
    <w:p>
      <w:r>
        <w:t>分工与时间：甲，60秒。依据：S6; S7。</w:t>
      </w:r>
    </w:p>
    <w:p>
      <w:pPr>
        <w:pStyle w:val="Heading2"/>
      </w:pPr>
      <w:r>
        <w:t>16｜案例④：鼻子舒服了，上课却困了</w:t>
      </w:r>
    </w:p>
    <w:p>
      <w:r>
        <w:t>页面短文案：部分抗组胺药｜可能引起嗜睡；“较少嗜睡”｜不代表人人都不困；困倦时｜避免驾驶、骑车等高风险活动</w:t>
      </w:r>
    </w:p>
    <w:p>
      <w:r>
        <w:t>底部关键句：不能仅凭“抗过敏药”四个字判断影响。</w:t>
      </w:r>
    </w:p>
    <w:p>
      <w:r>
        <w:t>视觉：夜间床头场景实拍照片配抗过敏药嗜睡提示。；另嵌入真实照片：evening.jpg</w:t>
      </w:r>
    </w:p>
    <w:p>
      <w:r>
        <w:t>分工与时间：甲，75秒。依据：S8。</w:t>
      </w:r>
    </w:p>
    <w:p>
      <w:pPr>
        <w:pStyle w:val="Heading2"/>
      </w:pPr>
      <w:r>
        <w:t>17｜同一条信号，在不同部位有不同作用</w:t>
      </w:r>
    </w:p>
    <w:p>
      <w:r>
        <w:t>页面短文案：组胺＋受体｜参与过敏反应；脑内组胺信号｜也参与清醒状态；部分药物进入脑内｜可能引起嗜睡</w:t>
      </w:r>
    </w:p>
    <w:p>
      <w:r>
        <w:t>底部关键句：这是简化机制图；不能据此自行换药。</w:t>
      </w:r>
    </w:p>
    <w:p>
      <w:r>
        <w:t>视觉：外周与脑内双路径示意；受体、箭头及说明可编辑。</w:t>
      </w:r>
    </w:p>
    <w:p>
      <w:r>
        <w:t>分工与时间：乙，65秒。依据：S8; S14。</w:t>
      </w:r>
    </w:p>
    <w:p>
      <w:pPr>
        <w:pStyle w:val="Heading2"/>
      </w:pPr>
      <w:r>
        <w:t>18｜案例⑤：聚餐的酒，先缓一缓</w:t>
      </w:r>
    </w:p>
    <w:p>
      <w:r>
        <w:t>页面短文案：酒精＋部分抗过敏药｜嗜睡与反应受损风险增加；酒精＋某些药物｜可能增加其他不良反应风险；普通口服片剂 / 胶囊｜通常用白水，具体看说明书</w:t>
      </w:r>
    </w:p>
    <w:p>
      <w:r>
        <w:t>底部关键句：拿不准能否饮酒：先不喝，再查说明书或问药师。</w:t>
      </w:r>
    </w:p>
    <w:p>
      <w:r>
        <w:t>视觉：药瓶实拍照片配饮酒与服药的三项核对提示。；另嵌入真实照片：pill-bottle.jpg</w:t>
      </w:r>
    </w:p>
    <w:p>
      <w:r>
        <w:t>分工与时间：乙，120秒。依据：S8; S9; S13。</w:t>
      </w:r>
    </w:p>
    <w:p>
      <w:pPr>
        <w:pStyle w:val="Heading2"/>
      </w:pPr>
      <w:r>
        <w:t>19｜选择题③：聚餐前，选哪条路线？</w:t>
      </w:r>
    </w:p>
    <w:p>
      <w:r>
        <w:t>页面短文案：A 已经吃过药，统一等两小时再喝酒；B 看具体药品要求；拿不准就先不喝；C 只要不醉，就不会与药物相互作用</w:t>
      </w:r>
    </w:p>
    <w:p>
      <w:r>
        <w:t>底部关键句：背景：今天服了抗过敏药，具体饮酒要求尚未确认。</w:t>
      </w:r>
    </w:p>
    <w:p>
      <w:r>
        <w:t>视觉：三选一卡片右侧配药房实拍照片。；另嵌入真实照片：pharmacy-03.jpg</w:t>
      </w:r>
    </w:p>
    <w:p>
      <w:r>
        <w:t>分工与时间：乙，120秒。依据：S8; S9。</w:t>
      </w:r>
    </w:p>
    <w:p>
      <w:pPr>
        <w:pStyle w:val="Heading2"/>
      </w:pPr>
      <w:r>
        <w:t>20｜安全用药四步：看、核、问、记</w:t>
      </w:r>
    </w:p>
    <w:p>
      <w:r>
        <w:t>页面短文案：看｜症状、说明书、就医信号；核｜成分、剂量、间隔、禁忌；问｜医生 / 药师，确认不确定处；记｜药名、时间、用量与反应</w:t>
      </w:r>
    </w:p>
    <w:p>
      <w:r>
        <w:t>底部关键句：上一题选 B｜把“不确定”变成一个咨询动作。</w:t>
      </w:r>
    </w:p>
    <w:p>
      <w:r>
        <w:t>视觉：原创四步流程，标注“课堂助记法”。</w:t>
      </w:r>
    </w:p>
    <w:p>
      <w:r>
        <w:t>分工与时间：乙，60秒。依据：S1; S2; S8; S9。</w:t>
      </w:r>
    </w:p>
    <w:p>
      <w:pPr>
        <w:pStyle w:val="Heading2"/>
      </w:pPr>
      <w:r>
        <w:t>21｜说明书很长？先定位这六处</w:t>
      </w:r>
    </w:p>
    <w:p>
      <w:r>
        <w:t>页面短文案：成分 / 通用名；适应证或功能主治；用法用量；禁忌与注意事项；相互作用 / 不良反应；贮藏条件 / 有效期</w:t>
      </w:r>
    </w:p>
    <w:p>
      <w:r>
        <w:t>底部关键句：六处是阅读起点，不代表其余内容可以跳过。</w:t>
      </w:r>
    </w:p>
    <w:p>
      <w:r>
        <w:t>视觉：说明书六处阅读清单配药瓶实拍照片；提醒以实际说明书为准。；另嵌入真实照片：pill-bottle.jpg</w:t>
      </w:r>
    </w:p>
    <w:p>
      <w:r>
        <w:t>分工与时间：乙，90秒。依据：S1; S2; S8。</w:t>
      </w:r>
    </w:p>
    <w:p>
      <w:pPr>
        <w:pStyle w:val="Heading2"/>
      </w:pPr>
      <w:r>
        <w:t>22｜时间、剂量、剂型，都别凭感觉改</w:t>
      </w:r>
    </w:p>
    <w:p>
      <w:r>
        <w:t>页面短文案：漏服｜先查具体处理要求，不自行加倍；疗程｜按处方执行，有问题及时咨询；剂型｜缓释、肠溶等，不随意掰碎</w:t>
      </w:r>
    </w:p>
    <w:p>
      <w:r>
        <w:t>底部关键句：不同药物要求不同；不要套用同一条补药规则。</w:t>
      </w:r>
    </w:p>
    <w:p>
      <w:r>
        <w:t>视觉：时间、剂量、剂型三张行动卡，各配一张药物或药房实拍照片。；另嵌入真实照片：pill-bottle.jpg、pharmacy-01.jpg、tablet-hand.jpg</w:t>
      </w:r>
    </w:p>
    <w:p>
      <w:r>
        <w:t>分工与时间：乙，70秒。依据：S10; S13; S4。</w:t>
      </w:r>
    </w:p>
    <w:p>
      <w:pPr>
        <w:pStyle w:val="Heading2"/>
      </w:pPr>
      <w:r>
        <w:t>23｜问药师时，把信息一次说清</w:t>
      </w:r>
    </w:p>
    <w:p>
      <w:r>
        <w:t>页面短文案：我有什么症状，持续多久？；我正在吃什么，何时吃了多少？；我有哪些过敏史、疾病或特殊情况？</w:t>
      </w:r>
    </w:p>
    <w:p>
      <w:r>
        <w:t>底部关键句：带药盒 / 说明书照片，比“那种白色药片”更有用。</w:t>
      </w:r>
    </w:p>
    <w:p>
      <w:r>
        <w:t>视觉：药师取药实拍照片配咨询时需要说明的三类信息。；另嵌入真实照片：pharmacy-02.jpg</w:t>
      </w:r>
    </w:p>
    <w:p>
      <w:r>
        <w:t>分工与时间：乙，60秒。依据：S2; S1。</w:t>
      </w:r>
    </w:p>
    <w:p>
      <w:pPr>
        <w:pStyle w:val="Heading2"/>
      </w:pPr>
      <w:r>
        <w:t>24｜什么时候，不该继续自己试药？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底部关键句：严重急症拨打120；带上药品信息，别等“自己好”。</w:t>
      </w:r>
    </w:p>
    <w:p>
      <w:r>
        <w:t>视觉：红色120急救块、危险信号清单及医院走廊实拍照片。；另嵌入真实照片：hospital-02.jpg</w:t>
      </w:r>
    </w:p>
    <w:p>
      <w:r>
        <w:t>分工与时间：乙，75秒。依据：S2; S11; S12。</w:t>
      </w:r>
    </w:p>
    <w:p>
      <w:pPr>
        <w:pStyle w:val="Heading2"/>
      </w:pPr>
      <w:r>
        <w:t>25｜宿舍药箱：留信息，也留秩序</w:t>
      </w:r>
    </w:p>
    <w:p>
      <w:r>
        <w:t>页面短文案：原包装＋说明书｜一起保留；有效期＋贮藏条件｜定期检查；个人用药记录｜不混装、不分享处方药</w:t>
      </w:r>
    </w:p>
    <w:p>
      <w:r>
        <w:t>底部关键句：数量不求多；需要时能认清、查到、说清。</w:t>
      </w:r>
    </w:p>
    <w:p>
      <w:r>
        <w:t>视觉：药房实拍照片配宿舍药箱管理的三条行动提示。；另嵌入真实照片：pharmacy-01.jpg</w:t>
      </w:r>
    </w:p>
    <w:p>
      <w:r>
        <w:t>分工与时间：乙，65秒。依据：S2; S4。</w:t>
      </w:r>
    </w:p>
    <w:p>
      <w:pPr>
        <w:pStyle w:val="Heading2"/>
      </w:pPr>
      <w:r>
        <w:t>26｜把五个误区，换成五个动作</w:t>
      </w:r>
    </w:p>
    <w:p>
      <w:r>
        <w:t>页面短文案：感冒药叠加 → 核对成分；感冒吃抗生素 → 先明确是否需要；备考“外挂” → 不借用处方药；抗过敏后困倦 → 查提示、避风险活动；吃药后聚餐 → 先确认饮酒要求</w:t>
      </w:r>
    </w:p>
    <w:p>
      <w:r>
        <w:t>底部关键句：看、核、问、记：现在进入简单挑战。</w:t>
      </w:r>
    </w:p>
    <w:p>
      <w:r>
        <w:t>视觉：五行“场景→动作”映射；每行配一个小图标。</w:t>
      </w:r>
    </w:p>
    <w:p>
      <w:r>
        <w:t>分工与时间：乙，60秒。依据：原创课堂组织 / 综合归纳。</w:t>
      </w:r>
    </w:p>
    <w:p>
      <w:pPr>
        <w:pStyle w:val="Heading2"/>
      </w:pPr>
      <w:r>
        <w:t>27｜综合挑战：小苏今晚怎么安排？</w:t>
      </w:r>
    </w:p>
    <w:p>
      <w:r>
        <w:t>页面短文案：已服：一种复方感冒药；准备：再加一盒药＋参加聚餐；当前：成分没核对，症状尚轻</w:t>
      </w:r>
    </w:p>
    <w:p>
      <w:r>
        <w:t>底部关键句：虚构情境｜无呼吸困难、意识异常等急症表现。</w:t>
      </w:r>
    </w:p>
    <w:p>
      <w:r>
        <w:t>视觉：手持药片实拍照片配三条虚构综合情境线索。；另嵌入真实照片：tablet-hand.jpg</w:t>
      </w:r>
    </w:p>
    <w:p>
      <w:r>
        <w:t>分工与时间：乙，60秒。依据：原创课堂组织 / 综合归纳。</w:t>
      </w:r>
    </w:p>
    <w:p>
      <w:pPr>
        <w:pStyle w:val="Heading2"/>
      </w:pPr>
      <w:r>
        <w:t>28｜你会替小苏选哪个方案？</w:t>
      </w:r>
    </w:p>
    <w:p>
      <w:r>
        <w:t>页面短文案：A 两盒一起吃，聚餐少喝一点；B 先核对成分，拿不准问药师；先不喝酒；C 加抗生素预防一下，明天再看</w:t>
      </w:r>
    </w:p>
    <w:p>
      <w:r>
        <w:t>底部关键句：单选 A / B / C｜想10秒，然后举手</w:t>
      </w:r>
    </w:p>
    <w:p>
      <w:r>
        <w:t>视觉：三选一卡片右侧配药房实拍照片。；另嵌入真实照片：pharmacy-01.jpg</w:t>
      </w:r>
    </w:p>
    <w:p>
      <w:r>
        <w:t>分工与时间：乙，90秒。依据：原创课堂组织 / 综合归纳。</w:t>
      </w:r>
    </w:p>
    <w:p>
      <w:pPr>
        <w:pStyle w:val="Heading2"/>
      </w:pPr>
      <w:r>
        <w:t>29｜答案 B：三个判断点，全都用上了</w:t>
      </w:r>
    </w:p>
    <w:p>
      <w:r>
        <w:t>页面短文案：成分未核对 → 先不自行叠加；饮酒要求不明 → 先不喝，查询确认；没有用药依据 → 不自行加抗生素</w:t>
      </w:r>
    </w:p>
    <w:p>
      <w:r>
        <w:t>底部关键句：若症状加重或出现急症信号，应及时就医。</w:t>
      </w:r>
    </w:p>
    <w:p>
      <w:r>
        <w:t>视觉：大号B＋三个“线索→行动”映射。</w:t>
      </w:r>
    </w:p>
    <w:p>
      <w:r>
        <w:t>分工与时间：乙，90秒。依据：S2; S4; S9; S11; S12。</w:t>
      </w:r>
    </w:p>
    <w:p>
      <w:pPr>
        <w:pStyle w:val="Heading2"/>
      </w:pPr>
      <w:r>
        <w:t>30｜药可以常备，判断不能省略</w:t>
      </w:r>
    </w:p>
    <w:p>
      <w:r>
        <w:t>页面短文案：先看说明书，再做用药决定；核对重复成分，记录已服药物；拿不准，问医生 / 药师</w:t>
      </w:r>
    </w:p>
    <w:p>
      <w:r>
        <w:t>底部关键句：会看 · 会核 · 会问 · 会记</w:t>
      </w:r>
    </w:p>
    <w:p>
      <w:r>
        <w:t>视觉：蓝底白字收尾，右侧为医疗空间实拍照片。；另嵌入真实照片：clinic-01.jpg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图1（第8页）：Wolf等，2012年，500名美国成人门诊参与者，模拟非处方对乙酰氨基酚用药任务。单一产品任务中23.8%安排出24小时超过4克的用量；联用任务中45.6%出现重复成分造成的潜在超量。4克为该研究的判定口径，不是本课给出的用药建议，也不能代替中国具体药品说明书的限量。两指标可能重叠，不相加；不能解释为实际中毒、肝损伤或中国大学生发生率。原始数值保留一位小数，条形轴从0至100%。</w:t>
      </w:r>
    </w:p>
    <w:p>
      <w:r>
        <w:t>图2（第13页）：Antimicrobial Resistance Collaborators，Lancet 2022；数据年2019，全球细菌耐药负担模型估计。相关死亡495万人（95%不确定性区间362—657万人）；归因死亡127万人（91.1—171万人）。相关口径以无耐药感染为反事实，归因口径以药物敏感感染替代耐药感染为反事实。不是两个人群可以相加，也不表示这些死亡均由个人滥用抗生素造成。没有把2019年数据写成当前最新数据。</w:t>
      </w:r>
    </w:p>
    <w:p>
      <w:r>
        <w:t>两组数据适合比较大小，因此采用条形图，而不是不适合当前数据结构的瀑布图。图表均按原文数据重绘并标注来源；没有直接截取论文整图。原始绘图数据另附CSV，便于更新。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问：耐药是不是身体对药适应了？答：此处讨论的是细菌对抗菌药物的抵抗能力，不是人的身体产生所谓耐药体质。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后排能读到主体文字；三色统一；图形无遮挡；不直接念参考文献。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四部分完整；五类案例齐全；原则、机制和行动互相对应。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[S3] Wolf MS, et al. Risk of Unintentional Overdose with Non-Prescription Acetaminophen Products. J Gen Intern Med. 2012;27:1587–1593. DOI: 10.1007/s11606-012-2096-3.</w:t>
      </w:r>
    </w:p>
    <w:p>
      <w:pPr>
        <w:spacing w:after="200"/>
      </w:pPr>
      <w:r>
        <w:t>https://pmc.ncbi.nlm.nih.gov/articles/PMC3509295/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Antimicrobial Resistance Collaborators. Global burden of bacterial antimicrobial resistance in 2019: a systematic analysis. Lancet. 2022;399:629–655. DOI: 10.1016/S0140-6736(21)02724-0.</w:t>
      </w:r>
    </w:p>
    <w:p>
      <w:pPr>
        <w:spacing w:after="200"/>
      </w:pPr>
      <w:r>
        <w:t>https://pmc.ncbi.nlm.nih.gov/articles/PMC8841637/</w:t>
      </w:r>
    </w:p>
    <w:p>
      <w:r>
        <w:t>[S6] FDA（2023）Updating warnings to improve safe use of prescription stimulants used to treat ADHD and other conditions.</w:t>
      </w:r>
    </w:p>
    <w:p>
      <w:pPr>
        <w:spacing w:after="200"/>
      </w:pPr>
      <w:r>
        <w:t>https://www.fda.gov/drugs/drug-safety-communications/fda-updating-warnings-improve-safe-use-prescription-stimulants-used-treat-adhd-and-other-conditions</w:t>
      </w:r>
    </w:p>
    <w:p>
      <w:r>
        <w:t>[S7] 市场监管总局《关于防范保健食品功能声称虚假宣传的消费提示》</w:t>
      </w:r>
    </w:p>
    <w:p>
      <w:pPr>
        <w:spacing w:after="200"/>
      </w:pPr>
      <w:r>
        <w:t>https://www.samr.gov.cn/xw/zj/art/2023/art_d03ccbcf0c7e482198c4adfa23f9e59a.html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pPr>
        <w:pStyle w:val="Heading1"/>
      </w:pPr>
      <w:r>
        <w:t>真实照片来源与许可</w:t>
      </w:r>
    </w:p>
    <w:p>
      <w:r>
        <w:t>以下均为真实图库照片，非生成图。图库照片仅说明场景；人物、药品、建筑与小苏虚构案例无关，也不代表苏州大学校园。Pexels 与 Unsplash 许可允许将照片用于演示文稿；保留摄影者与原图链接便于复核。</w:t>
      </w:r>
    </w:p>
    <w:p>
      <w:r>
        <w:t>tablet-hand.jpg｜Towfiqu barbhuiya｜Pexels License</w:t>
      </w:r>
    </w:p>
    <w:p>
      <w:r>
        <w:t>https://www.pexels.com/photo/hand-holding-a-pill-15703464/</w:t>
        <w:br/>
        <w:t>https://www.pexels.com/license/</w:t>
      </w:r>
    </w:p>
    <w:p>
      <w:r>
        <w:t>pill-bottle.jpg｜Pexels photo 16051935｜Pexels License</w:t>
      </w:r>
    </w:p>
    <w:p>
      <w:r>
        <w:t>https://www.pexels.com/photo/16051935/</w:t>
        <w:br/>
        <w:t>https://www.pexels.com/license/</w:t>
      </w:r>
    </w:p>
    <w:p>
      <w:r>
        <w:t>college-campus.jpg｜George Pak｜Pexels License</w:t>
      </w:r>
    </w:p>
    <w:p>
      <w:r>
        <w:t>https://www.pexels.com/photo/7972512/</w:t>
        <w:br/>
        <w:t>https://www.pexels.com/license/</w:t>
      </w:r>
    </w:p>
    <w:p>
      <w:r>
        <w:t>evening.jpg｜LZ Jian｜Pexels License</w:t>
      </w:r>
    </w:p>
    <w:p>
      <w:r>
        <w:t>https://www.pexels.com/photo/black-lamp-beside-bed-5968800/</w:t>
        <w:br/>
        <w:t>https://www.pexels.com/license/</w:t>
      </w:r>
    </w:p>
    <w:p>
      <w:r>
        <w:t>pharmacy-01.jpg｜Árpád Czapp｜Unsplash License</w:t>
      </w:r>
    </w:p>
    <w:p>
      <w:r>
        <w:t>https://unsplash.com/photos/a-room-filled-with-lots-of-shelves-filled-with-boxes-and-boxes-tvP6pCnq9iI</w:t>
        <w:br/>
        <w:t>https://unsplash.com/license</w:t>
      </w:r>
    </w:p>
    <w:p>
      <w:r>
        <w:t>pharmacy-02.jpg｜National Cancer Institute｜Unsplash License</w:t>
      </w:r>
    </w:p>
    <w:p>
      <w:r>
        <w:t>https://unsplash.com/photos/pharmacist-reaching-for-medication-on-shelf-byGTytEGjBo</w:t>
        <w:br/>
        <w:t>https://unsplash.com/license</w:t>
      </w:r>
    </w:p>
    <w:p>
      <w:r>
        <w:t>pharmacy-03.jpg｜paws and prints｜Unsplash License</w:t>
      </w:r>
    </w:p>
    <w:p>
      <w:r>
        <w:t>https://unsplash.com/photos/sQjHIOhiL0E</w:t>
        <w:br/>
        <w:t>https://unsplash.com/license</w:t>
      </w:r>
    </w:p>
    <w:p>
      <w:r>
        <w:t>hospital-02.jpg｜Tasha Kostyuk｜Unsplash License</w:t>
      </w:r>
    </w:p>
    <w:p>
      <w:r>
        <w:t>https://unsplash.com/photos/empty-hospital-corridor-with-benches-and-doors-Pk-KuizxQv8</w:t>
        <w:br/>
        <w:t>https://unsplash.com/license</w:t>
      </w:r>
    </w:p>
    <w:p>
      <w:r>
        <w:t>clinic-01.jpg｜Martha Dominguez de Gouveia｜Unsplash License</w:t>
      </w:r>
    </w:p>
    <w:p>
      <w:r>
        <w:t>https://unsplash.com/photos/hospital-lobby-reception-with-signage-nMyM7fxpokE</w:t>
        <w:br/>
        <w:t>https://unsplash.com/license</w:t>
      </w:r>
    </w:p>
    <w:p>
      <w:r>
        <w:t>检索日期：2026-10-09。网页更新时间可能改变；论文数值按上述固定发表版本使用。全文由课堂语言转述，未照搬整段原文或未授权品牌图像。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