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457D" w14:textId="374CF248" w:rsidR="00457067" w:rsidRPr="00457067" w:rsidRDefault="00457067" w:rsidP="00457067">
      <w:p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57067">
        <w:rPr>
          <w:rFonts w:ascii="Arial" w:eastAsia="Times New Roman" w:hAnsi="Arial" w:cs="Arial"/>
          <w:bCs/>
          <w:sz w:val="24"/>
          <w:szCs w:val="24"/>
        </w:rPr>
        <w:t>Supporting information</w:t>
      </w:r>
      <w:r w:rsidRPr="00457067">
        <w:rPr>
          <w:rFonts w:ascii="Arial" w:eastAsia="Times New Roman" w:hAnsi="Arial" w:cs="Arial"/>
          <w:bCs/>
          <w:sz w:val="24"/>
          <w:szCs w:val="24"/>
        </w:rPr>
        <w:t xml:space="preserve"> legends</w:t>
      </w:r>
    </w:p>
    <w:p w14:paraId="2194947E" w14:textId="671DF4C4" w:rsidR="00457067" w:rsidRPr="00457067" w:rsidRDefault="00457067" w:rsidP="00457067">
      <w:p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57067">
        <w:rPr>
          <w:rFonts w:ascii="Arial" w:eastAsia="Times New Roman" w:hAnsi="Arial" w:cs="Arial"/>
          <w:bCs/>
          <w:sz w:val="24"/>
          <w:szCs w:val="24"/>
        </w:rPr>
        <w:t>Fig</w:t>
      </w:r>
      <w:r w:rsidRPr="00457067">
        <w:rPr>
          <w:rFonts w:ascii="Arial" w:eastAsia="Times New Roman" w:hAnsi="Arial" w:cs="Arial"/>
          <w:bCs/>
          <w:sz w:val="24"/>
          <w:szCs w:val="24"/>
        </w:rPr>
        <w:t xml:space="preserve"> S1</w:t>
      </w:r>
      <w:r w:rsidRPr="00457067">
        <w:rPr>
          <w:rFonts w:ascii="Arial" w:eastAsia="Times New Roman" w:hAnsi="Arial" w:cs="Arial"/>
          <w:bCs/>
          <w:sz w:val="24"/>
          <w:szCs w:val="24"/>
        </w:rPr>
        <w:t>. barplot of the six evaporite ponds analysed in this study for display the relative abundance of the very rare genera (abundance levels lower than 0.01%)</w:t>
      </w:r>
    </w:p>
    <w:p w14:paraId="5C117592" w14:textId="52C92293" w:rsidR="00457067" w:rsidRPr="00457067" w:rsidRDefault="00457067" w:rsidP="00457067">
      <w:p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57067">
        <w:rPr>
          <w:rFonts w:ascii="Arial" w:eastAsia="Times New Roman" w:hAnsi="Arial" w:cs="Arial"/>
          <w:bCs/>
          <w:sz w:val="24"/>
          <w:szCs w:val="24"/>
        </w:rPr>
        <w:t>Fig</w:t>
      </w:r>
      <w:r w:rsidRPr="00457067">
        <w:rPr>
          <w:rFonts w:ascii="Arial" w:eastAsia="Times New Roman" w:hAnsi="Arial" w:cs="Arial"/>
          <w:bCs/>
          <w:sz w:val="24"/>
          <w:szCs w:val="24"/>
        </w:rPr>
        <w:t xml:space="preserve"> S2</w:t>
      </w:r>
      <w:r w:rsidRPr="00457067">
        <w:rPr>
          <w:rFonts w:ascii="Arial" w:eastAsia="Times New Roman" w:hAnsi="Arial" w:cs="Arial"/>
          <w:bCs/>
          <w:sz w:val="24"/>
          <w:szCs w:val="24"/>
        </w:rPr>
        <w:t>. Principal coordinate analysis of the Beta diversity among the six evaporite ponds analysed in this study. A) Bray-Curtis distance B) Unifrac unweighted distance C) Unifrac weighted distance</w:t>
      </w:r>
    </w:p>
    <w:p w14:paraId="025E11FB" w14:textId="5E27CEEF" w:rsidR="00457067" w:rsidRPr="00457067" w:rsidRDefault="00457067" w:rsidP="00457067">
      <w:p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57067">
        <w:rPr>
          <w:rFonts w:ascii="Arial" w:eastAsia="Times New Roman" w:hAnsi="Arial" w:cs="Arial"/>
          <w:bCs/>
          <w:sz w:val="24"/>
          <w:szCs w:val="24"/>
        </w:rPr>
        <w:t xml:space="preserve">Fig S3. </w:t>
      </w:r>
      <w:r>
        <w:rPr>
          <w:rFonts w:ascii="Arial" w:eastAsia="Times New Roman" w:hAnsi="Arial" w:cs="Arial"/>
          <w:bCs/>
          <w:sz w:val="24"/>
          <w:szCs w:val="24"/>
        </w:rPr>
        <w:t>Sloan neutral model predictions of the abundances of bacteria and archaea presents in the six evaporite ponds analysed in this study</w:t>
      </w:r>
    </w:p>
    <w:p w14:paraId="24D84D0A" w14:textId="62863E18" w:rsidR="00457067" w:rsidRPr="00457067" w:rsidRDefault="00457067" w:rsidP="00457067">
      <w:p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57067">
        <w:rPr>
          <w:rFonts w:ascii="Arial" w:eastAsia="Times New Roman" w:hAnsi="Arial" w:cs="Arial"/>
          <w:bCs/>
          <w:sz w:val="24"/>
          <w:szCs w:val="24"/>
        </w:rPr>
        <w:t>Table</w:t>
      </w:r>
      <w:r w:rsidR="00C33446">
        <w:rPr>
          <w:rFonts w:ascii="Arial" w:eastAsia="Times New Roman" w:hAnsi="Arial" w:cs="Arial"/>
          <w:bCs/>
          <w:sz w:val="24"/>
          <w:szCs w:val="24"/>
        </w:rPr>
        <w:t xml:space="preserve"> S1</w:t>
      </w:r>
      <w:r w:rsidRPr="00457067">
        <w:rPr>
          <w:rFonts w:ascii="Arial" w:eastAsia="Times New Roman" w:hAnsi="Arial" w:cs="Arial"/>
          <w:bCs/>
          <w:sz w:val="24"/>
          <w:szCs w:val="24"/>
        </w:rPr>
        <w:t xml:space="preserve"> Pairwise distances among the six evaporite ponds sampled in this study estimated through three different distance metrics, Bray-Curtis, Unifrac unweighted and Unifrac weighted</w:t>
      </w:r>
    </w:p>
    <w:p w14:paraId="19103ACC" w14:textId="591DA4C7" w:rsidR="00457067" w:rsidRPr="00457067" w:rsidRDefault="00457067" w:rsidP="00457067">
      <w:pPr>
        <w:spacing w:after="0" w:line="48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57067">
        <w:rPr>
          <w:rFonts w:ascii="Arial" w:eastAsia="Times New Roman" w:hAnsi="Arial" w:cs="Arial"/>
          <w:bCs/>
          <w:sz w:val="24"/>
          <w:szCs w:val="24"/>
        </w:rPr>
        <w:t>Table</w:t>
      </w:r>
      <w:r w:rsidR="00C33446">
        <w:rPr>
          <w:rFonts w:ascii="Arial" w:eastAsia="Times New Roman" w:hAnsi="Arial" w:cs="Arial"/>
          <w:bCs/>
          <w:sz w:val="24"/>
          <w:szCs w:val="24"/>
        </w:rPr>
        <w:t xml:space="preserve"> S2.</w:t>
      </w:r>
      <w:r w:rsidRPr="00457067">
        <w:rPr>
          <w:rFonts w:ascii="Arial" w:eastAsia="Times New Roman" w:hAnsi="Arial" w:cs="Arial"/>
          <w:bCs/>
          <w:sz w:val="24"/>
          <w:szCs w:val="24"/>
        </w:rPr>
        <w:t xml:space="preserve"> Contribution of the neutral process to the assemblage of bacterial communities analysed in this study</w:t>
      </w:r>
    </w:p>
    <w:p w14:paraId="71AE8D31" w14:textId="77777777" w:rsidR="00467458" w:rsidRDefault="00467458"/>
    <w:sectPr w:rsidR="00467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67"/>
    <w:rsid w:val="00320DA4"/>
    <w:rsid w:val="00441A37"/>
    <w:rsid w:val="00457067"/>
    <w:rsid w:val="00467458"/>
    <w:rsid w:val="007C6096"/>
    <w:rsid w:val="0082310B"/>
    <w:rsid w:val="00C33446"/>
    <w:rsid w:val="00D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52A9"/>
  <w15:chartTrackingRefBased/>
  <w15:docId w15:val="{5BB7DE42-D153-4256-A78D-161D01F7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067"/>
    <w:rPr>
      <w:rFonts w:ascii="Calibri" w:eastAsia="Calibri" w:hAnsi="Calibri" w:cs="Calibri"/>
      <w:kern w:val="0"/>
      <w:lang w:val="en-GB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5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0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0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0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0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0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0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0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54E434059E84AA267C574E801339F" ma:contentTypeVersion="13" ma:contentTypeDescription="Create a new document." ma:contentTypeScope="" ma:versionID="8e6621e7eafa4c7ed0a09c551077c1d4">
  <xsd:schema xmlns:xsd="http://www.w3.org/2001/XMLSchema" xmlns:xs="http://www.w3.org/2001/XMLSchema" xmlns:p="http://schemas.microsoft.com/office/2006/metadata/properties" xmlns:ns3="a76879cf-25ef-4e47-8691-9364098036e7" targetNamespace="http://schemas.microsoft.com/office/2006/metadata/properties" ma:root="true" ma:fieldsID="fc5469d7144e7be39a5e31f1040e5e7b" ns3:_="">
    <xsd:import namespace="a76879cf-25ef-4e47-8691-936409803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879cf-25ef-4e47-8691-936409803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26C576-69F9-47CE-B488-1B751355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879cf-25ef-4e47-8691-936409803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28F5A9-44D9-4795-9E04-4392A32EC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22E3E-A78E-436F-B9FA-3A3F23357841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a76879cf-25ef-4e47-8691-9364098036e7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anonimo</cp:lastModifiedBy>
  <cp:revision>2</cp:revision>
  <dcterms:created xsi:type="dcterms:W3CDTF">2024-04-23T18:25:00Z</dcterms:created>
  <dcterms:modified xsi:type="dcterms:W3CDTF">2024-04-23T18:25:00Z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0x0101000C954E434059E84AA267C574E801339F</vt:lpwstr>
  </property>
</Properties>
</file>