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MD HAMDAN IBRAHIM</w:t>
            </w:r>
          </w:p>
        </w:tc>
      </w:tr>
      <w:tr>
        <w:tc>
          <w:tcPr>
            <w:tcW w:type="dxa" w:w="1728"/>
          </w:tcPr>
          <w:p>
            <w:r>
              <w:rPr>
                <w:b/>
              </w:rPr>
              <w:t>Class</w:t>
            </w:r>
          </w:p>
        </w:tc>
        <w:tc>
          <w:tcPr>
            <w:tcW w:type="dxa" w:w="8352"/>
          </w:tcPr>
          <w:p>
            <w:r>
              <w:t>7 A1</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red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Computers</w:t>
            </w:r>
          </w:p>
        </w:tc>
        <w:tc>
          <w:tcPr>
            <w:tcW w:type="dxa" w:w="2628"/>
          </w:tcPr>
          <w:p>
            <w:r>
              <w:rPr>
                <w:sz w:val="17"/>
              </w:rPr>
              <w:t>67%</w:t>
            </w:r>
          </w:p>
        </w:tc>
        <w:tc>
          <w:tcPr>
            <w:tcW w:type="dxa" w:w="2628"/>
          </w:tcPr>
          <w:p>
            <w:r>
              <w:rPr>
                <w:sz w:val="17"/>
              </w:rPr>
              <w:t>Positive and Active Engagement</w:t>
            </w:r>
          </w:p>
        </w:tc>
        <w:tc>
          <w:tcPr>
            <w:tcW w:type="dxa" w:w="2628"/>
          </w:tcPr>
          <w:p>
            <w:r>
              <w:rPr>
                <w:sz w:val="17"/>
              </w:rPr>
              <w:t>Shows strong interest in computers and typing. Performs well with motivation and practice, demonstrating active engagement in this area.</w:t>
            </w:r>
          </w:p>
        </w:tc>
      </w:tr>
      <w:tr>
        <w:tc>
          <w:tcPr>
            <w:tcW w:type="dxa" w:w="2628"/>
          </w:tcPr>
          <w:p>
            <w:r>
              <w:rPr>
                <w:sz w:val="17"/>
              </w:rPr>
              <w:t>Drawing</w:t>
            </w:r>
          </w:p>
        </w:tc>
        <w:tc>
          <w:tcPr>
            <w:tcW w:type="dxa" w:w="2628"/>
          </w:tcPr>
          <w:p>
            <w:r>
              <w:rPr>
                <w:sz w:val="17"/>
              </w:rPr>
              <w:t>61%</w:t>
            </w:r>
          </w:p>
        </w:tc>
        <w:tc>
          <w:tcPr>
            <w:tcW w:type="dxa" w:w="2628"/>
          </w:tcPr>
          <w:p>
            <w:r>
              <w:rPr>
                <w:sz w:val="17"/>
              </w:rPr>
              <w:t>Growing Strength in This Area</w:t>
            </w:r>
          </w:p>
        </w:tc>
        <w:tc>
          <w:tcPr>
            <w:tcW w:type="dxa" w:w="2628"/>
          </w:tcPr>
          <w:p>
            <w:r>
              <w:rPr>
                <w:sz w:val="17"/>
              </w:rPr>
              <w:t>Shows growing strength in drawing with average participation. The interest is developing in this creative activity.</w:t>
            </w:r>
          </w:p>
        </w:tc>
      </w:tr>
      <w:tr>
        <w:tc>
          <w:tcPr>
            <w:tcW w:type="dxa" w:w="2628"/>
          </w:tcPr>
          <w:p>
            <w:r>
              <w:rPr>
                <w:sz w:val="17"/>
              </w:rPr>
              <w:t>Games</w:t>
            </w:r>
          </w:p>
        </w:tc>
        <w:tc>
          <w:tcPr>
            <w:tcW w:type="dxa" w:w="2628"/>
          </w:tcPr>
          <w:p>
            <w:r>
              <w:rPr>
                <w:sz w:val="17"/>
              </w:rPr>
              <w:t>59%</w:t>
            </w:r>
          </w:p>
        </w:tc>
        <w:tc>
          <w:tcPr>
            <w:tcW w:type="dxa" w:w="2628"/>
          </w:tcPr>
          <w:p>
            <w:r>
              <w:rPr>
                <w:sz w:val="17"/>
              </w:rPr>
              <w:t>Building Confidence Gradually</w:t>
            </w:r>
          </w:p>
        </w:tc>
        <w:tc>
          <w:tcPr>
            <w:tcW w:type="dxa" w:w="2628"/>
          </w:tcPr>
          <w:p>
            <w:r>
              <w:rPr>
                <w:sz w:val="17"/>
              </w:rPr>
              <w:t>Enjoys playing shuttle, football, and short cricket. The play shows developing confidence with interest in multiple sports.</w:t>
            </w:r>
          </w:p>
        </w:tc>
      </w:tr>
      <w:tr>
        <w:tc>
          <w:tcPr>
            <w:tcW w:type="dxa" w:w="2628"/>
          </w:tcPr>
          <w:p>
            <w:r>
              <w:rPr>
                <w:sz w:val="17"/>
              </w:rPr>
              <w:t>Library</w:t>
            </w:r>
          </w:p>
        </w:tc>
        <w:tc>
          <w:tcPr>
            <w:tcW w:type="dxa" w:w="2628"/>
          </w:tcPr>
          <w:p>
            <w:r>
              <w:rPr>
                <w:sz w:val="17"/>
              </w:rPr>
              <w:t>58%</w:t>
            </w:r>
          </w:p>
        </w:tc>
        <w:tc>
          <w:tcPr>
            <w:tcW w:type="dxa" w:w="2628"/>
          </w:tcPr>
          <w:p>
            <w:r>
              <w:rPr>
                <w:sz w:val="17"/>
              </w:rPr>
              <w:t>Building Confidence Gradually</w:t>
            </w:r>
          </w:p>
        </w:tc>
        <w:tc>
          <w:tcPr>
            <w:tcW w:type="dxa" w:w="2628"/>
          </w:tcPr>
          <w:p>
            <w:r>
              <w:rPr>
                <w:sz w:val="17"/>
              </w:rPr>
              <w:t>Shows good interest in reading and enjoys books. Building confidence gradually while working on vocabulary and reading skills.</w:t>
            </w:r>
          </w:p>
        </w:tc>
      </w:tr>
      <w:tr>
        <w:tc>
          <w:tcPr>
            <w:tcW w:type="dxa" w:w="2628"/>
          </w:tcPr>
          <w:p>
            <w:r>
              <w:rPr>
                <w:sz w:val="17"/>
              </w:rPr>
              <w:t>Academics</w:t>
            </w:r>
          </w:p>
        </w:tc>
        <w:tc>
          <w:tcPr>
            <w:tcW w:type="dxa" w:w="2628"/>
          </w:tcPr>
          <w:p>
            <w:r>
              <w:rPr>
                <w:sz w:val="17"/>
              </w:rPr>
              <w:t>48%</w:t>
            </w:r>
          </w:p>
        </w:tc>
        <w:tc>
          <w:tcPr>
            <w:tcW w:type="dxa" w:w="2628"/>
          </w:tcPr>
          <w:p>
            <w:r>
              <w:rPr>
                <w:sz w:val="17"/>
              </w:rPr>
              <w:t>Emerging Interest</w:t>
            </w:r>
          </w:p>
        </w:tc>
        <w:tc>
          <w:tcPr>
            <w:tcW w:type="dxa" w:w="2628"/>
          </w:tcPr>
          <w:p>
            <w:r>
              <w:rPr>
                <w:sz w:val="17"/>
              </w:rPr>
              <w:t>Shows good understanding in science and social studies subjects. The engagement is emerging with positive feedback in these areas.</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592"/>
            <w:shd w:fill="1F5E78"/>
          </w:tcPr>
          <w:p>
            <w:r>
              <w:rPr>
                <w:b/>
                <w:color w:val="FFFFFF"/>
              </w:rPr>
              <w:t>Strong Interest Area</w:t>
            </w:r>
          </w:p>
        </w:tc>
        <w:tc>
          <w:tcPr>
            <w:tcW w:type="dxa" w:w="4608"/>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Computers</w:t>
              <w:br/>
              <w:t>(67%)</w:t>
            </w:r>
          </w:p>
        </w:tc>
        <w:tc>
          <w:tcPr>
            <w:tcW w:type="dxa" w:w="3504"/>
          </w:tcPr>
          <w:p>
            <w:r>
              <w:rPr>
                <w:sz w:val="18"/>
              </w:rPr>
              <w:t xml:space="preserve">This strong computer interest can connect to various technology fields. Exploring </w:t>
            </w:r>
            <w:r>
              <w:rPr>
                <w:b/>
                <w:sz w:val="18"/>
              </w:rPr>
              <w:t>software development</w:t>
            </w:r>
            <w:r>
              <w:rPr>
                <w:sz w:val="18"/>
              </w:rPr>
              <w:t xml:space="preserve">, </w:t>
            </w:r>
            <w:r>
              <w:rPr>
                <w:b/>
                <w:sz w:val="18"/>
              </w:rPr>
              <w:t>data entry specialist</w:t>
            </w:r>
            <w:r>
              <w:rPr>
                <w:sz w:val="18"/>
              </w:rPr>
              <w:t xml:space="preserve">, </w:t>
            </w:r>
            <w:r>
              <w:rPr>
                <w:b/>
                <w:sz w:val="18"/>
              </w:rPr>
              <w:t>IT support professional</w:t>
            </w:r>
            <w:r>
              <w:rPr>
                <w:sz w:val="18"/>
              </w:rPr>
              <w:t xml:space="preserve">, </w:t>
            </w:r>
            <w:r>
              <w:rPr>
                <w:b/>
                <w:sz w:val="18"/>
              </w:rPr>
              <w:t>digital content creator</w:t>
            </w:r>
            <w:r>
              <w:rPr>
                <w:sz w:val="18"/>
              </w:rPr>
              <w:t xml:space="preserve">, or </w:t>
            </w:r>
            <w:r>
              <w:rPr>
                <w:b/>
                <w:sz w:val="18"/>
              </w:rPr>
              <w:t>web designer</w:t>
            </w:r>
            <w:r>
              <w:rPr>
                <w:sz w:val="18"/>
              </w:rPr>
              <w:t xml:space="preserve"> is possible. Developing technical skills now builds a strong foundation for many future opportunities.</w:t>
            </w:r>
          </w:p>
        </w:tc>
        <w:tc>
          <w:tcPr>
            <w:tcW w:type="dxa" w:w="3504"/>
          </w:tcPr>
          <w:p>
            <w:pPr>
              <w:spacing w:after="60"/>
            </w:pPr>
            <w:r>
              <w:rPr>
                <w:sz w:val="18"/>
              </w:rPr>
              <w:t>Enroll in a structured computer typing and basic programming class at a local coaching center to improve typing speed and logical thinking skills</w:t>
            </w:r>
          </w:p>
        </w:tc>
      </w:tr>
      <w:tr>
        <w:tc>
          <w:tcPr>
            <w:tcW w:type="dxa" w:w="3504"/>
          </w:tcPr>
          <w:p>
            <w:r>
              <w:rPr>
                <w:sz w:val="17"/>
              </w:rPr>
              <w:t>Drawing</w:t>
              <w:br/>
              <w:t>(61%)</w:t>
            </w:r>
          </w:p>
        </w:tc>
        <w:tc>
          <w:tcPr>
            <w:tcW w:type="dxa" w:w="3504"/>
          </w:tcPr>
          <w:p>
            <w:r>
              <w:rPr>
                <w:sz w:val="18"/>
              </w:rPr>
              <w:t xml:space="preserve">This growing drawing interest can lead to creative career fields. Exploring </w:t>
            </w:r>
            <w:r>
              <w:rPr>
                <w:b/>
                <w:sz w:val="18"/>
              </w:rPr>
              <w:t>graphic designer</w:t>
            </w:r>
            <w:r>
              <w:rPr>
                <w:sz w:val="18"/>
              </w:rPr>
              <w:t xml:space="preserve">, </w:t>
            </w:r>
            <w:r>
              <w:rPr>
                <w:b/>
                <w:sz w:val="18"/>
              </w:rPr>
              <w:t>illustrator</w:t>
            </w:r>
            <w:r>
              <w:rPr>
                <w:sz w:val="18"/>
              </w:rPr>
              <w:t xml:space="preserve">, </w:t>
            </w:r>
            <w:r>
              <w:rPr>
                <w:b/>
                <w:sz w:val="18"/>
              </w:rPr>
              <w:t>animator</w:t>
            </w:r>
            <w:r>
              <w:rPr>
                <w:sz w:val="18"/>
              </w:rPr>
              <w:t xml:space="preserve">, </w:t>
            </w:r>
            <w:r>
              <w:rPr>
                <w:b/>
                <w:sz w:val="18"/>
              </w:rPr>
              <w:t>art teacher</w:t>
            </w:r>
            <w:r>
              <w:rPr>
                <w:sz w:val="18"/>
              </w:rPr>
              <w:t xml:space="preserve">, or </w:t>
            </w:r>
            <w:r>
              <w:rPr>
                <w:b/>
                <w:sz w:val="18"/>
              </w:rPr>
              <w:t>craft professional</w:t>
            </w:r>
            <w:r>
              <w:rPr>
                <w:sz w:val="18"/>
              </w:rPr>
              <w:t xml:space="preserve"> is possible. Developing artistic skills enhances observation, creativity, and attention to detail that benefit many areas.</w:t>
            </w:r>
          </w:p>
        </w:tc>
        <w:tc>
          <w:tcPr>
            <w:tcW w:type="dxa" w:w="3504"/>
          </w:tcPr>
          <w:p>
            <w:pPr>
              <w:spacing w:after="60"/>
            </w:pPr>
            <w:r>
              <w:rPr>
                <w:sz w:val="18"/>
              </w:rPr>
              <w:t>Join a structured drawing class focusing on basic shapes, shading, and perspective to strengthen fundamental art skills</w:t>
            </w:r>
          </w:p>
        </w:tc>
      </w:tr>
    </w:tbl>
    <w:p>
      <w:pPr>
        <w:spacing w:after="80"/>
      </w:pPr>
    </w:p>
    <w:p>
      <w:pPr>
        <w:pStyle w:val="Heading2"/>
        <w:spacing w:before="40" w:after="20"/>
      </w:pPr>
      <w:r>
        <w:t>How Parents Can Help:</w:t>
      </w:r>
    </w:p>
    <w:p>
      <w:pPr>
        <w:spacing w:after="60"/>
        <w:ind w:left="288"/>
      </w:pPr>
      <w:r>
        <w:t>1. Weekend Exploration (Computers): Dedicate a weekend afternoon to a fun, structured online typing game or basic coding tutorial that teaches keyboard skills and logical thinking, connecting it to the interest in computers.</w:t>
      </w:r>
    </w:p>
    <w:p>
      <w:pPr>
        <w:spacing w:after="60"/>
        <w:ind w:left="288"/>
      </w:pPr>
      <w:r>
        <w:t>2. Short Daily Practice (Drawing): Encourage 15 minutes of sketching simple household objects or practicing basic shapes in the evening to maintain the interest in drawing and improve observation skills.</w:t>
      </w:r>
    </w:p>
    <w:p>
      <w:pPr>
        <w:spacing w:after="60"/>
        <w:ind w:left="288"/>
      </w:pPr>
      <w:r>
        <w:t>3. Encourage and Talk: Dedicate 10-15 minutes weekly to talk about what excites your child about computers and drawing, and offer your appreciation for their efforts in these activities.</w:t>
      </w:r>
    </w:p>
    <w:p>
      <w:pPr>
        <w:spacing w:after="80"/>
      </w:pPr>
    </w:p>
    <w:p>
      <w:pPr>
        <w:pStyle w:val="Heading2"/>
        <w:spacing w:before="40" w:after="20"/>
      </w:pPr>
      <w:r>
        <w:t>Conclusion:</w:t>
      </w:r>
    </w:p>
    <w:p>
      <w:pPr>
        <w:spacing w:after="80"/>
      </w:pPr>
      <w:r>
        <w:t>Your child shows wonderful natural strengths in computers and drawing, with growing confidence in several areas. This stage is perfect for gentle exploration and skill building without pressure. The steady progress in multiple activities shows healthy curiosity and learning behavior. Remember that discovering interests takes time, and every small step forward is valuable. Your support in providing practical opportunities will help these strengths develop naturally.</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