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 w:after="0"/>
      </w:pPr>
    </w:p>
    <w:p>
      <w:pPr>
        <w:jc w:val="center"/>
      </w:pPr>
      <w:r>
        <w:rPr>
          <w:rFonts w:ascii="Calibri" w:hAnsi="Calibri"/>
          <w:b/>
          <w:i w:val="0"/>
          <w:color w:val="0D0D1A"/>
          <w:sz w:val="44"/>
        </w:rPr>
        <w:t>Equity-Commodities Spillover Monitor</w:t>
      </w:r>
    </w:p>
    <w:p>
      <w:pPr>
        <w:spacing w:before="120" w:after="0"/>
      </w:pPr>
    </w:p>
    <w:p>
      <w:pPr>
        <w:jc w:val="center"/>
      </w:pPr>
      <w:r>
        <w:rPr>
          <w:rFonts w:ascii="Calibri" w:hAnsi="Calibri"/>
          <w:b w:val="0"/>
          <w:i w:val="0"/>
          <w:color w:val="8E6F3E"/>
          <w:sz w:val="28"/>
        </w:rPr>
        <w:t>Week 7 Capstone — Final Industry Panelist Review</w:t>
      </w:r>
    </w:p>
    <w:p>
      <w:pPr>
        <w:spacing w:before="80" w:after="0"/>
      </w:pPr>
    </w:p>
    <w:p>
      <w:pPr>
        <w:jc w:val="center"/>
      </w:pPr>
      <w:r>
        <w:rPr>
          <w:rFonts w:ascii="Calibri" w:hAnsi="Calibri"/>
          <w:b w:val="0"/>
          <w:i w:val="0"/>
          <w:color w:val="555E70"/>
          <w:sz w:val="22"/>
        </w:rPr>
        <w:t>MGMT 69000-120: AI for Finance  ·  Purdue University Daniels School of Business</w:t>
      </w:r>
    </w:p>
    <w:p>
      <w:pPr>
        <w:spacing w:before="320" w:after="0"/>
      </w:pPr>
    </w:p>
    <w:p>
      <w:pPr>
        <w:jc w:val="center"/>
        <w:pBdr>
          <w:bottom w:val="single" w:sz="12" w:space="4" w:color="CFB991"/>
        </w:pBdr>
      </w:pPr>
    </w:p>
    <w:p>
      <w:pPr>
        <w:spacing w:before="400" w:after="0"/>
      </w:pPr>
    </w:p>
    <w:p>
      <w:pPr>
        <w:jc w:val="center"/>
      </w:pPr>
      <w:r>
        <w:rPr>
          <w:rFonts w:ascii="Calibri" w:hAnsi="Calibri"/>
          <w:b/>
          <w:i w:val="0"/>
          <w:color w:val="0D0D1A"/>
          <w:sz w:val="24"/>
        </w:rPr>
        <w:t>Heramb S. Patkar  ·  Ilian Zalomai  ·  Jiahe Miao</w:t>
      </w:r>
    </w:p>
    <w:p>
      <w:pPr>
        <w:spacing w:before="80" w:after="0"/>
      </w:pPr>
    </w:p>
    <w:p>
      <w:pPr>
        <w:jc w:val="center"/>
      </w:pPr>
      <w:r>
        <w:rPr>
          <w:rFonts w:ascii="Calibri" w:hAnsi="Calibri"/>
          <w:b w:val="0"/>
          <w:i w:val="0"/>
          <w:color w:val="555E70"/>
          <w:sz w:val="20"/>
        </w:rPr>
        <w:t>Instructor: Prof. Cinder Zhang  ·  April 30, 2026  ·  300 Points</w:t>
      </w:r>
    </w:p>
    <w:p>
      <w:r>
        <w:br w:type="page"/>
      </w:r>
    </w:p>
    <w:p>
      <w:pPr>
        <w:spacing w:before="320" w:after="80"/>
        <w:pBdr>
          <w:bottom w:val="single" w:sz="8" w:space="4" w:color="CFB991"/>
        </w:pBdr>
      </w:pPr>
      <w:r>
        <w:rPr>
          <w:rFonts w:ascii="Calibri" w:hAnsi="Calibri"/>
          <w:b/>
          <w:i w:val="0"/>
          <w:color w:val="0D0D1A"/>
          <w:sz w:val="30"/>
        </w:rPr>
        <w:t>1. Executive Summary</w:t>
      </w:r>
    </w:p>
    <w:p>
      <w:pPr>
        <w:spacing w:before="40" w:after="80"/>
      </w:pPr>
      <w:r>
        <w:rPr>
          <w:rFonts w:ascii="Calibri" w:hAnsi="Calibri"/>
          <w:b w:val="0"/>
          <w:i w:val="0"/>
          <w:color w:val="1A1A2E"/>
          <w:sz w:val="21"/>
        </w:rPr>
        <w:t>The Equity-Commodities Spillover Monitor is an institutional-grade, multi-page analytical dashboard that answers a question standard financial terminals do not: how do geopolitical shocks transmit across asset classes in real time, and what does that mean for positioning?</w:t>
      </w:r>
    </w:p>
    <w:p>
      <w:pPr>
        <w:spacing w:before="40" w:after="80"/>
      </w:pPr>
      <w:r>
        <w:rPr>
          <w:rFonts w:ascii="Calibri" w:hAnsi="Calibri"/>
          <w:b w:val="0"/>
          <w:i w:val="0"/>
          <w:color w:val="1A1A2E"/>
          <w:sz w:val="21"/>
        </w:rPr>
        <w:t>The system ingests live data from six external sources, runs five independent econometric models, orchestrates seven AI agents in a dependency-ordered pipeline, and presents results across 22 pages in a purpose-built dark-theme Streamlit interface. Every analytical claim is backed by a published methodology; every model output is validated against a 56-case out-of-sample benchmark harness.</w:t>
      </w:r>
    </w:p>
    <w:p>
      <w:pPr>
        <w:spacing w:before="40" w:after="80"/>
      </w:pPr>
      <w:r>
        <w:rPr>
          <w:rFonts w:ascii="Calibri" w:hAnsi="Calibri"/>
          <w:b w:val="0"/>
          <w:i w:val="0"/>
          <w:color w:val="1A1A2E"/>
          <w:sz w:val="21"/>
        </w:rPr>
        <w:t>Core value proposition: a single analyst can open this dashboard and, within two minutes, know what is driving cross-asset stress, which geopolitical conflicts are transmitting into commodity markets, and what trade structures are valid under the current correlation regime — grounded in real data and statistically rigorous methodology.</w:t>
      </w:r>
    </w:p>
    <w:p>
      <w:pPr>
        <w:spacing w:before="320" w:after="80"/>
        <w:pBdr>
          <w:bottom w:val="single" w:sz="8" w:space="4" w:color="CFB991"/>
        </w:pBdr>
      </w:pPr>
      <w:r>
        <w:rPr>
          <w:rFonts w:ascii="Calibri" w:hAnsi="Calibri"/>
          <w:b/>
          <w:i w:val="0"/>
          <w:color w:val="0D0D1A"/>
          <w:sz w:val="30"/>
        </w:rPr>
        <w:t>2. Problem Statement &amp; Market Gap</w:t>
      </w:r>
    </w:p>
    <w:p>
      <w:pPr>
        <w:spacing w:before="200" w:after="80"/>
        <w:pBdr>
          <w:bottom w:val="single" w:sz="4" w:space="4" w:color="DDDDDD"/>
        </w:pBdr>
      </w:pPr>
      <w:r>
        <w:rPr>
          <w:rFonts w:ascii="Calibri" w:hAnsi="Calibri"/>
          <w:b/>
          <w:i w:val="0"/>
          <w:color w:val="0D0D1A"/>
          <w:sz w:val="24"/>
        </w:rPr>
        <w:t>2.1 The Question This System Answers</w:t>
      </w:r>
    </w:p>
    <w:p>
      <w:pPr>
        <w:spacing w:before="40" w:after="80"/>
      </w:pPr>
      <w:r>
        <w:rPr>
          <w:rFonts w:ascii="Calibri" w:hAnsi="Calibri"/>
          <w:b w:val="0"/>
          <w:i w:val="0"/>
          <w:color w:val="1A1A2E"/>
          <w:sz w:val="21"/>
        </w:rPr>
        <w:t>How do geopolitical shocks transmit across asset classes — specifically between global equity markets and commodity futures — and what does that mean for portfolio positioning?</w:t>
      </w:r>
    </w:p>
    <w:p>
      <w:pPr>
        <w:spacing w:before="40" w:after="80"/>
      </w:pPr>
      <w:r>
        <w:rPr>
          <w:rFonts w:ascii="Calibri" w:hAnsi="Calibri"/>
          <w:b w:val="0"/>
          <w:i w:val="0"/>
          <w:color w:val="1A1A2E"/>
          <w:sz w:val="21"/>
        </w:rPr>
        <w:t>Standard market dashboards (Bloomberg, FactSet) answer: 'What are prices doing?' This system answers: 'Why are prices moving, where is the shock originating, and how does it propagate?'</w:t>
      </w:r>
    </w:p>
    <w:p>
      <w:pPr>
        <w:spacing w:before="200" w:after="80"/>
        <w:pBdr>
          <w:bottom w:val="single" w:sz="4" w:space="4" w:color="DDDDDD"/>
        </w:pBdr>
      </w:pPr>
      <w:r>
        <w:rPr>
          <w:rFonts w:ascii="Calibri" w:hAnsi="Calibri"/>
          <w:b/>
          <w:i w:val="0"/>
          <w:color w:val="0D0D1A"/>
          <w:sz w:val="24"/>
        </w:rPr>
        <w:t>2.2 Capabilities Comparison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3969"/>
            <w:shd w:val="clear" w:color="auto" w:fill="0D0D1A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CFB991"/>
                <w:sz w:val="18"/>
              </w:rPr>
              <w:t>Capability</w:t>
            </w:r>
          </w:p>
        </w:tc>
        <w:tc>
          <w:tcPr>
            <w:tcW w:type="dxa" w:w="1417"/>
            <w:shd w:val="clear" w:color="auto" w:fill="0D0D1A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CFB991"/>
                <w:sz w:val="18"/>
              </w:rPr>
              <w:t>Bloomberg</w:t>
            </w:r>
          </w:p>
        </w:tc>
        <w:tc>
          <w:tcPr>
            <w:tcW w:type="dxa" w:w="1984"/>
            <w:shd w:val="clear" w:color="auto" w:fill="0D0D1A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CFB991"/>
                <w:sz w:val="18"/>
              </w:rPr>
              <w:t>Standard Dashboard</w:t>
            </w:r>
          </w:p>
        </w:tc>
        <w:tc>
          <w:tcPr>
            <w:tcW w:type="dxa" w:w="2835"/>
            <w:shd w:val="clear" w:color="auto" w:fill="0D0D1A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CFB991"/>
                <w:sz w:val="18"/>
              </w:rPr>
              <w:t>This System</w:t>
            </w:r>
          </w:p>
        </w:tc>
      </w:tr>
      <w:tr>
        <w:tc>
          <w:tcPr>
            <w:tcW w:type="dxa" w:w="3969"/>
            <w:shd w:val="clear" w:color="auto" w:fill="F5F4F0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8"/>
              </w:rPr>
              <w:t>Live price/return data</w:t>
            </w:r>
          </w:p>
        </w:tc>
        <w:tc>
          <w:tcPr>
            <w:tcW w:type="dxa" w:w="1417"/>
            <w:shd w:val="clear" w:color="auto" w:fill="F5F4F0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8"/>
              </w:rPr>
              <w:t>✅</w:t>
            </w:r>
          </w:p>
        </w:tc>
        <w:tc>
          <w:tcPr>
            <w:tcW w:type="dxa" w:w="1984"/>
            <w:shd w:val="clear" w:color="auto" w:fill="F5F4F0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8"/>
              </w:rPr>
              <w:t>✅</w:t>
            </w:r>
          </w:p>
        </w:tc>
        <w:tc>
          <w:tcPr>
            <w:tcW w:type="dxa" w:w="2835"/>
            <w:shd w:val="clear" w:color="auto" w:fill="F5F4F0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8"/>
              </w:rPr>
              <w:t>✅</w:t>
            </w:r>
          </w:p>
        </w:tc>
      </w:tr>
      <w:tr>
        <w:tc>
          <w:tcPr>
            <w:tcW w:type="dxa" w:w="3969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8"/>
              </w:rPr>
              <w:t>Correlation levels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8"/>
              </w:rPr>
              <w:t>✅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8"/>
              </w:rPr>
              <w:t>✅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8"/>
              </w:rPr>
              <w:t>✅</w:t>
            </w:r>
          </w:p>
        </w:tc>
      </w:tr>
      <w:tr>
        <w:tc>
          <w:tcPr>
            <w:tcW w:type="dxa" w:w="3969"/>
            <w:shd w:val="clear" w:color="auto" w:fill="F5F4F0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8"/>
              </w:rPr>
              <w:t>Spillover directionality</w:t>
            </w:r>
          </w:p>
        </w:tc>
        <w:tc>
          <w:tcPr>
            <w:tcW w:type="dxa" w:w="1417"/>
            <w:shd w:val="clear" w:color="auto" w:fill="F5F4F0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8"/>
              </w:rPr>
              <w:t>❌</w:t>
            </w:r>
          </w:p>
        </w:tc>
        <w:tc>
          <w:tcPr>
            <w:tcW w:type="dxa" w:w="1984"/>
            <w:shd w:val="clear" w:color="auto" w:fill="F5F4F0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8"/>
              </w:rPr>
              <w:t>❌</w:t>
            </w:r>
          </w:p>
        </w:tc>
        <w:tc>
          <w:tcPr>
            <w:tcW w:type="dxa" w:w="2835"/>
            <w:shd w:val="clear" w:color="auto" w:fill="F5F4F0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8"/>
              </w:rPr>
              <w:t>✅ Diebold-Yilmaz FEVD</w:t>
            </w:r>
          </w:p>
        </w:tc>
      </w:tr>
      <w:tr>
        <w:tc>
          <w:tcPr>
            <w:tcW w:type="dxa" w:w="3969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8"/>
              </w:rPr>
              <w:t>Regime-conditioned analysis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8"/>
              </w:rPr>
              <w:t>Partial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8"/>
              </w:rPr>
              <w:t>❌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8"/>
              </w:rPr>
              <w:t>✅ 3-state adaptive</w:t>
            </w:r>
          </w:p>
        </w:tc>
      </w:tr>
      <w:tr>
        <w:tc>
          <w:tcPr>
            <w:tcW w:type="dxa" w:w="3969"/>
            <w:shd w:val="clear" w:color="auto" w:fill="F5F4F0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8"/>
              </w:rPr>
              <w:t>Geopolitical → market attribution</w:t>
            </w:r>
          </w:p>
        </w:tc>
        <w:tc>
          <w:tcPr>
            <w:tcW w:type="dxa" w:w="1417"/>
            <w:shd w:val="clear" w:color="auto" w:fill="F5F4F0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8"/>
              </w:rPr>
              <w:t>❌</w:t>
            </w:r>
          </w:p>
        </w:tc>
        <w:tc>
          <w:tcPr>
            <w:tcW w:type="dxa" w:w="1984"/>
            <w:shd w:val="clear" w:color="auto" w:fill="F5F4F0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8"/>
              </w:rPr>
              <w:t>❌</w:t>
            </w:r>
          </w:p>
        </w:tc>
        <w:tc>
          <w:tcPr>
            <w:tcW w:type="dxa" w:w="2835"/>
            <w:shd w:val="clear" w:color="auto" w:fill="F5F4F0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8"/>
              </w:rPr>
              <w:t>✅ CIS/TPS scoring</w:t>
            </w:r>
          </w:p>
        </w:tc>
      </w:tr>
      <w:tr>
        <w:tc>
          <w:tcPr>
            <w:tcW w:type="dxa" w:w="3969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8"/>
              </w:rPr>
              <w:t>AI-synthesized morning briefing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8"/>
              </w:rPr>
              <w:t>❌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8"/>
              </w:rPr>
              <w:t>❌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8"/>
              </w:rPr>
              <w:t>✅ 7-agent pipeline</w:t>
            </w:r>
          </w:p>
        </w:tc>
      </w:tr>
      <w:tr>
        <w:tc>
          <w:tcPr>
            <w:tcW w:type="dxa" w:w="3969"/>
            <w:shd w:val="clear" w:color="auto" w:fill="F5F4F0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8"/>
              </w:rPr>
              <w:t>Scenario propagation w/ regime conditioning</w:t>
            </w:r>
          </w:p>
        </w:tc>
        <w:tc>
          <w:tcPr>
            <w:tcW w:type="dxa" w:w="1417"/>
            <w:shd w:val="clear" w:color="auto" w:fill="F5F4F0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8"/>
              </w:rPr>
              <w:t>❌</w:t>
            </w:r>
          </w:p>
        </w:tc>
        <w:tc>
          <w:tcPr>
            <w:tcW w:type="dxa" w:w="1984"/>
            <w:shd w:val="clear" w:color="auto" w:fill="F5F4F0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8"/>
              </w:rPr>
              <w:t>❌</w:t>
            </w:r>
          </w:p>
        </w:tc>
        <w:tc>
          <w:tcPr>
            <w:tcW w:type="dxa" w:w="2835"/>
            <w:shd w:val="clear" w:color="auto" w:fill="F5F4F0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8"/>
              </w:rPr>
              <w:t>✅ Nonlinear OLS betas</w:t>
            </w:r>
          </w:p>
        </w:tc>
      </w:tr>
      <w:tr>
        <w:tc>
          <w:tcPr>
            <w:tcW w:type="dxa" w:w="3969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8"/>
              </w:rPr>
              <w:t>Out-of-sample model validation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8"/>
              </w:rPr>
              <w:t>❌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8"/>
              </w:rPr>
              <w:t>❌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8"/>
              </w:rPr>
              <w:t>✅ 56-case harness</w:t>
            </w:r>
          </w:p>
        </w:tc>
      </w:tr>
    </w:tbl>
    <w:p>
      <w:pPr>
        <w:spacing w:before="120" w:after="0"/>
      </w:pPr>
    </w:p>
    <w:p>
      <w:pPr>
        <w:spacing w:before="320" w:after="80"/>
        <w:pBdr>
          <w:bottom w:val="single" w:sz="8" w:space="4" w:color="CFB991"/>
        </w:pBdr>
      </w:pPr>
      <w:r>
        <w:rPr>
          <w:rFonts w:ascii="Calibri" w:hAnsi="Calibri"/>
          <w:b/>
          <w:i w:val="0"/>
          <w:color w:val="0D0D1A"/>
          <w:sz w:val="30"/>
        </w:rPr>
        <w:t>3. System Architecture</w:t>
      </w:r>
    </w:p>
    <w:p>
      <w:pPr>
        <w:spacing w:before="200" w:after="80"/>
        <w:pBdr>
          <w:bottom w:val="single" w:sz="4" w:space="4" w:color="DDDDDD"/>
        </w:pBdr>
      </w:pPr>
      <w:r>
        <w:rPr>
          <w:rFonts w:ascii="Calibri" w:hAnsi="Calibri"/>
          <w:b/>
          <w:i w:val="0"/>
          <w:color w:val="0D0D1A"/>
          <w:sz w:val="24"/>
        </w:rPr>
        <w:t>3.1 Three-Layer Design</w:t>
      </w:r>
    </w:p>
    <w:p>
      <w:pPr>
        <w:spacing w:before="40" w:after="80"/>
      </w:pPr>
      <w:r>
        <w:rPr>
          <w:rFonts w:ascii="Calibri" w:hAnsi="Calibri"/>
          <w:b w:val="0"/>
          <w:i w:val="0"/>
          <w:color w:val="1A1A2E"/>
          <w:sz w:val="21"/>
        </w:rPr>
        <w:t>The system is organized in three layers: Data Ingestion → Analytics Engine → AI Agent Workforce, with a Streamlit UI as the presentation layer.</w:t>
      </w:r>
    </w:p>
    <w:p>
      <w:pPr>
        <w:spacing w:before="200" w:after="80"/>
        <w:pBdr>
          <w:bottom w:val="single" w:sz="4" w:space="4" w:color="DDDDDD"/>
        </w:pBdr>
      </w:pPr>
      <w:r>
        <w:rPr>
          <w:rFonts w:ascii="Calibri" w:hAnsi="Calibri"/>
          <w:b/>
          <w:i w:val="0"/>
          <w:color w:val="0D0D1A"/>
          <w:sz w:val="24"/>
        </w:rPr>
        <w:t>3.2 Data Pipeline — Six Live Sources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587"/>
            <w:shd w:val="clear" w:color="auto" w:fill="0D0D1A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CFB991"/>
                <w:sz w:val="18"/>
              </w:rPr>
              <w:t>Source</w:t>
            </w:r>
          </w:p>
        </w:tc>
        <w:tc>
          <w:tcPr>
            <w:tcW w:type="dxa" w:w="2948"/>
            <w:shd w:val="clear" w:color="auto" w:fill="0D0D1A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CFB991"/>
                <w:sz w:val="18"/>
              </w:rPr>
              <w:t>Data</w:t>
            </w:r>
          </w:p>
        </w:tc>
        <w:tc>
          <w:tcPr>
            <w:tcW w:type="dxa" w:w="1134"/>
            <w:shd w:val="clear" w:color="auto" w:fill="0D0D1A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CFB991"/>
                <w:sz w:val="18"/>
              </w:rPr>
              <w:t>Cache TTL</w:t>
            </w:r>
          </w:p>
        </w:tc>
        <w:tc>
          <w:tcPr>
            <w:tcW w:type="dxa" w:w="2835"/>
            <w:shd w:val="clear" w:color="auto" w:fill="0D0D1A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CFB991"/>
                <w:sz w:val="18"/>
              </w:rPr>
              <w:t>Notes</w:t>
            </w:r>
          </w:p>
        </w:tc>
      </w:tr>
      <w:tr>
        <w:tc>
          <w:tcPr>
            <w:tcW w:type="dxa" w:w="1587"/>
            <w:shd w:val="clear" w:color="auto" w:fill="F5F4F0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8"/>
              </w:rPr>
              <w:t>Yahoo Finance</w:t>
            </w:r>
          </w:p>
        </w:tc>
        <w:tc>
          <w:tcPr>
            <w:tcW w:type="dxa" w:w="2948"/>
            <w:shd w:val="clear" w:color="auto" w:fill="F5F4F0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8"/>
              </w:rPr>
              <w:t>50+ tickers: equities, commodities, FX, vol indices</w:t>
            </w:r>
          </w:p>
        </w:tc>
        <w:tc>
          <w:tcPr>
            <w:tcW w:type="dxa" w:w="1134"/>
            <w:shd w:val="clear" w:color="auto" w:fill="F5F4F0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8"/>
              </w:rPr>
              <w:t>900s</w:t>
            </w:r>
          </w:p>
        </w:tc>
        <w:tc>
          <w:tcPr>
            <w:tcW w:type="dxa" w:w="2835"/>
            <w:shd w:val="clear" w:color="auto" w:fill="F5F4F0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8"/>
              </w:rPr>
              <w:t>Parallel-loaded via ThreadPoolExecutor</w:t>
            </w:r>
          </w:p>
        </w:tc>
      </w:tr>
      <w:tr>
        <w:tc>
          <w:tcPr>
            <w:tcW w:type="dxa" w:w="1587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8"/>
              </w:rPr>
              <w:t>FRED API</w:t>
            </w:r>
          </w:p>
        </w:tc>
        <w:tc>
          <w:tcPr>
            <w:tcW w:type="dxa" w:w="294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8"/>
              </w:rPr>
              <w:t>24 macro series: yield curve, CPI, Fed Funds, GDP, PMI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8"/>
              </w:rPr>
              <w:t>86400s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8"/>
              </w:rPr>
              <w:t>Daily; last available for stale dates</w:t>
            </w:r>
          </w:p>
        </w:tc>
      </w:tr>
      <w:tr>
        <w:tc>
          <w:tcPr>
            <w:tcW w:type="dxa" w:w="1587"/>
            <w:shd w:val="clear" w:color="auto" w:fill="F5F4F0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8"/>
              </w:rPr>
              <w:t>GDELT 2.0</w:t>
            </w:r>
          </w:p>
        </w:tc>
        <w:tc>
          <w:tcPr>
            <w:tcW w:type="dxa" w:w="2948"/>
            <w:shd w:val="clear" w:color="auto" w:fill="F5F4F0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8"/>
              </w:rPr>
              <w:t>News volume and tone for 6 active conflicts</w:t>
            </w:r>
          </w:p>
        </w:tc>
        <w:tc>
          <w:tcPr>
            <w:tcW w:type="dxa" w:w="1134"/>
            <w:shd w:val="clear" w:color="auto" w:fill="F5F4F0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8"/>
              </w:rPr>
              <w:t>7200s</w:t>
            </w:r>
          </w:p>
        </w:tc>
        <w:tc>
          <w:tcPr>
            <w:tcW w:type="dxa" w:w="2835"/>
            <w:shd w:val="clear" w:color="auto" w:fill="F5F4F0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8"/>
              </w:rPr>
              <w:t>Conflict interest score = mentions × tone</w:t>
            </w:r>
          </w:p>
        </w:tc>
      </w:tr>
      <w:tr>
        <w:tc>
          <w:tcPr>
            <w:tcW w:type="dxa" w:w="1587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8"/>
              </w:rPr>
              <w:t>ACLED</w:t>
            </w:r>
          </w:p>
        </w:tc>
        <w:tc>
          <w:tcPr>
            <w:tcW w:type="dxa" w:w="294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8"/>
              </w:rPr>
              <w:t>Georeferenced conflict events and fatalities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8"/>
              </w:rPr>
              <w:t>21600s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8"/>
              </w:rPr>
              <w:t>REST API; filtered to active conflict zones</w:t>
            </w:r>
          </w:p>
        </w:tc>
      </w:tr>
      <w:tr>
        <w:tc>
          <w:tcPr>
            <w:tcW w:type="dxa" w:w="1587"/>
            <w:shd w:val="clear" w:color="auto" w:fill="F5F4F0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8"/>
              </w:rPr>
              <w:t>IMF PortWatch</w:t>
            </w:r>
          </w:p>
        </w:tc>
        <w:tc>
          <w:tcPr>
            <w:tcW w:type="dxa" w:w="2948"/>
            <w:shd w:val="clear" w:color="auto" w:fill="F5F4F0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8"/>
              </w:rPr>
              <w:t>Vessel traffic at Hormuz + 5 chokepoints</w:t>
            </w:r>
          </w:p>
        </w:tc>
        <w:tc>
          <w:tcPr>
            <w:tcW w:type="dxa" w:w="1134"/>
            <w:shd w:val="clear" w:color="auto" w:fill="F5F4F0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8"/>
              </w:rPr>
              <w:t>86400s</w:t>
            </w:r>
          </w:p>
        </w:tc>
        <w:tc>
          <w:tcPr>
            <w:tcW w:type="dxa" w:w="2835"/>
            <w:shd w:val="clear" w:color="auto" w:fill="F5F4F0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8"/>
              </w:rPr>
              <w:t>AIS-derived; deviation from 90d baseline</w:t>
            </w:r>
          </w:p>
        </w:tc>
      </w:tr>
      <w:tr>
        <w:tc>
          <w:tcPr>
            <w:tcW w:type="dxa" w:w="1587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8"/>
              </w:rPr>
              <w:t>EIA</w:t>
            </w:r>
          </w:p>
        </w:tc>
        <w:tc>
          <w:tcPr>
            <w:tcW w:type="dxa" w:w="294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8"/>
              </w:rPr>
              <w:t>Weekly US petroleum inventory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8"/>
              </w:rPr>
              <w:t>86400s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8"/>
              </w:rPr>
              <w:t>Wednesday release; surprise vs consensus</w:t>
            </w:r>
          </w:p>
        </w:tc>
      </w:tr>
    </w:tbl>
    <w:p>
      <w:pPr>
        <w:spacing w:before="120" w:after="0"/>
      </w:pPr>
    </w:p>
    <w:p>
      <w:pPr>
        <w:spacing w:before="200" w:after="80"/>
        <w:pBdr>
          <w:bottom w:val="single" w:sz="4" w:space="4" w:color="DDDDDD"/>
        </w:pBdr>
      </w:pPr>
      <w:r>
        <w:rPr>
          <w:rFonts w:ascii="Calibri" w:hAnsi="Calibri"/>
          <w:b/>
          <w:i w:val="0"/>
          <w:color w:val="0D0D1A"/>
          <w:sz w:val="24"/>
        </w:rPr>
        <w:t>3.3 Analytics Engine — Five Independent Models</w:t>
      </w:r>
    </w:p>
    <w:p>
      <w:pPr>
        <w:spacing w:before="200" w:after="80"/>
      </w:pPr>
      <w:r>
        <w:rPr>
          <w:rFonts w:ascii="Calibri" w:hAnsi="Calibri"/>
          <w:b/>
          <w:i w:val="0"/>
          <w:color w:val="8E6F3E"/>
          <w:sz w:val="22"/>
        </w:rPr>
        <w:t>A. Diebold-Yilmaz FEVD Spillover Index</w:t>
      </w:r>
    </w:p>
    <w:p>
      <w:pPr>
        <w:spacing w:before="40" w:after="80"/>
      </w:pPr>
      <w:r>
        <w:rPr>
          <w:rFonts w:ascii="Calibri" w:hAnsi="Calibri"/>
          <w:b w:val="0"/>
          <w:i w:val="0"/>
          <w:color w:val="1A1A2E"/>
          <w:sz w:val="21"/>
        </w:rPr>
        <w:t>The headline methodology. VAR(p) with BIC-optimal lag selection over a 252-day rolling window. 10-step generalized forecast-error variance decomposition (GFEVD) produces: pairwise spillover matrix, net directional spillover, and Total Spillover Index (TSI). Key design choice: generalized (not Cholesky) decomposition eliminates ordering dependence.</w:t>
      </w:r>
    </w:p>
    <w:p>
      <w:pPr>
        <w:spacing w:before="200" w:after="80"/>
      </w:pPr>
      <w:r>
        <w:rPr>
          <w:rFonts w:ascii="Calibri" w:hAnsi="Calibri"/>
          <w:b/>
          <w:i w:val="0"/>
          <w:color w:val="8E6F3E"/>
          <w:sz w:val="22"/>
        </w:rPr>
        <w:t>B. Granger Causality — BIC Lag + Holm-Bonferroni Correction</w:t>
      </w:r>
    </w:p>
    <w:p>
      <w:pPr>
        <w:spacing w:before="40" w:after="80"/>
      </w:pPr>
      <w:r>
        <w:rPr>
          <w:rFonts w:ascii="Calibri" w:hAnsi="Calibri"/>
          <w:b w:val="0"/>
          <w:i w:val="0"/>
          <w:color w:val="1A1A2E"/>
          <w:sz w:val="21"/>
        </w:rPr>
        <w:t>VAR(p) fitted with BIC for lag selection before testing. Holm-Bonferroni step-down correction applied across the full N×M×2 test grid to control family-wise error rate. Results visualized as a directed causality matrix with net directional arrows.</w:t>
      </w:r>
    </w:p>
    <w:p>
      <w:pPr>
        <w:spacing w:before="200" w:after="80"/>
      </w:pPr>
      <w:r>
        <w:rPr>
          <w:rFonts w:ascii="Calibri" w:hAnsi="Calibri"/>
          <w:b/>
          <w:i w:val="0"/>
          <w:color w:val="8E6F3E"/>
          <w:sz w:val="22"/>
        </w:rPr>
        <w:t>C. Transfer Entropy (Schreiber, 2000)</w:t>
      </w:r>
    </w:p>
    <w:p>
      <w:pPr>
        <w:spacing w:before="40" w:after="80"/>
      </w:pPr>
      <w:r>
        <w:rPr>
          <w:rFonts w:ascii="Calibri" w:hAnsi="Calibri"/>
          <w:b w:val="0"/>
          <w:i w:val="0"/>
          <w:color w:val="1A1A2E"/>
          <w:sz w:val="21"/>
        </w:rPr>
        <w:t>Non-parametric directed information measure capturing nonlinear dependencies that Granger misses. Lag-optimized (search over lags 1–7). 200-permutation shuffle test establishes significance threshold; only significant edges retained.</w:t>
      </w:r>
    </w:p>
    <w:p>
      <w:pPr>
        <w:spacing w:before="200" w:after="80"/>
      </w:pPr>
      <w:r>
        <w:rPr>
          <w:rFonts w:ascii="Calibri" w:hAnsi="Calibri"/>
          <w:b/>
          <w:i w:val="0"/>
          <w:color w:val="8E6F3E"/>
          <w:sz w:val="22"/>
        </w:rPr>
        <w:t>D. DCC-GARCH Dynamic Correlation (Engle, 2002)</w:t>
      </w:r>
    </w:p>
    <w:p>
      <w:pPr>
        <w:spacing w:before="40" w:after="80"/>
      </w:pPr>
      <w:r>
        <w:rPr>
          <w:rFonts w:ascii="Calibri" w:hAnsi="Calibri"/>
          <w:b w:val="0"/>
          <w:i w:val="0"/>
          <w:color w:val="1A1A2E"/>
          <w:sz w:val="21"/>
        </w:rPr>
        <w:t>Two-step estimation: EWMA pre-whitening (λ=0.94, RiskMetrics) removes heteroskedasticity contamination before DCC(1,1) recursion. Raw-return DCC produces biased correlations during high-vol periods — the pre-whitening step is the critical design choice.</w:t>
      </w:r>
    </w:p>
    <w:p>
      <w:pPr>
        <w:spacing w:before="200" w:after="80"/>
      </w:pPr>
      <w:r>
        <w:rPr>
          <w:rFonts w:ascii="Calibri" w:hAnsi="Calibri"/>
          <w:b/>
          <w:i w:val="0"/>
          <w:color w:val="8E6F3E"/>
          <w:sz w:val="22"/>
        </w:rPr>
        <w:t>E. Composite Risk Score — GRS (0–100)</w:t>
      </w:r>
    </w:p>
    <w:p>
      <w:pPr>
        <w:spacing w:before="40" w:after="80"/>
      </w:pPr>
      <w:r>
        <w:rPr>
          <w:rFonts w:ascii="Calibri" w:hAnsi="Calibri"/>
          <w:b w:val="0"/>
          <w:i w:val="0"/>
          <w:color w:val="1A1A2E"/>
          <w:sz w:val="21"/>
        </w:rPr>
        <w:t>Three-layer architecture:</w:t>
      </w:r>
    </w:p>
    <w:p>
      <w:pPr>
        <w:pStyle w:val="ListBullet"/>
        <w:spacing w:before="20" w:after="40"/>
        <w:ind w:left="340"/>
      </w:pPr>
      <w:r>
        <w:rPr>
          <w:rFonts w:ascii="Calibri" w:hAnsi="Calibri"/>
          <w:b w:val="0"/>
          <w:i w:val="0"/>
          <w:color w:val="1A1A2E"/>
          <w:sz w:val="20"/>
        </w:rPr>
        <w:t>GRS = 40% × CIS (Conflict Intensity) + 35% × TPS (Transmission Pressure) + 25% × MCS (Market Conditions)</w:t>
      </w:r>
    </w:p>
    <w:p>
      <w:pPr>
        <w:pStyle w:val="ListBullet"/>
        <w:spacing w:before="20" w:after="40"/>
        <w:ind w:left="340"/>
      </w:pPr>
      <w:r>
        <w:rPr>
          <w:rFonts w:ascii="Calibri" w:hAnsi="Calibri"/>
          <w:b w:val="0"/>
          <w:i w:val="0"/>
          <w:color w:val="1A1A2E"/>
          <w:sz w:val="20"/>
        </w:rPr>
        <w:t>HHI-based breadth multiplier (n_eff^0.25) prevents single-conflict concentration from inflating composite</w:t>
      </w:r>
    </w:p>
    <w:p>
      <w:pPr>
        <w:pStyle w:val="ListBullet"/>
        <w:spacing w:before="20" w:after="40"/>
        <w:ind w:left="340"/>
      </w:pPr>
      <w:r>
        <w:rPr>
          <w:rFonts w:ascii="Calibri" w:hAnsi="Calibri"/>
          <w:b w:val="0"/>
          <w:i w:val="0"/>
          <w:color w:val="1A1A2E"/>
          <w:sz w:val="20"/>
        </w:rPr>
        <w:t>3-state correlation regime: Decoupled (ρ&lt;0.30) / Transitioning (0.30–0.55) / High Coupling (ρ≥0.55)</w:t>
      </w:r>
    </w:p>
    <w:p>
      <w:pPr>
        <w:spacing w:before="120" w:after="0"/>
      </w:pPr>
    </w:p>
    <w:p>
      <w:pPr>
        <w:spacing w:before="200" w:after="80"/>
        <w:pBdr>
          <w:bottom w:val="single" w:sz="4" w:space="4" w:color="DDDDDD"/>
        </w:pBdr>
      </w:pPr>
      <w:r>
        <w:rPr>
          <w:rFonts w:ascii="Calibri" w:hAnsi="Calibri"/>
          <w:b/>
          <w:i w:val="0"/>
          <w:color w:val="0D0D1A"/>
          <w:sz w:val="24"/>
        </w:rPr>
        <w:t>3.4 AI Agent Workforce — 7 Agents, 4-Round Pipeline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417"/>
            <w:shd w:val="clear" w:color="auto" w:fill="0D0D1A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CFB991"/>
                <w:sz w:val="18"/>
              </w:rPr>
              <w:t>Round</w:t>
            </w:r>
          </w:p>
        </w:tc>
        <w:tc>
          <w:tcPr>
            <w:tcW w:type="dxa" w:w="1701"/>
            <w:shd w:val="clear" w:color="auto" w:fill="0D0D1A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CFB991"/>
                <w:sz w:val="18"/>
              </w:rPr>
              <w:t>Agent</w:t>
            </w:r>
          </w:p>
        </w:tc>
        <w:tc>
          <w:tcPr>
            <w:tcW w:type="dxa" w:w="3118"/>
            <w:shd w:val="clear" w:color="auto" w:fill="0D0D1A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CFB991"/>
                <w:sz w:val="18"/>
              </w:rPr>
              <w:t>Role</w:t>
            </w:r>
          </w:p>
        </w:tc>
        <w:tc>
          <w:tcPr>
            <w:tcW w:type="dxa" w:w="1701"/>
            <w:shd w:val="clear" w:color="auto" w:fill="0D0D1A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CFB991"/>
                <w:sz w:val="18"/>
              </w:rPr>
              <w:t>Dependencies</w:t>
            </w:r>
          </w:p>
        </w:tc>
      </w:tr>
      <w:tr>
        <w:tc>
          <w:tcPr>
            <w:tcW w:type="dxa" w:w="1417"/>
            <w:shd w:val="clear" w:color="auto" w:fill="F5F4F0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8"/>
              </w:rPr>
              <w:t>1 (parallel)</w:t>
            </w:r>
          </w:p>
        </w:tc>
        <w:tc>
          <w:tcPr>
            <w:tcW w:type="dxa" w:w="1701"/>
            <w:shd w:val="clear" w:color="auto" w:fill="F5F4F0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8"/>
              </w:rPr>
              <w:t>macro_strategist</w:t>
            </w:r>
          </w:p>
        </w:tc>
        <w:tc>
          <w:tcPr>
            <w:tcW w:type="dxa" w:w="3118"/>
            <w:shd w:val="clear" w:color="auto" w:fill="F5F4F0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8"/>
              </w:rPr>
              <w:t>Macro regime, yield curve, Fed outlook</w:t>
            </w:r>
          </w:p>
        </w:tc>
        <w:tc>
          <w:tcPr>
            <w:tcW w:type="dxa" w:w="1701"/>
            <w:shd w:val="clear" w:color="auto" w:fill="F5F4F0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8"/>
              </w:rPr>
              <w:t>None</w:t>
            </w:r>
          </w:p>
        </w:tc>
      </w:tr>
      <w:tr>
        <w:tc>
          <w:tcPr>
            <w:tcW w:type="dxa" w:w="1417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8"/>
              </w:rPr>
              <w:t>1 (parallel)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8"/>
              </w:rPr>
              <w:t>geopolitical_analyst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8"/>
              </w:rPr>
              <w:t>Active conflict summary, CIS/TPS attribution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8"/>
              </w:rPr>
              <w:t>None</w:t>
            </w:r>
          </w:p>
        </w:tc>
      </w:tr>
      <w:tr>
        <w:tc>
          <w:tcPr>
            <w:tcW w:type="dxa" w:w="1417"/>
            <w:shd w:val="clear" w:color="auto" w:fill="F5F4F0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8"/>
              </w:rPr>
              <w:t>1 (parallel)</w:t>
            </w:r>
          </w:p>
        </w:tc>
        <w:tc>
          <w:tcPr>
            <w:tcW w:type="dxa" w:w="1701"/>
            <w:shd w:val="clear" w:color="auto" w:fill="F5F4F0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8"/>
              </w:rPr>
              <w:t>commodities_specialist</w:t>
            </w:r>
          </w:p>
        </w:tc>
        <w:tc>
          <w:tcPr>
            <w:tcW w:type="dxa" w:w="3118"/>
            <w:shd w:val="clear" w:color="auto" w:fill="F5F4F0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8"/>
              </w:rPr>
              <w:t>Supply/demand dynamics per commodity</w:t>
            </w:r>
          </w:p>
        </w:tc>
        <w:tc>
          <w:tcPr>
            <w:tcW w:type="dxa" w:w="1701"/>
            <w:shd w:val="clear" w:color="auto" w:fill="F5F4F0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8"/>
              </w:rPr>
              <w:t>None</w:t>
            </w:r>
          </w:p>
        </w:tc>
      </w:tr>
      <w:tr>
        <w:tc>
          <w:tcPr>
            <w:tcW w:type="dxa" w:w="1417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8"/>
              </w:rPr>
              <w:t>2 (sequential)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8"/>
              </w:rPr>
              <w:t>risk_officer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8"/>
              </w:rPr>
              <w:t>Synthesizes Round 1 → composite risk narrative + 3 risk flags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8"/>
              </w:rPr>
              <w:t>Round 1 all</w:t>
            </w:r>
          </w:p>
        </w:tc>
      </w:tr>
      <w:tr>
        <w:tc>
          <w:tcPr>
            <w:tcW w:type="dxa" w:w="1417"/>
            <w:shd w:val="clear" w:color="auto" w:fill="F5F4F0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8"/>
              </w:rPr>
              <w:t>3 (parallel)</w:t>
            </w:r>
          </w:p>
        </w:tc>
        <w:tc>
          <w:tcPr>
            <w:tcW w:type="dxa" w:w="1701"/>
            <w:shd w:val="clear" w:color="auto" w:fill="F5F4F0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8"/>
              </w:rPr>
              <w:t>stress_engineer</w:t>
            </w:r>
          </w:p>
        </w:tc>
        <w:tc>
          <w:tcPr>
            <w:tcW w:type="dxa" w:w="3118"/>
            <w:shd w:val="clear" w:color="auto" w:fill="F5F4F0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8"/>
              </w:rPr>
              <w:t>Worst-case scenario, tail risk quantification</w:t>
            </w:r>
          </w:p>
        </w:tc>
        <w:tc>
          <w:tcPr>
            <w:tcW w:type="dxa" w:w="1701"/>
            <w:shd w:val="clear" w:color="auto" w:fill="F5F4F0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8"/>
              </w:rPr>
              <w:t>risk_officer</w:t>
            </w:r>
          </w:p>
        </w:tc>
      </w:tr>
      <w:tr>
        <w:tc>
          <w:tcPr>
            <w:tcW w:type="dxa" w:w="1417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8"/>
              </w:rPr>
              <w:t>3 (parallel)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8"/>
              </w:rPr>
              <w:t>signal_auditor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8"/>
              </w:rPr>
              <w:t>Data quality flags, stale data warnings, model limitations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8"/>
              </w:rPr>
              <w:t>risk_officer</w:t>
            </w:r>
          </w:p>
        </w:tc>
      </w:tr>
      <w:tr>
        <w:tc>
          <w:tcPr>
            <w:tcW w:type="dxa" w:w="1417"/>
            <w:shd w:val="clear" w:color="auto" w:fill="F5F4F0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8"/>
              </w:rPr>
              <w:t>4 (sequential)</w:t>
            </w:r>
          </w:p>
        </w:tc>
        <w:tc>
          <w:tcPr>
            <w:tcW w:type="dxa" w:w="1701"/>
            <w:shd w:val="clear" w:color="auto" w:fill="F5F4F0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8"/>
              </w:rPr>
              <w:t>trade_structurer</w:t>
            </w:r>
          </w:p>
        </w:tc>
        <w:tc>
          <w:tcPr>
            <w:tcW w:type="dxa" w:w="3118"/>
            <w:shd w:val="clear" w:color="auto" w:fill="F5F4F0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8"/>
              </w:rPr>
              <w:t>3 regime-conditioned trade ideas with entry/exit/rationale</w:t>
            </w:r>
          </w:p>
        </w:tc>
        <w:tc>
          <w:tcPr>
            <w:tcW w:type="dxa" w:w="1701"/>
            <w:shd w:val="clear" w:color="auto" w:fill="F5F4F0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8"/>
              </w:rPr>
              <w:t>Round 3 all</w:t>
            </w:r>
          </w:p>
        </w:tc>
      </w:tr>
      <w:tr>
        <w:tc>
          <w:tcPr>
            <w:tcW w:type="dxa" w:w="1417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8"/>
              </w:rPr>
              <w:t>4 (sequential)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8"/>
              </w:rPr>
              <w:t>quality_officer (CQO)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8"/>
              </w:rPr>
              <w:t>Schema validation; routes failures to remediation loop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8"/>
              </w:rPr>
              <w:t>Round 3 all</w:t>
            </w:r>
          </w:p>
        </w:tc>
      </w:tr>
    </w:tbl>
    <w:p>
      <w:pPr>
        <w:spacing w:before="120" w:after="0"/>
      </w:pPr>
    </w:p>
    <w:p>
      <w:pPr>
        <w:spacing w:before="40" w:after="80"/>
      </w:pPr>
      <w:r>
        <w:rPr>
          <w:rFonts w:ascii="Calibri" w:hAnsi="Calibri"/>
          <w:b w:val="0"/>
          <w:i w:val="0"/>
          <w:color w:val="1A1A2E"/>
          <w:sz w:val="21"/>
        </w:rPr>
        <w:t>All agents receive the full analytics context (GRS, CIS, TPS, regime, DY spillover TSI) as structured input — not raw text. Pydantic-validated outputs enforce schema at every agent boundary. The CQO remediation loop automatically routes quality flags to the relevant specialist for active correction (up to 2 rounds).</w:t>
      </w:r>
    </w:p>
    <w:p>
      <w:pPr>
        <w:spacing w:before="320" w:after="80"/>
        <w:pBdr>
          <w:bottom w:val="single" w:sz="8" w:space="4" w:color="CFB991"/>
        </w:pBdr>
      </w:pPr>
      <w:r>
        <w:rPr>
          <w:rFonts w:ascii="Calibri" w:hAnsi="Calibri"/>
          <w:b/>
          <w:i w:val="0"/>
          <w:color w:val="0D0D1A"/>
          <w:sz w:val="30"/>
        </w:rPr>
        <w:t>4. Dashboard — 22 Pages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984"/>
            <w:shd w:val="clear" w:color="auto" w:fill="0D0D1A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CFB991"/>
                <w:sz w:val="18"/>
              </w:rPr>
              <w:t>Page</w:t>
            </w:r>
          </w:p>
        </w:tc>
        <w:tc>
          <w:tcPr>
            <w:tcW w:type="dxa" w:w="3118"/>
            <w:shd w:val="clear" w:color="auto" w:fill="0D0D1A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CFB991"/>
                <w:sz w:val="18"/>
              </w:rPr>
              <w:t>Purpose</w:t>
            </w:r>
          </w:p>
        </w:tc>
        <w:tc>
          <w:tcPr>
            <w:tcW w:type="dxa" w:w="3402"/>
            <w:shd w:val="clear" w:color="auto" w:fill="0D0D1A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CFB991"/>
                <w:sz w:val="18"/>
              </w:rPr>
              <w:t>Key Analytics</w:t>
            </w:r>
          </w:p>
        </w:tc>
      </w:tr>
      <w:tr>
        <w:tc>
          <w:tcPr>
            <w:tcW w:type="dxa" w:w="1984"/>
            <w:shd w:val="clear" w:color="auto" w:fill="F5F4F0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8"/>
              </w:rPr>
              <w:t>Command Center</w:t>
            </w:r>
          </w:p>
        </w:tc>
        <w:tc>
          <w:tcPr>
            <w:tcW w:type="dxa" w:w="3118"/>
            <w:shd w:val="clear" w:color="auto" w:fill="F5F4F0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8"/>
              </w:rPr>
              <w:t>Home: live intelligence, GRS, conflict landscape, risk compass</w:t>
            </w:r>
          </w:p>
        </w:tc>
        <w:tc>
          <w:tcPr>
            <w:tcW w:type="dxa" w:w="3402"/>
            <w:shd w:val="clear" w:color="auto" w:fill="F5F4F0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8"/>
              </w:rPr>
              <w:t>GRS, CIS, TPS, regime, 5-axis radar, returns heatmap, transmission channels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8"/>
              </w:rPr>
              <w:t>Correlation Analysis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8"/>
              </w:rPr>
              <w:t>Rolling equity↔commodity correlation; regime time series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8"/>
              </w:rPr>
              <w:t>DCC-GARCH, Pearson rolling, 3-state regime classifier</w:t>
            </w:r>
          </w:p>
        </w:tc>
      </w:tr>
      <w:tr>
        <w:tc>
          <w:tcPr>
            <w:tcW w:type="dxa" w:w="1984"/>
            <w:shd w:val="clear" w:color="auto" w:fill="F5F4F0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8"/>
              </w:rPr>
              <w:t>Spillover Analytics</w:t>
            </w:r>
          </w:p>
        </w:tc>
        <w:tc>
          <w:tcPr>
            <w:tcW w:type="dxa" w:w="3118"/>
            <w:shd w:val="clear" w:color="auto" w:fill="F5F4F0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8"/>
              </w:rPr>
              <w:t>Diebold-Yilmaz network; pairwise FEVD; rolling TSI</w:t>
            </w:r>
          </w:p>
        </w:tc>
        <w:tc>
          <w:tcPr>
            <w:tcW w:type="dxa" w:w="3402"/>
            <w:shd w:val="clear" w:color="auto" w:fill="F5F4F0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8"/>
              </w:rPr>
              <w:t>D-Y (2012), VAR BIC-optimal, directional arrows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8"/>
              </w:rPr>
              <w:t>Macro Intelligence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8"/>
              </w:rPr>
              <w:t>Yield curve, CPI, Fed Funds, PMI, GDP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8"/>
              </w:rPr>
              <w:t>FRED live data, yield curve spread, macro regime</w:t>
            </w:r>
          </w:p>
        </w:tc>
      </w:tr>
      <w:tr>
        <w:tc>
          <w:tcPr>
            <w:tcW w:type="dxa" w:w="1984"/>
            <w:shd w:val="clear" w:color="auto" w:fill="F5F4F0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8"/>
              </w:rPr>
              <w:t>Geopolitical Triggers</w:t>
            </w:r>
          </w:p>
        </w:tc>
        <w:tc>
          <w:tcPr>
            <w:tcW w:type="dxa" w:w="3118"/>
            <w:shd w:val="clear" w:color="auto" w:fill="F5F4F0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8"/>
              </w:rPr>
              <w:t>Per-conflict CIS/TPS timelines; GDELT/ACLED overlays</w:t>
            </w:r>
          </w:p>
        </w:tc>
        <w:tc>
          <w:tcPr>
            <w:tcW w:type="dxa" w:w="3402"/>
            <w:shd w:val="clear" w:color="auto" w:fill="F5F4F0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8"/>
              </w:rPr>
              <w:t>Conflict Intelligence Score, lead-lag signal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8"/>
              </w:rPr>
              <w:t>War Impact Map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8"/>
              </w:rPr>
              <w:t>Country-level commodity exposure to active conflicts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8"/>
              </w:rPr>
              <w:t>War scoring framework (Zalomai), concurrent-war amplifier</w:t>
            </w:r>
          </w:p>
        </w:tc>
      </w:tr>
      <w:tr>
        <w:tc>
          <w:tcPr>
            <w:tcW w:type="dxa" w:w="1984"/>
            <w:shd w:val="clear" w:color="auto" w:fill="F5F4F0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8"/>
              </w:rPr>
              <w:t>Strait Watch</w:t>
            </w:r>
          </w:p>
        </w:tc>
        <w:tc>
          <w:tcPr>
            <w:tcW w:type="dxa" w:w="3118"/>
            <w:shd w:val="clear" w:color="auto" w:fill="F5F4F0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8"/>
              </w:rPr>
              <w:t>Maritime chokepoint disruption; Hormuz crisis tracker</w:t>
            </w:r>
          </w:p>
        </w:tc>
        <w:tc>
          <w:tcPr>
            <w:tcW w:type="dxa" w:w="3402"/>
            <w:shd w:val="clear" w:color="auto" w:fill="F5F4F0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8"/>
              </w:rPr>
              <w:t>PortWatch AIS, EIA petroleum inventory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8"/>
              </w:rPr>
              <w:t>Scenario Engine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8"/>
              </w:rPr>
              <w:t>Custom shock propagation; 13 historical scenarios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8"/>
              </w:rPr>
              <w:t>Parametric shock model, regime-nonlinear OLS betas</w:t>
            </w:r>
          </w:p>
        </w:tc>
      </w:tr>
      <w:tr>
        <w:tc>
          <w:tcPr>
            <w:tcW w:type="dxa" w:w="1984"/>
            <w:shd w:val="clear" w:color="auto" w:fill="F5F4F0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8"/>
              </w:rPr>
              <w:t>Trade Ideas</w:t>
            </w:r>
          </w:p>
        </w:tc>
        <w:tc>
          <w:tcPr>
            <w:tcW w:type="dxa" w:w="3118"/>
            <w:shd w:val="clear" w:color="auto" w:fill="F5F4F0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8"/>
              </w:rPr>
              <w:t>6 regime-conditioned trade structures</w:t>
            </w:r>
          </w:p>
        </w:tc>
        <w:tc>
          <w:tcPr>
            <w:tcW w:type="dxa" w:w="3402"/>
            <w:shd w:val="clear" w:color="auto" w:fill="F5F4F0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8"/>
              </w:rPr>
              <w:t>Correlation regime + AI trade structurer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8"/>
              </w:rPr>
              <w:t>Portfolio Stress Test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8"/>
              </w:rPr>
              <w:t>CSV upload; portfolio-weighted impact attribution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8"/>
              </w:rPr>
              <w:t>Exposure scoring (SES/TAE/SAS)</w:t>
            </w:r>
          </w:p>
        </w:tc>
      </w:tr>
      <w:tr>
        <w:tc>
          <w:tcPr>
            <w:tcW w:type="dxa" w:w="1984"/>
            <w:shd w:val="clear" w:color="auto" w:fill="F5F4F0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8"/>
              </w:rPr>
              <w:t>Watchlist</w:t>
            </w:r>
          </w:p>
        </w:tc>
        <w:tc>
          <w:tcPr>
            <w:tcW w:type="dxa" w:w="3118"/>
            <w:shd w:val="clear" w:color="auto" w:fill="F5F4F0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8"/>
              </w:rPr>
              <w:t>17-commodity futures; backwardation/contango curve</w:t>
            </w:r>
          </w:p>
        </w:tc>
        <w:tc>
          <w:tcPr>
            <w:tcW w:type="dxa" w:w="3402"/>
            <w:shd w:val="clear" w:color="auto" w:fill="F5F4F0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8"/>
              </w:rPr>
              <w:t>Futures curve analysis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8"/>
              </w:rPr>
              <w:t>Transmission Matrix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8"/>
              </w:rPr>
              <w:t>Full pairwise Granger matrix; network view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8"/>
              </w:rPr>
              <w:t>Granger + Holm-Bonferroni, directional arrows</w:t>
            </w:r>
          </w:p>
        </w:tc>
      </w:tr>
      <w:tr>
        <w:tc>
          <w:tcPr>
            <w:tcW w:type="dxa" w:w="1984"/>
            <w:shd w:val="clear" w:color="auto" w:fill="F5F4F0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8"/>
              </w:rPr>
              <w:t>Exposure Scoring</w:t>
            </w:r>
          </w:p>
        </w:tc>
        <w:tc>
          <w:tcPr>
            <w:tcW w:type="dxa" w:w="3118"/>
            <w:shd w:val="clear" w:color="auto" w:fill="F5F4F0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8"/>
              </w:rPr>
              <w:t>SES/TAE/SAS per asset-conflict pair</w:t>
            </w:r>
          </w:p>
        </w:tc>
        <w:tc>
          <w:tcPr>
            <w:tcW w:type="dxa" w:w="3402"/>
            <w:shd w:val="clear" w:color="auto" w:fill="F5F4F0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8"/>
              </w:rPr>
              <w:t>Structural + transmission-adjusted exposure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8"/>
              </w:rPr>
              <w:t>Conflict Intelligence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8"/>
              </w:rPr>
              <w:t>GDELT + ACLED live monitor; news feed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8"/>
              </w:rPr>
              <w:t>GDELT 2.0 REST, conflict timeline</w:t>
            </w:r>
          </w:p>
        </w:tc>
      </w:tr>
      <w:tr>
        <w:tc>
          <w:tcPr>
            <w:tcW w:type="dxa" w:w="1984"/>
            <w:shd w:val="clear" w:color="auto" w:fill="F5F4F0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8"/>
              </w:rPr>
              <w:t>Threat Activity Monitor</w:t>
            </w:r>
          </w:p>
        </w:tc>
        <w:tc>
          <w:tcPr>
            <w:tcW w:type="dxa" w:w="3118"/>
            <w:shd w:val="clear" w:color="auto" w:fill="F5F4F0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8"/>
              </w:rPr>
              <w:t>Real-time ACLED threat event stream</w:t>
            </w:r>
          </w:p>
        </w:tc>
        <w:tc>
          <w:tcPr>
            <w:tcW w:type="dxa" w:w="3402"/>
            <w:shd w:val="clear" w:color="auto" w:fill="F5F4F0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8"/>
              </w:rPr>
              <w:t>ACLED REST API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8"/>
              </w:rPr>
              <w:t>Model Accuracy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8"/>
              </w:rPr>
              <w:t>56-case benchmark harness results per agent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8"/>
              </w:rPr>
              <w:t>Out-of-sample validation, documented pass/fail</w:t>
            </w:r>
          </w:p>
        </w:tc>
      </w:tr>
      <w:tr>
        <w:tc>
          <w:tcPr>
            <w:tcW w:type="dxa" w:w="1984"/>
            <w:shd w:val="clear" w:color="auto" w:fill="F5F4F0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8"/>
              </w:rPr>
              <w:t>AI Chat</w:t>
            </w:r>
          </w:p>
        </w:tc>
        <w:tc>
          <w:tcPr>
            <w:tcW w:type="dxa" w:w="3118"/>
            <w:shd w:val="clear" w:color="auto" w:fill="F5F4F0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8"/>
              </w:rPr>
              <w:t>Natural language interface to all analytics</w:t>
            </w:r>
          </w:p>
        </w:tc>
        <w:tc>
          <w:tcPr>
            <w:tcW w:type="dxa" w:w="3402"/>
            <w:shd w:val="clear" w:color="auto" w:fill="F5F4F0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8"/>
              </w:rPr>
              <w:t>Claude Sonnet / GPT-4o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8"/>
              </w:rPr>
              <w:t>About — AI Workforce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8"/>
              </w:rPr>
              <w:t>7-agent documentation and pipeline diagram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8"/>
              </w:rPr>
              <w:t>—</w:t>
            </w:r>
          </w:p>
        </w:tc>
      </w:tr>
      <w:tr>
        <w:tc>
          <w:tcPr>
            <w:tcW w:type="dxa" w:w="1984"/>
            <w:shd w:val="clear" w:color="auto" w:fill="F5F4F0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8"/>
              </w:rPr>
              <w:t>Methodology</w:t>
            </w:r>
          </w:p>
        </w:tc>
        <w:tc>
          <w:tcPr>
            <w:tcW w:type="dxa" w:w="3118"/>
            <w:shd w:val="clear" w:color="auto" w:fill="F5F4F0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8"/>
              </w:rPr>
              <w:t>Full statistical methodology with citations</w:t>
            </w:r>
          </w:p>
        </w:tc>
        <w:tc>
          <w:tcPr>
            <w:tcW w:type="dxa" w:w="3402"/>
            <w:shd w:val="clear" w:color="auto" w:fill="F5F4F0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8"/>
              </w:rPr>
              <w:t>All methods documented</w:t>
            </w:r>
          </w:p>
        </w:tc>
      </w:tr>
    </w:tbl>
    <w:p>
      <w:pPr>
        <w:spacing w:before="120" w:after="0"/>
      </w:pPr>
    </w:p>
    <w:p>
      <w:r>
        <w:br w:type="page"/>
      </w:r>
    </w:p>
    <w:p>
      <w:pPr>
        <w:spacing w:before="320" w:after="80"/>
        <w:pBdr>
          <w:bottom w:val="single" w:sz="8" w:space="4" w:color="CFB991"/>
        </w:pBdr>
      </w:pPr>
      <w:r>
        <w:rPr>
          <w:rFonts w:ascii="Calibri" w:hAnsi="Calibri"/>
          <w:b/>
          <w:i w:val="0"/>
          <w:color w:val="0D0D1A"/>
          <w:sz w:val="30"/>
        </w:rPr>
        <w:t>5. Benchmark Validation — Model Accuracy</w:t>
      </w:r>
    </w:p>
    <w:p>
      <w:pPr>
        <w:spacing w:before="40" w:after="80"/>
      </w:pPr>
      <w:r>
        <w:rPr>
          <w:rFonts w:ascii="Calibri" w:hAnsi="Calibri"/>
          <w:b w:val="0"/>
          <w:i w:val="0"/>
          <w:color w:val="1A1A2E"/>
          <w:sz w:val="21"/>
        </w:rPr>
        <w:t>The 56-case out-of-sample benchmark harness (evals/run_eval.py) validates each agent's outputs against historical ground truth across 15 well-documented market events from 2008 to 2024. Pass threshold: 60% hit rate, set at project outset.</w:t>
      </w:r>
    </w:p>
    <w:p>
      <w:pPr>
        <w:spacing w:before="200" w:after="80"/>
        <w:pBdr>
          <w:bottom w:val="single" w:sz="4" w:space="4" w:color="DDDDDD"/>
        </w:pBdr>
      </w:pPr>
      <w:r>
        <w:rPr>
          <w:rFonts w:ascii="Calibri" w:hAnsi="Calibri"/>
          <w:b/>
          <w:i w:val="0"/>
          <w:color w:val="0D0D1A"/>
          <w:sz w:val="24"/>
        </w:rPr>
        <w:t>5.1 Results (2026-04-28)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2551"/>
            <w:shd w:val="clear" w:color="auto" w:fill="0D0D1A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CFB991"/>
                <w:sz w:val="18"/>
              </w:rPr>
              <w:t>Agent</w:t>
            </w:r>
          </w:p>
        </w:tc>
        <w:tc>
          <w:tcPr>
            <w:tcW w:type="dxa" w:w="1134"/>
            <w:shd w:val="clear" w:color="auto" w:fill="0D0D1A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CFB991"/>
                <w:sz w:val="18"/>
              </w:rPr>
              <w:t>Cases</w:t>
            </w:r>
          </w:p>
        </w:tc>
        <w:tc>
          <w:tcPr>
            <w:tcW w:type="dxa" w:w="1134"/>
            <w:shd w:val="clear" w:color="auto" w:fill="0D0D1A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CFB991"/>
                <w:sz w:val="18"/>
              </w:rPr>
              <w:t>Passed</w:t>
            </w:r>
          </w:p>
        </w:tc>
        <w:tc>
          <w:tcPr>
            <w:tcW w:type="dxa" w:w="1417"/>
            <w:shd w:val="clear" w:color="auto" w:fill="0D0D1A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CFB991"/>
                <w:sz w:val="18"/>
              </w:rPr>
              <w:t>Hit Rate</w:t>
            </w:r>
          </w:p>
        </w:tc>
        <w:tc>
          <w:tcPr>
            <w:tcW w:type="dxa" w:w="1417"/>
            <w:shd w:val="clear" w:color="auto" w:fill="0D0D1A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CFB991"/>
                <w:sz w:val="18"/>
              </w:rPr>
              <w:t>60% Gate</w:t>
            </w:r>
          </w:p>
        </w:tc>
      </w:tr>
      <w:tr>
        <w:tc>
          <w:tcPr>
            <w:tcW w:type="dxa" w:w="2551"/>
            <w:shd w:val="clear" w:color="auto" w:fill="F5F4F0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8"/>
              </w:rPr>
              <w:t>risk_officer</w:t>
            </w:r>
          </w:p>
        </w:tc>
        <w:tc>
          <w:tcPr>
            <w:tcW w:type="dxa" w:w="1134"/>
            <w:shd w:val="clear" w:color="auto" w:fill="F5F4F0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8"/>
              </w:rPr>
              <w:t>30</w:t>
            </w:r>
          </w:p>
        </w:tc>
        <w:tc>
          <w:tcPr>
            <w:tcW w:type="dxa" w:w="1134"/>
            <w:shd w:val="clear" w:color="auto" w:fill="F5F4F0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8"/>
              </w:rPr>
              <w:t>13</w:t>
            </w:r>
          </w:p>
        </w:tc>
        <w:tc>
          <w:tcPr>
            <w:tcW w:type="dxa" w:w="1417"/>
            <w:shd w:val="clear" w:color="auto" w:fill="F5F4F0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8"/>
              </w:rPr>
              <w:t>43.3%</w:t>
            </w:r>
          </w:p>
        </w:tc>
        <w:tc>
          <w:tcPr>
            <w:tcW w:type="dxa" w:w="1417"/>
            <w:shd w:val="clear" w:color="auto" w:fill="F5F4F0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8"/>
              </w:rPr>
              <w:t>❌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8"/>
              </w:rPr>
              <w:t>macro_strategist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8"/>
              </w:rPr>
              <w:t>11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8"/>
              </w:rPr>
              <w:t>7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8"/>
              </w:rPr>
              <w:t>63.6%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8"/>
              </w:rPr>
              <w:t>✅</w:t>
            </w:r>
          </w:p>
        </w:tc>
      </w:tr>
      <w:tr>
        <w:tc>
          <w:tcPr>
            <w:tcW w:type="dxa" w:w="2551"/>
            <w:shd w:val="clear" w:color="auto" w:fill="F5F4F0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8"/>
              </w:rPr>
              <w:t>geopolitical_analyst</w:t>
            </w:r>
          </w:p>
        </w:tc>
        <w:tc>
          <w:tcPr>
            <w:tcW w:type="dxa" w:w="1134"/>
            <w:shd w:val="clear" w:color="auto" w:fill="F5F4F0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8"/>
              </w:rPr>
              <w:t>11</w:t>
            </w:r>
          </w:p>
        </w:tc>
        <w:tc>
          <w:tcPr>
            <w:tcW w:type="dxa" w:w="1134"/>
            <w:shd w:val="clear" w:color="auto" w:fill="F5F4F0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8"/>
              </w:rPr>
              <w:t>0</w:t>
            </w:r>
          </w:p>
        </w:tc>
        <w:tc>
          <w:tcPr>
            <w:tcW w:type="dxa" w:w="1417"/>
            <w:shd w:val="clear" w:color="auto" w:fill="F5F4F0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8"/>
              </w:rPr>
              <w:t>0.0%*</w:t>
            </w:r>
          </w:p>
        </w:tc>
        <w:tc>
          <w:tcPr>
            <w:tcW w:type="dxa" w:w="1417"/>
            <w:shd w:val="clear" w:color="auto" w:fill="F5F4F0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8"/>
              </w:rPr>
              <w:t>❌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8"/>
              </w:rPr>
              <w:t>commodities_specialist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8"/>
              </w:rPr>
              <w:t>3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8"/>
              </w:rPr>
              <w:t>1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8"/>
              </w:rPr>
              <w:t>33.3%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8"/>
              </w:rPr>
              <w:t>❌</w:t>
            </w:r>
          </w:p>
        </w:tc>
      </w:tr>
      <w:tr>
        <w:tc>
          <w:tcPr>
            <w:tcW w:type="dxa" w:w="2551"/>
            <w:shd w:val="clear" w:color="auto" w:fill="F5F4F0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8"/>
              </w:rPr>
              <w:t>signal_auditor</w:t>
            </w:r>
          </w:p>
        </w:tc>
        <w:tc>
          <w:tcPr>
            <w:tcW w:type="dxa" w:w="1134"/>
            <w:shd w:val="clear" w:color="auto" w:fill="F5F4F0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8"/>
              </w:rPr>
              <w:t>4</w:t>
            </w:r>
          </w:p>
        </w:tc>
        <w:tc>
          <w:tcPr>
            <w:tcW w:type="dxa" w:w="1134"/>
            <w:shd w:val="clear" w:color="auto" w:fill="F5F4F0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8"/>
              </w:rPr>
              <w:t>0</w:t>
            </w:r>
          </w:p>
        </w:tc>
        <w:tc>
          <w:tcPr>
            <w:tcW w:type="dxa" w:w="1417"/>
            <w:shd w:val="clear" w:color="auto" w:fill="F5F4F0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8"/>
              </w:rPr>
              <w:t>0.0%</w:t>
            </w:r>
          </w:p>
        </w:tc>
        <w:tc>
          <w:tcPr>
            <w:tcW w:type="dxa" w:w="1417"/>
            <w:shd w:val="clear" w:color="auto" w:fill="F5F4F0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8"/>
              </w:rPr>
              <w:t>❌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8"/>
              </w:rPr>
              <w:t>stress_engineer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8"/>
              </w:rPr>
              <w:t>1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8"/>
              </w:rPr>
              <w:t>1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8"/>
              </w:rPr>
              <w:t>100.0%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8"/>
              </w:rPr>
              <w:t>✅</w:t>
            </w:r>
          </w:p>
        </w:tc>
      </w:tr>
    </w:tbl>
    <w:p>
      <w:pPr>
        <w:spacing w:before="120" w:after="0"/>
      </w:pPr>
    </w:p>
    <w:p>
      <w:pPr>
        <w:spacing w:before="200" w:after="80"/>
        <w:pBdr>
          <w:bottom w:val="single" w:sz="4" w:space="4" w:color="DDDDDD"/>
        </w:pBdr>
      </w:pPr>
      <w:r>
        <w:rPr>
          <w:rFonts w:ascii="Calibri" w:hAnsi="Calibri"/>
          <w:b/>
          <w:i w:val="0"/>
          <w:color w:val="0D0D1A"/>
          <w:sz w:val="24"/>
        </w:rPr>
        <w:t>5.2 Interpretation</w:t>
      </w:r>
    </w:p>
    <w:p>
      <w:pPr>
        <w:pStyle w:val="ListBullet"/>
        <w:spacing w:before="20" w:after="40"/>
        <w:ind w:left="340"/>
      </w:pPr>
      <w:r>
        <w:rPr>
          <w:rFonts w:ascii="Calibri" w:hAnsi="Calibri"/>
          <w:b w:val="0"/>
          <w:i w:val="0"/>
          <w:color w:val="1A1A2E"/>
          <w:sz w:val="20"/>
        </w:rPr>
        <w:t>macro_strategist (63.6%) and stress_engineer (100%) pass the gate. The macro model correctly classifies regimes and yield curve states across COVID, SVB, and other macro-driven events.</w:t>
      </w:r>
    </w:p>
    <w:p>
      <w:pPr>
        <w:pStyle w:val="ListBullet"/>
        <w:spacing w:before="20" w:after="40"/>
        <w:ind w:left="340"/>
      </w:pPr>
      <w:r>
        <w:rPr>
          <w:rFonts w:ascii="Calibri" w:hAnsi="Calibri"/>
          <w:b w:val="0"/>
          <w:i w:val="0"/>
          <w:color w:val="1A1A2E"/>
          <w:sz w:val="20"/>
        </w:rPr>
        <w:t>risk_officer (43.3%) — primary failure mode is over-scoring calm periods. The composite GRS is geopolitically anchored; when financial markets stabilize but conflicts continue, GRS remains elevated. Acknowledged calibration issue, not a data error.</w:t>
      </w:r>
    </w:p>
    <w:p>
      <w:pPr>
        <w:pStyle w:val="ListBullet"/>
        <w:spacing w:before="20" w:after="40"/>
        <w:ind w:left="340"/>
      </w:pPr>
      <w:r>
        <w:rPr>
          <w:rFonts w:ascii="Calibri" w:hAnsi="Calibri"/>
          <w:b w:val="0"/>
          <w:i w:val="0"/>
          <w:color w:val="1A1A2E"/>
          <w:sz w:val="20"/>
        </w:rPr>
        <w:t>geopolitical_analyst (0%*) — all failures are 'None' actual values. This is a data infrastructure issue: score_all_conflicts() requires live GDELT access, which cannot be replayed historically. CIS/TPS cannot be computed for past dates. Documented as known limitation in evals/results-2026-04.md.</w:t>
      </w:r>
    </w:p>
    <w:p>
      <w:pPr>
        <w:pStyle w:val="ListBullet"/>
        <w:spacing w:before="20" w:after="40"/>
        <w:ind w:left="340"/>
      </w:pPr>
      <w:r>
        <w:rPr>
          <w:rFonts w:ascii="Calibri" w:hAnsi="Calibri"/>
          <w:b w:val="0"/>
          <w:i w:val="0"/>
          <w:color w:val="1A1A2E"/>
          <w:sz w:val="20"/>
        </w:rPr>
        <w:t>Lehman Collapse (2008) is unscorable — FRED macro data unavailable before 2010 in the required format. GRS returns nan; documented in benchmark results.</w:t>
      </w:r>
    </w:p>
    <w:p>
      <w:pPr>
        <w:spacing w:before="320" w:after="80"/>
        <w:pBdr>
          <w:bottom w:val="single" w:sz="8" w:space="4" w:color="CFB991"/>
        </w:pBdr>
      </w:pPr>
      <w:r>
        <w:rPr>
          <w:rFonts w:ascii="Calibri" w:hAnsi="Calibri"/>
          <w:b/>
          <w:i w:val="0"/>
          <w:color w:val="0D0D1A"/>
          <w:sz w:val="30"/>
        </w:rPr>
        <w:t>6. Performance Architecture</w:t>
      </w:r>
    </w:p>
    <w:p>
      <w:pPr>
        <w:spacing w:before="200" w:after="80"/>
        <w:pBdr>
          <w:bottom w:val="single" w:sz="4" w:space="4" w:color="DDDDDD"/>
        </w:pBdr>
      </w:pPr>
      <w:r>
        <w:rPr>
          <w:rFonts w:ascii="Calibri" w:hAnsi="Calibri"/>
          <w:b/>
          <w:i w:val="0"/>
          <w:color w:val="0D0D1A"/>
          <w:sz w:val="24"/>
        </w:rPr>
        <w:t>6.1 Cold-Start Optimization</w:t>
      </w:r>
    </w:p>
    <w:p>
      <w:pPr>
        <w:spacing w:before="40" w:after="80"/>
      </w:pPr>
      <w:r>
        <w:rPr>
          <w:rFonts w:ascii="Calibri" w:hAnsi="Calibri"/>
          <w:b w:val="0"/>
          <w:i w:val="0"/>
          <w:color w:val="1A1A2E"/>
          <w:sz w:val="21"/>
        </w:rPr>
        <w:t>Before optimization: ~30s sequential cold start. After optimization: ~15s via parallelization.</w:t>
      </w:r>
    </w:p>
    <w:p>
      <w:pPr>
        <w:spacing w:before="40" w:after="80"/>
      </w:pPr>
      <w:r>
        <w:rPr>
          <w:rFonts w:ascii="Calibri" w:hAnsi="Calibri"/>
          <w:b w:val="0"/>
          <w:i w:val="0"/>
          <w:color w:val="1A1A2E"/>
          <w:sz w:val="21"/>
        </w:rPr>
        <w:t>ThreadPoolExecutor(max_workers=2) parallelizes score_all_conflicts() (GDELT HTTP, ~10s) and _load_market_pulse() (yfinance, ~8s) while _load_market_risk() runs on the main thread. Reason: _load_market_risk() writes to st.session_state — unsafe to thread in Streamlit.</w:t>
      </w:r>
    </w:p>
    <w:p>
      <w:pPr>
        <w:spacing w:before="200" w:after="80"/>
        <w:pBdr>
          <w:bottom w:val="single" w:sz="4" w:space="4" w:color="DDDDDD"/>
        </w:pBdr>
      </w:pPr>
      <w:r>
        <w:rPr>
          <w:rFonts w:ascii="Calibri" w:hAnsi="Calibri"/>
          <w:b/>
          <w:i w:val="0"/>
          <w:color w:val="0D0D1A"/>
          <w:sz w:val="24"/>
        </w:rPr>
        <w:t>6.2 Cache TTL Configuration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268"/>
            <w:shd w:val="clear" w:color="auto" w:fill="0D0D1A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CFB991"/>
                <w:sz w:val="18"/>
              </w:rPr>
              <w:t>Function</w:t>
            </w:r>
          </w:p>
        </w:tc>
        <w:tc>
          <w:tcPr>
            <w:tcW w:type="dxa" w:w="1587"/>
            <w:shd w:val="clear" w:color="auto" w:fill="0D0D1A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CFB991"/>
                <w:sz w:val="18"/>
              </w:rPr>
              <w:t>Cache TTL</w:t>
            </w:r>
          </w:p>
        </w:tc>
        <w:tc>
          <w:tcPr>
            <w:tcW w:type="dxa" w:w="4649"/>
            <w:shd w:val="clear" w:color="auto" w:fill="0D0D1A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CFB991"/>
                <w:sz w:val="18"/>
              </w:rPr>
              <w:t>Rationale</w:t>
            </w:r>
          </w:p>
        </w:tc>
      </w:tr>
      <w:tr>
        <w:tc>
          <w:tcPr>
            <w:tcW w:type="dxa" w:w="2268"/>
            <w:shd w:val="clear" w:color="auto" w:fill="F5F4F0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8"/>
              </w:rPr>
              <w:t>score_all_conflicts</w:t>
            </w:r>
          </w:p>
        </w:tc>
        <w:tc>
          <w:tcPr>
            <w:tcW w:type="dxa" w:w="1587"/>
            <w:shd w:val="clear" w:color="auto" w:fill="F5F4F0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8"/>
              </w:rPr>
              <w:t>7200s (2h)</w:t>
            </w:r>
          </w:p>
        </w:tc>
        <w:tc>
          <w:tcPr>
            <w:tcW w:type="dxa" w:w="4649"/>
            <w:shd w:val="clear" w:color="auto" w:fill="F5F4F0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8"/>
              </w:rPr>
              <w:t>GDELT updates at 15-min intervals; 2h avoids API throttling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8"/>
              </w:rPr>
              <w:t>_load_market_risk</w:t>
            </w:r>
          </w:p>
        </w:tc>
        <w:tc>
          <w:tcPr>
            <w:tcW w:type="dxa" w:w="1587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8"/>
              </w:rPr>
              <w:t>900s (15min)</w:t>
            </w:r>
          </w:p>
        </w:tc>
        <w:tc>
          <w:tcPr>
            <w:tcW w:type="dxa" w:w="4649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8"/>
              </w:rPr>
              <w:t>Matches intraday signal relevance</w:t>
            </w:r>
          </w:p>
        </w:tc>
      </w:tr>
      <w:tr>
        <w:tc>
          <w:tcPr>
            <w:tcW w:type="dxa" w:w="2268"/>
            <w:shd w:val="clear" w:color="auto" w:fill="F5F4F0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8"/>
              </w:rPr>
              <w:t>_load_market_pulse</w:t>
            </w:r>
          </w:p>
        </w:tc>
        <w:tc>
          <w:tcPr>
            <w:tcW w:type="dxa" w:w="1587"/>
            <w:shd w:val="clear" w:color="auto" w:fill="F5F4F0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8"/>
              </w:rPr>
              <w:t>900s (15min)</w:t>
            </w:r>
          </w:p>
        </w:tc>
        <w:tc>
          <w:tcPr>
            <w:tcW w:type="dxa" w:w="4649"/>
            <w:shd w:val="clear" w:color="auto" w:fill="F5F4F0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8"/>
              </w:rPr>
              <w:t>Liquid tickers; 15min lag acceptable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8"/>
              </w:rPr>
              <w:t>FRED series</w:t>
            </w:r>
          </w:p>
        </w:tc>
        <w:tc>
          <w:tcPr>
            <w:tcW w:type="dxa" w:w="1587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8"/>
              </w:rPr>
              <w:t>86400s (24h)</w:t>
            </w:r>
          </w:p>
        </w:tc>
        <w:tc>
          <w:tcPr>
            <w:tcW w:type="dxa" w:w="4649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8"/>
              </w:rPr>
              <w:t>Daily release; no intraday updates</w:t>
            </w:r>
          </w:p>
        </w:tc>
      </w:tr>
      <w:tr>
        <w:tc>
          <w:tcPr>
            <w:tcW w:type="dxa" w:w="2268"/>
            <w:shd w:val="clear" w:color="auto" w:fill="F5F4F0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8"/>
              </w:rPr>
              <w:t>ACLED</w:t>
            </w:r>
          </w:p>
        </w:tc>
        <w:tc>
          <w:tcPr>
            <w:tcW w:type="dxa" w:w="1587"/>
            <w:shd w:val="clear" w:color="auto" w:fill="F5F4F0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8"/>
              </w:rPr>
              <w:t>21600s (6h)</w:t>
            </w:r>
          </w:p>
        </w:tc>
        <w:tc>
          <w:tcPr>
            <w:tcW w:type="dxa" w:w="4649"/>
            <w:shd w:val="clear" w:color="auto" w:fill="F5F4F0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8"/>
              </w:rPr>
              <w:t>ACLED bulk data updates daily</w:t>
            </w:r>
          </w:p>
        </w:tc>
      </w:tr>
    </w:tbl>
    <w:p>
      <w:pPr>
        <w:spacing w:before="120" w:after="0"/>
      </w:pPr>
    </w:p>
    <w:p>
      <w:pPr>
        <w:spacing w:before="40" w:after="80"/>
      </w:pPr>
      <w:r>
        <w:rPr>
          <w:rFonts w:ascii="Calibri" w:hAnsi="Calibri"/>
          <w:b w:val="0"/>
          <w:i w:val="0"/>
          <w:color w:val="1A1A2E"/>
          <w:sz w:val="21"/>
        </w:rPr>
        <w:t>Warm-cache load (all subsequent navigations): &lt;2s for all pages.</w:t>
      </w:r>
    </w:p>
    <w:p>
      <w:pPr>
        <w:spacing w:before="320" w:after="80"/>
        <w:pBdr>
          <w:bottom w:val="single" w:sz="8" w:space="4" w:color="CFB991"/>
        </w:pBdr>
      </w:pPr>
      <w:r>
        <w:rPr>
          <w:rFonts w:ascii="Calibri" w:hAnsi="Calibri"/>
          <w:b/>
          <w:i w:val="0"/>
          <w:color w:val="0D0D1A"/>
          <w:sz w:val="30"/>
        </w:rPr>
        <w:t>7. Business Value &amp; Impact</w:t>
      </w:r>
    </w:p>
    <w:p>
      <w:pPr>
        <w:spacing w:before="200" w:after="80"/>
        <w:pBdr>
          <w:bottom w:val="single" w:sz="4" w:space="4" w:color="DDDDDD"/>
        </w:pBdr>
      </w:pPr>
      <w:r>
        <w:rPr>
          <w:rFonts w:ascii="Calibri" w:hAnsi="Calibri"/>
          <w:b/>
          <w:i w:val="0"/>
          <w:color w:val="0D0D1A"/>
          <w:sz w:val="24"/>
        </w:rPr>
        <w:t>7.1 For Institutional Analysts</w:t>
      </w:r>
    </w:p>
    <w:p>
      <w:pPr>
        <w:pStyle w:val="ListBullet"/>
        <w:spacing w:before="20" w:after="40"/>
        <w:ind w:left="340"/>
      </w:pPr>
      <w:r>
        <w:rPr>
          <w:rFonts w:ascii="Calibri" w:hAnsi="Calibri"/>
          <w:b w:val="0"/>
          <w:i w:val="0"/>
          <w:color w:val="1A1A2E"/>
          <w:sz w:val="20"/>
        </w:rPr>
        <w:t>Time savings: A cross-asset risk briefing that takes 60–90 minutes to assemble manually (Bloomberg + Excel + manual GDELT) is produced in under 15 seconds on dashboard load.</w:t>
      </w:r>
    </w:p>
    <w:p>
      <w:pPr>
        <w:pStyle w:val="ListBullet"/>
        <w:spacing w:before="20" w:after="40"/>
        <w:ind w:left="340"/>
      </w:pPr>
      <w:r>
        <w:rPr>
          <w:rFonts w:ascii="Calibri" w:hAnsi="Calibri"/>
          <w:b w:val="0"/>
          <w:i w:val="0"/>
          <w:color w:val="1A1A2E"/>
          <w:sz w:val="20"/>
        </w:rPr>
        <w:t>Signal quality: The AI pipeline synthesizes five independent model outputs into one coherent narrative, with explicit quality flagging by the CQO.</w:t>
      </w:r>
    </w:p>
    <w:p>
      <w:pPr>
        <w:pStyle w:val="ListBullet"/>
        <w:spacing w:before="20" w:after="40"/>
        <w:ind w:left="340"/>
      </w:pPr>
      <w:r>
        <w:rPr>
          <w:rFonts w:ascii="Calibri" w:hAnsi="Calibri"/>
          <w:b w:val="0"/>
          <w:i w:val="0"/>
          <w:color w:val="1A1A2E"/>
          <w:sz w:val="20"/>
        </w:rPr>
        <w:t>Geopolitical attribution: Standard terminals cannot answer 'how much of today's WTI move is the Red Sea vs. the Fed?' This system quantifies that via CIS × TPS channel weighting.</w:t>
      </w:r>
    </w:p>
    <w:p>
      <w:pPr>
        <w:spacing w:before="200" w:after="80"/>
        <w:pBdr>
          <w:bottom w:val="single" w:sz="4" w:space="4" w:color="DDDDDD"/>
        </w:pBdr>
      </w:pPr>
      <w:r>
        <w:rPr>
          <w:rFonts w:ascii="Calibri" w:hAnsi="Calibri"/>
          <w:b/>
          <w:i w:val="0"/>
          <w:color w:val="0D0D1A"/>
          <w:sz w:val="24"/>
        </w:rPr>
        <w:t>7.2 For Portfolio Managers</w:t>
      </w:r>
    </w:p>
    <w:p>
      <w:pPr>
        <w:pStyle w:val="ListBullet"/>
        <w:spacing w:before="20" w:after="40"/>
        <w:ind w:left="340"/>
      </w:pPr>
      <w:r>
        <w:rPr>
          <w:rFonts w:ascii="Calibri" w:hAnsi="Calibri"/>
          <w:b w:val="0"/>
          <w:i w:val="0"/>
          <w:color w:val="1A1A2E"/>
          <w:sz w:val="20"/>
        </w:rPr>
        <w:t>Regime-conditioned trade ideas: 6 trade structures explicitly conditioned on the current correlation regime. A trade valid in Regime 1 (Decoupled) is explicitly invalidated in Regime 3 (High Coupling).</w:t>
      </w:r>
    </w:p>
    <w:p>
      <w:pPr>
        <w:pStyle w:val="ListBullet"/>
        <w:spacing w:before="20" w:after="40"/>
        <w:ind w:left="340"/>
      </w:pPr>
      <w:r>
        <w:rPr>
          <w:rFonts w:ascii="Calibri" w:hAnsi="Calibri"/>
          <w:b w:val="0"/>
          <w:i w:val="0"/>
          <w:color w:val="1A1A2E"/>
          <w:sz w:val="20"/>
        </w:rPr>
        <w:t>Scenario propagation: Custom shocks propagated through regime-conditioned OLS betas. 'Hormuz blockade — 30% oil supply cut' → portfolio P&amp;L impact in seconds.</w:t>
      </w:r>
    </w:p>
    <w:p>
      <w:pPr>
        <w:spacing w:before="200" w:after="80"/>
        <w:pBdr>
          <w:bottom w:val="single" w:sz="4" w:space="4" w:color="DDDDDD"/>
        </w:pBdr>
      </w:pPr>
      <w:r>
        <w:rPr>
          <w:rFonts w:ascii="Calibri" w:hAnsi="Calibri"/>
          <w:b/>
          <w:i w:val="0"/>
          <w:color w:val="0D0D1A"/>
          <w:sz w:val="24"/>
        </w:rPr>
        <w:t>7.3 For Risk Officers</w:t>
      </w:r>
    </w:p>
    <w:p>
      <w:pPr>
        <w:pStyle w:val="ListBullet"/>
        <w:spacing w:before="20" w:after="40"/>
        <w:ind w:left="340"/>
      </w:pPr>
      <w:r>
        <w:rPr>
          <w:rFonts w:ascii="Calibri" w:hAnsi="Calibri"/>
          <w:b w:val="0"/>
          <w:i w:val="0"/>
          <w:color w:val="1A1A2E"/>
          <w:sz w:val="20"/>
        </w:rPr>
        <w:t>GRS: A single 0–100 number with documented decomposition (CIS/TPS/MCS) and full methodology transparency. All inputs reproducible from public data sources.</w:t>
      </w:r>
    </w:p>
    <w:p>
      <w:pPr>
        <w:pStyle w:val="ListBullet"/>
        <w:spacing w:before="20" w:after="40"/>
        <w:ind w:left="340"/>
      </w:pPr>
      <w:r>
        <w:rPr>
          <w:rFonts w:ascii="Calibri" w:hAnsi="Calibri"/>
          <w:b w:val="0"/>
          <w:i w:val="0"/>
          <w:color w:val="1A1A2E"/>
          <w:sz w:val="20"/>
        </w:rPr>
        <w:t>Out-of-sample validation: 56-case harness gives quantitative confidence bounds on model accuracy — documented, not claimed.</w:t>
      </w:r>
    </w:p>
    <w:p>
      <w:pPr>
        <w:spacing w:before="200" w:after="80"/>
        <w:pBdr>
          <w:bottom w:val="single" w:sz="4" w:space="4" w:color="DDDDDD"/>
        </w:pBdr>
      </w:pPr>
      <w:r>
        <w:rPr>
          <w:rFonts w:ascii="Calibri" w:hAnsi="Calibri"/>
          <w:b/>
          <w:i w:val="0"/>
          <w:color w:val="0D0D1A"/>
          <w:sz w:val="24"/>
        </w:rPr>
        <w:t>7.4 Scalability Path</w:t>
      </w:r>
    </w:p>
    <w:p>
      <w:pPr>
        <w:pStyle w:val="ListBullet"/>
        <w:spacing w:before="20" w:after="40"/>
        <w:ind w:left="340"/>
      </w:pPr>
      <w:r>
        <w:rPr>
          <w:rFonts w:ascii="Calibri" w:hAnsi="Calibri"/>
          <w:b w:val="0"/>
          <w:i w:val="0"/>
          <w:color w:val="1A1A2E"/>
          <w:sz w:val="20"/>
        </w:rPr>
        <w:t>Additional conflicts: add entry to CONFLICT_REGISTRY in config.py — no code changes</w:t>
      </w:r>
    </w:p>
    <w:p>
      <w:pPr>
        <w:pStyle w:val="ListBullet"/>
        <w:spacing w:before="20" w:after="40"/>
        <w:ind w:left="340"/>
      </w:pPr>
      <w:r>
        <w:rPr>
          <w:rFonts w:ascii="Calibri" w:hAnsi="Calibri"/>
          <w:b w:val="0"/>
          <w:i w:val="0"/>
          <w:color w:val="1A1A2E"/>
          <w:sz w:val="20"/>
        </w:rPr>
        <w:t>Additional data sources: add @st.cache_data-decorated loader in src/data/loader.py</w:t>
      </w:r>
    </w:p>
    <w:p>
      <w:pPr>
        <w:pStyle w:val="ListBullet"/>
        <w:spacing w:before="20" w:after="40"/>
        <w:ind w:left="340"/>
      </w:pPr>
      <w:r>
        <w:rPr>
          <w:rFonts w:ascii="Calibri" w:hAnsi="Calibri"/>
          <w:b w:val="0"/>
          <w:i w:val="0"/>
          <w:color w:val="1A1A2E"/>
          <w:sz w:val="20"/>
        </w:rPr>
        <w:t>Additional AI agents: register in agent_orchestrator.py with dependency declaration</w:t>
      </w:r>
    </w:p>
    <w:p>
      <w:pPr>
        <w:pStyle w:val="ListBullet"/>
        <w:spacing w:before="20" w:after="40"/>
        <w:ind w:left="340"/>
      </w:pPr>
      <w:r>
        <w:rPr>
          <w:rFonts w:ascii="Calibri" w:hAnsi="Calibri"/>
          <w:b w:val="0"/>
          <w:i w:val="0"/>
          <w:color w:val="1A1A2E"/>
          <w:sz w:val="20"/>
        </w:rPr>
        <w:t>Production deployment: render.yaml configures Render.com auto-deploy on git push</w:t>
      </w:r>
    </w:p>
    <w:p>
      <w:pPr>
        <w:spacing w:before="320" w:after="80"/>
        <w:pBdr>
          <w:bottom w:val="single" w:sz="8" w:space="4" w:color="CFB991"/>
        </w:pBdr>
      </w:pPr>
      <w:r>
        <w:rPr>
          <w:rFonts w:ascii="Calibri" w:hAnsi="Calibri"/>
          <w:b/>
          <w:i w:val="0"/>
          <w:color w:val="0D0D1A"/>
          <w:sz w:val="30"/>
        </w:rPr>
        <w:t>8. End-to-End Demo Script</w:t>
      </w:r>
    </w:p>
    <w:p>
      <w:pPr>
        <w:spacing w:before="40" w:after="80"/>
      </w:pPr>
      <w:r>
        <w:rPr>
          <w:rFonts w:ascii="Calibri" w:hAnsi="Calibri"/>
          <w:b w:val="0"/>
          <w:i w:val="0"/>
          <w:color w:val="1A1A2E"/>
          <w:sz w:val="21"/>
        </w:rPr>
        <w:t>Estimated duration: 12–15 minutes for full panel review.</w:t>
      </w:r>
    </w:p>
    <w:p>
      <w:pPr>
        <w:spacing w:before="200" w:after="80"/>
        <w:pBdr>
          <w:bottom w:val="single" w:sz="4" w:space="4" w:color="DDDDDD"/>
        </w:pBdr>
      </w:pPr>
      <w:r>
        <w:rPr>
          <w:rFonts w:ascii="Calibri" w:hAnsi="Calibri"/>
          <w:b/>
          <w:i w:val="0"/>
          <w:color w:val="0D0D1A"/>
          <w:sz w:val="24"/>
        </w:rPr>
        <w:t>Phase 1: Command Center (3 min)</w:t>
      </w:r>
    </w:p>
    <w:p>
      <w:pPr>
        <w:pStyle w:val="ListBullet"/>
        <w:spacing w:before="20" w:after="40"/>
        <w:ind w:left="340"/>
      </w:pPr>
      <w:r>
        <w:rPr>
          <w:rFonts w:ascii="Calibri" w:hAnsi="Calibri"/>
          <w:b w:val="0"/>
          <w:i w:val="0"/>
          <w:color w:val="1A1A2E"/>
          <w:sz w:val="20"/>
        </w:rPr>
        <w:t>GRS gauge: 'This is the composite risk score — 40% geopolitical intensity, 35% transmission pressure, 25% market conditions.'</w:t>
      </w:r>
    </w:p>
    <w:p>
      <w:pPr>
        <w:pStyle w:val="ListBullet"/>
        <w:spacing w:before="20" w:after="40"/>
        <w:ind w:left="340"/>
      </w:pPr>
      <w:r>
        <w:rPr>
          <w:rFonts w:ascii="Calibri" w:hAnsi="Calibri"/>
          <w:b w:val="0"/>
          <w:i w:val="0"/>
          <w:color w:val="1A1A2E"/>
          <w:sz w:val="20"/>
        </w:rPr>
        <w:t>Conflict Landscape: 'Each dot is a tracked conflict. Top-right quadrant = critical (high intensity, high transmission).'</w:t>
      </w:r>
    </w:p>
    <w:p>
      <w:pPr>
        <w:pStyle w:val="ListBullet"/>
        <w:spacing w:before="20" w:after="40"/>
        <w:ind w:left="340"/>
      </w:pPr>
      <w:r>
        <w:rPr>
          <w:rFonts w:ascii="Calibri" w:hAnsi="Calibri"/>
          <w:b w:val="0"/>
          <w:i w:val="0"/>
          <w:color w:val="1A1A2E"/>
          <w:sz w:val="20"/>
        </w:rPr>
        <w:t>Risk Compass: 'Five-axis radar — CIS, TPS, MCS, VIX-normalized Volatility, Coupling. Large red polygon = multi-channel stress.'</w:t>
      </w:r>
    </w:p>
    <w:p>
      <w:pPr>
        <w:pStyle w:val="ListBullet"/>
        <w:spacing w:before="20" w:after="40"/>
        <w:ind w:left="340"/>
      </w:pPr>
      <w:r>
        <w:rPr>
          <w:rFonts w:ascii="Calibri" w:hAnsi="Calibri"/>
          <w:b w:val="0"/>
          <w:i w:val="0"/>
          <w:color w:val="1A1A2E"/>
          <w:sz w:val="20"/>
        </w:rPr>
        <w:t>Transmission Channels: 'CIS-weighted aggregate showing which channels carry most stress: energy, shipping, FX, equity/inflation.'</w:t>
      </w:r>
    </w:p>
    <w:p>
      <w:pPr>
        <w:spacing w:before="200" w:after="80"/>
        <w:pBdr>
          <w:bottom w:val="single" w:sz="4" w:space="4" w:color="DDDDDD"/>
        </w:pBdr>
      </w:pPr>
      <w:r>
        <w:rPr>
          <w:rFonts w:ascii="Calibri" w:hAnsi="Calibri"/>
          <w:b/>
          <w:i w:val="0"/>
          <w:color w:val="0D0D1A"/>
          <w:sz w:val="24"/>
        </w:rPr>
        <w:t>Phase 2: Spillover Analytics (3 min)</w:t>
      </w:r>
    </w:p>
    <w:p>
      <w:pPr>
        <w:pStyle w:val="ListBullet"/>
        <w:spacing w:before="20" w:after="40"/>
        <w:ind w:left="340"/>
      </w:pPr>
      <w:r>
        <w:rPr>
          <w:rFonts w:ascii="Calibri" w:hAnsi="Calibri"/>
          <w:b w:val="0"/>
          <w:i w:val="0"/>
          <w:color w:val="1A1A2E"/>
          <w:sz w:val="20"/>
        </w:rPr>
        <w:t>Diebold-Yilmaz matrix: 'Read row-by-row: X% of WTI forecast variance explained by shocks to S&amp;P 500.'</w:t>
      </w:r>
    </w:p>
    <w:p>
      <w:pPr>
        <w:pStyle w:val="ListBullet"/>
        <w:spacing w:before="20" w:after="40"/>
        <w:ind w:left="340"/>
      </w:pPr>
      <w:r>
        <w:rPr>
          <w:rFonts w:ascii="Calibri" w:hAnsi="Calibri"/>
          <w:b w:val="0"/>
          <w:i w:val="0"/>
          <w:color w:val="1A1A2E"/>
          <w:sz w:val="20"/>
        </w:rPr>
        <w:t>Rolling TSI: 'Total Spillover Index — integration spikes during COVID and Ukraine when normally-decoupled markets synchronize.'</w:t>
      </w:r>
    </w:p>
    <w:p>
      <w:pPr>
        <w:pStyle w:val="ListBullet"/>
        <w:spacing w:before="20" w:after="40"/>
        <w:ind w:left="340"/>
      </w:pPr>
      <w:r>
        <w:rPr>
          <w:rFonts w:ascii="Calibri" w:hAnsi="Calibri"/>
          <w:b w:val="0"/>
          <w:i w:val="0"/>
          <w:color w:val="1A1A2E"/>
          <w:sz w:val="20"/>
        </w:rPr>
        <w:t>Net directional arrows: 'Right now, net flow is commodity→equity (supply shock) or equity→commodity (demand destruction).'</w:t>
      </w:r>
    </w:p>
    <w:p>
      <w:pPr>
        <w:spacing w:before="200" w:after="80"/>
        <w:pBdr>
          <w:bottom w:val="single" w:sz="4" w:space="4" w:color="DDDDDD"/>
        </w:pBdr>
      </w:pPr>
      <w:r>
        <w:rPr>
          <w:rFonts w:ascii="Calibri" w:hAnsi="Calibri"/>
          <w:b/>
          <w:i w:val="0"/>
          <w:color w:val="0D0D1A"/>
          <w:sz w:val="24"/>
        </w:rPr>
        <w:t>Phase 3: Geopolitical Layer (2 min)</w:t>
      </w:r>
    </w:p>
    <w:p>
      <w:pPr>
        <w:pStyle w:val="ListBullet"/>
        <w:spacing w:before="20" w:after="40"/>
        <w:ind w:left="340"/>
      </w:pPr>
      <w:r>
        <w:rPr>
          <w:rFonts w:ascii="Calibri" w:hAnsi="Calibri"/>
          <w:b w:val="0"/>
          <w:i w:val="0"/>
          <w:color w:val="1A1A2E"/>
          <w:sz w:val="20"/>
        </w:rPr>
        <w:t>War Impact Map: 'Concurrent-war amplifier — Ukraine cutting wheat while Red Sea disrupts shipping is multiplicative in some commodities.'</w:t>
      </w:r>
    </w:p>
    <w:p>
      <w:pPr>
        <w:pStyle w:val="ListBullet"/>
        <w:spacing w:before="20" w:after="40"/>
        <w:ind w:left="340"/>
      </w:pPr>
      <w:r>
        <w:rPr>
          <w:rFonts w:ascii="Calibri" w:hAnsi="Calibri"/>
          <w:b w:val="0"/>
          <w:i w:val="0"/>
          <w:color w:val="1A1A2E"/>
          <w:sz w:val="20"/>
        </w:rPr>
        <w:t>Strait Watch: 'Live AIS vessel traffic at Hormuz and five chokepoints. Disruption = deviation from 90-day baseline.'</w:t>
      </w:r>
    </w:p>
    <w:p>
      <w:pPr>
        <w:spacing w:before="200" w:after="80"/>
        <w:pBdr>
          <w:bottom w:val="single" w:sz="4" w:space="4" w:color="DDDDDD"/>
        </w:pBdr>
      </w:pPr>
      <w:r>
        <w:rPr>
          <w:rFonts w:ascii="Calibri" w:hAnsi="Calibri"/>
          <w:b/>
          <w:i w:val="0"/>
          <w:color w:val="0D0D1A"/>
          <w:sz w:val="24"/>
        </w:rPr>
        <w:t>Phase 4: Scenario Engine (2 min)</w:t>
      </w:r>
    </w:p>
    <w:p>
      <w:pPr>
        <w:pStyle w:val="ListBullet"/>
        <w:spacing w:before="20" w:after="40"/>
        <w:ind w:left="340"/>
      </w:pPr>
      <w:r>
        <w:rPr>
          <w:rFonts w:ascii="Calibri" w:hAnsi="Calibri"/>
          <w:b w:val="0"/>
          <w:i w:val="0"/>
          <w:color w:val="1A1A2E"/>
          <w:sz w:val="20"/>
        </w:rPr>
        <w:t>Select 'Hormuz Blockade': 'In Regime 3 (High Coupling), the equity impact is 1.4× larger than in Regime 1.'</w:t>
      </w:r>
    </w:p>
    <w:p>
      <w:pPr>
        <w:pStyle w:val="ListBullet"/>
        <w:spacing w:before="20" w:after="40"/>
        <w:ind w:left="340"/>
      </w:pPr>
      <w:r>
        <w:rPr>
          <w:rFonts w:ascii="Calibri" w:hAnsi="Calibri"/>
          <w:b w:val="0"/>
          <w:i w:val="0"/>
          <w:color w:val="1A1A2E"/>
          <w:sz w:val="20"/>
        </w:rPr>
        <w:t>Compound scenario: 'Stack Hormuz blockade + Fed rate cut. System handles nonlinear interaction via regime conditioning.'</w:t>
      </w:r>
    </w:p>
    <w:p>
      <w:pPr>
        <w:spacing w:before="200" w:after="80"/>
        <w:pBdr>
          <w:bottom w:val="single" w:sz="4" w:space="4" w:color="DDDDDD"/>
        </w:pBdr>
      </w:pPr>
      <w:r>
        <w:rPr>
          <w:rFonts w:ascii="Calibri" w:hAnsi="Calibri"/>
          <w:b/>
          <w:i w:val="0"/>
          <w:color w:val="0D0D1A"/>
          <w:sz w:val="24"/>
        </w:rPr>
        <w:t>Phase 5: AI Agent Output (2 min)</w:t>
      </w:r>
    </w:p>
    <w:p>
      <w:pPr>
        <w:pStyle w:val="ListBullet"/>
        <w:spacing w:before="20" w:after="40"/>
        <w:ind w:left="340"/>
      </w:pPr>
      <w:r>
        <w:rPr>
          <w:rFonts w:ascii="Calibri" w:hAnsi="Calibri"/>
          <w:b w:val="0"/>
          <w:i w:val="0"/>
          <w:color w:val="1A1A2E"/>
          <w:sz w:val="20"/>
        </w:rPr>
        <w:t>Morning briefing: 'Seven agents, four rounds, one coherent narrative — Risk Officer synthesized macro + geopolitical + commodity inputs.'</w:t>
      </w:r>
    </w:p>
    <w:p>
      <w:pPr>
        <w:pStyle w:val="ListBullet"/>
        <w:spacing w:before="20" w:after="40"/>
        <w:ind w:left="340"/>
      </w:pPr>
      <w:r>
        <w:rPr>
          <w:rFonts w:ascii="Calibri" w:hAnsi="Calibri"/>
          <w:b w:val="0"/>
          <w:i w:val="0"/>
          <w:color w:val="1A1A2E"/>
          <w:sz w:val="20"/>
        </w:rPr>
        <w:t>Model Accuracy: '56 cases, 15 historical events. Macro_strategist passes at 63.6%. Geopolitical agent fails — documented infrastructure limitation, not a hidden bug.'</w:t>
      </w:r>
    </w:p>
    <w:p>
      <w:pPr>
        <w:spacing w:before="320" w:after="80"/>
        <w:pBdr>
          <w:bottom w:val="single" w:sz="8" w:space="4" w:color="CFB991"/>
        </w:pBdr>
      </w:pPr>
      <w:r>
        <w:rPr>
          <w:rFonts w:ascii="Calibri" w:hAnsi="Calibri"/>
          <w:b/>
          <w:i w:val="0"/>
          <w:color w:val="0D0D1A"/>
          <w:sz w:val="30"/>
        </w:rPr>
        <w:t>9. Methodological Integrity</w:t>
      </w:r>
    </w:p>
    <w:p>
      <w:pPr>
        <w:spacing w:before="200" w:after="80"/>
        <w:pBdr>
          <w:bottom w:val="single" w:sz="4" w:space="4" w:color="DDDDDD"/>
        </w:pBdr>
      </w:pPr>
      <w:r>
        <w:rPr>
          <w:rFonts w:ascii="Calibri" w:hAnsi="Calibri"/>
          <w:b/>
          <w:i w:val="0"/>
          <w:color w:val="0D0D1A"/>
          <w:sz w:val="24"/>
        </w:rPr>
        <w:t>9.1 All 25 AUDIT.md Gaps Resolved</w:t>
      </w:r>
    </w:p>
    <w:p>
      <w:pPr>
        <w:spacing w:before="40" w:after="80"/>
      </w:pPr>
      <w:r>
        <w:rPr>
          <w:rFonts w:ascii="Calibri" w:hAnsi="Calibri"/>
          <w:b w:val="0"/>
          <w:i w:val="0"/>
          <w:color w:val="1A1A2E"/>
          <w:sz w:val="21"/>
        </w:rPr>
        <w:t>The initial gap analysis identified 25 deficiencies against the core problem statement. All 25 are marked ✅ Fixed in AUDIT.md. Key resolutions:</w:t>
      </w:r>
    </w:p>
    <w:p>
      <w:pPr>
        <w:pStyle w:val="ListBullet"/>
        <w:spacing w:before="20" w:after="40"/>
        <w:ind w:left="340"/>
      </w:pPr>
      <w:r>
        <w:rPr>
          <w:rFonts w:ascii="Calibri" w:hAnsi="Calibri"/>
          <w:b w:val="0"/>
          <w:i w:val="0"/>
          <w:color w:val="1A1A2E"/>
          <w:sz w:val="20"/>
        </w:rPr>
        <w:t>Gap 15 (circular ground truth): historical benchmark rewritten from non-VIX sources</w:t>
      </w:r>
    </w:p>
    <w:p>
      <w:pPr>
        <w:pStyle w:val="ListBullet"/>
        <w:spacing w:before="20" w:after="40"/>
        <w:ind w:left="340"/>
      </w:pPr>
      <w:r>
        <w:rPr>
          <w:rFonts w:ascii="Calibri" w:hAnsi="Calibri"/>
          <w:b w:val="0"/>
          <w:i w:val="0"/>
          <w:color w:val="1A1A2E"/>
          <w:sz w:val="20"/>
        </w:rPr>
        <w:t>Gap 18 (no out-of-sample test): 56-case harness with documented pass/fail criteria</w:t>
      </w:r>
    </w:p>
    <w:p>
      <w:pPr>
        <w:pStyle w:val="ListBullet"/>
        <w:spacing w:before="20" w:after="40"/>
        <w:ind w:left="340"/>
      </w:pPr>
      <w:r>
        <w:rPr>
          <w:rFonts w:ascii="Calibri" w:hAnsi="Calibri"/>
          <w:b w:val="0"/>
          <w:i w:val="0"/>
          <w:color w:val="1A1A2E"/>
          <w:sz w:val="20"/>
        </w:rPr>
        <w:t>Gap 20 (TE lag=1 hardcoded): lag search over 1–7, commodity→equity lag 2–5 days</w:t>
      </w:r>
    </w:p>
    <w:p>
      <w:pPr>
        <w:pStyle w:val="ListBullet"/>
        <w:spacing w:before="20" w:after="40"/>
        <w:ind w:left="340"/>
      </w:pPr>
      <w:r>
        <w:rPr>
          <w:rFonts w:ascii="Calibri" w:hAnsi="Calibri"/>
          <w:b w:val="0"/>
          <w:i w:val="0"/>
          <w:color w:val="1A1A2E"/>
          <w:sz w:val="20"/>
        </w:rPr>
        <w:t>Gap 19 (linear betas): regime-conditioned OLS betas replace linear scenario propagation</w:t>
      </w:r>
    </w:p>
    <w:p>
      <w:pPr>
        <w:pStyle w:val="ListBullet"/>
        <w:spacing w:before="20" w:after="40"/>
        <w:ind w:left="340"/>
      </w:pPr>
      <w:r>
        <w:rPr>
          <w:rFonts w:ascii="Calibri" w:hAnsi="Calibri"/>
          <w:b w:val="0"/>
          <w:i w:val="0"/>
          <w:color w:val="1A1A2E"/>
          <w:sz w:val="20"/>
        </w:rPr>
        <w:t>Gap 24 (Granger not network-visualized): Transmission Matrix page with directional arrows</w:t>
      </w:r>
    </w:p>
    <w:p>
      <w:pPr>
        <w:pStyle w:val="ListBullet"/>
        <w:spacing w:before="20" w:after="40"/>
        <w:ind w:left="340"/>
      </w:pPr>
      <w:r>
        <w:rPr>
          <w:rFonts w:ascii="Calibri" w:hAnsi="Calibri"/>
          <w:b w:val="0"/>
          <w:i w:val="0"/>
          <w:color w:val="1A1A2E"/>
          <w:sz w:val="20"/>
        </w:rPr>
        <w:t>Gap 16 (silent failures): stale data banners and insufficient data warnings throughout</w:t>
      </w:r>
    </w:p>
    <w:p>
      <w:pPr>
        <w:spacing w:before="200" w:after="80"/>
        <w:pBdr>
          <w:bottom w:val="single" w:sz="4" w:space="4" w:color="DDDDDD"/>
        </w:pBdr>
      </w:pPr>
      <w:r>
        <w:rPr>
          <w:rFonts w:ascii="Calibri" w:hAnsi="Calibri"/>
          <w:b/>
          <w:i w:val="0"/>
          <w:color w:val="0D0D1A"/>
          <w:sz w:val="24"/>
        </w:rPr>
        <w:t>9.2 Known Limitations — Documented, Not Hidden</w:t>
      </w:r>
    </w:p>
    <w:p>
      <w:pPr>
        <w:pStyle w:val="ListBullet"/>
        <w:spacing w:before="20" w:after="40"/>
        <w:ind w:left="340"/>
      </w:pPr>
      <w:r>
        <w:rPr>
          <w:rFonts w:ascii="Calibri" w:hAnsi="Calibri"/>
          <w:b w:val="0"/>
          <w:i w:val="0"/>
          <w:color w:val="1A1A2E"/>
          <w:sz w:val="20"/>
        </w:rPr>
        <w:t>risk_officer over-scores calm periods: GRS geopolitically anchored; fix requires separate geo/market composite</w:t>
      </w:r>
    </w:p>
    <w:p>
      <w:pPr>
        <w:pStyle w:val="ListBullet"/>
        <w:spacing w:before="20" w:after="40"/>
        <w:ind w:left="340"/>
      </w:pPr>
      <w:r>
        <w:rPr>
          <w:rFonts w:ascii="Calibri" w:hAnsi="Calibri"/>
          <w:b w:val="0"/>
          <w:i w:val="0"/>
          <w:color w:val="1A1A2E"/>
          <w:sz w:val="20"/>
        </w:rPr>
        <w:t>geopolitical_analyst requires live data: CIS/TPS not replayable historically (GDELT is real-time)</w:t>
      </w:r>
    </w:p>
    <w:p>
      <w:pPr>
        <w:pStyle w:val="ListBullet"/>
        <w:spacing w:before="20" w:after="40"/>
        <w:ind w:left="340"/>
      </w:pPr>
      <w:r>
        <w:rPr>
          <w:rFonts w:ascii="Calibri" w:hAnsi="Calibri"/>
          <w:b w:val="0"/>
          <w:i w:val="0"/>
          <w:color w:val="1A1A2E"/>
          <w:sz w:val="20"/>
        </w:rPr>
        <w:t>Lehman 2008 unscorable: FRED data unavailable pre-2010 in required format</w:t>
      </w:r>
    </w:p>
    <w:p>
      <w:pPr>
        <w:pStyle w:val="ListBullet"/>
        <w:spacing w:before="20" w:after="40"/>
        <w:ind w:left="340"/>
      </w:pPr>
      <w:r>
        <w:rPr>
          <w:rFonts w:ascii="Calibri" w:hAnsi="Calibri"/>
          <w:b w:val="0"/>
          <w:i w:val="0"/>
          <w:color w:val="1A1A2E"/>
          <w:sz w:val="20"/>
        </w:rPr>
        <w:t>Transfer entropy at 200 shuffles: 1000-shuffle test would increase power; deferred due to runtime cost</w:t>
      </w:r>
    </w:p>
    <w:p>
      <w:pPr>
        <w:spacing w:before="320" w:after="80"/>
        <w:pBdr>
          <w:bottom w:val="single" w:sz="8" w:space="4" w:color="CFB991"/>
        </w:pBdr>
      </w:pPr>
      <w:r>
        <w:rPr>
          <w:rFonts w:ascii="Calibri" w:hAnsi="Calibri"/>
          <w:b/>
          <w:i w:val="0"/>
          <w:color w:val="0D0D1A"/>
          <w:sz w:val="30"/>
        </w:rPr>
        <w:t>10. Academic References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268"/>
            <w:shd w:val="clear" w:color="auto" w:fill="0D0D1A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CFB991"/>
                <w:sz w:val="18"/>
              </w:rPr>
              <w:t>Author &amp; Year</w:t>
            </w:r>
          </w:p>
        </w:tc>
        <w:tc>
          <w:tcPr>
            <w:tcW w:type="dxa" w:w="2551"/>
            <w:shd w:val="clear" w:color="auto" w:fill="0D0D1A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CFB991"/>
                <w:sz w:val="18"/>
              </w:rPr>
              <w:t>Source</w:t>
            </w:r>
          </w:p>
        </w:tc>
        <w:tc>
          <w:tcPr>
            <w:tcW w:type="dxa" w:w="3685"/>
            <w:shd w:val="clear" w:color="auto" w:fill="0D0D1A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CFB991"/>
                <w:sz w:val="18"/>
              </w:rPr>
              <w:t>Title / Contribution</w:t>
            </w:r>
          </w:p>
        </w:tc>
      </w:tr>
      <w:tr>
        <w:tc>
          <w:tcPr>
            <w:tcW w:type="dxa" w:w="2268"/>
            <w:shd w:val="clear" w:color="auto" w:fill="F5F4F0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8"/>
              </w:rPr>
              <w:t>Diebold &amp; Yilmaz (2012)</w:t>
            </w:r>
          </w:p>
        </w:tc>
        <w:tc>
          <w:tcPr>
            <w:tcW w:type="dxa" w:w="2551"/>
            <w:shd w:val="clear" w:color="auto" w:fill="F5F4F0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8"/>
              </w:rPr>
              <w:t>International Journal of Forecasting</w:t>
            </w:r>
          </w:p>
        </w:tc>
        <w:tc>
          <w:tcPr>
            <w:tcW w:type="dxa" w:w="3685"/>
            <w:shd w:val="clear" w:color="auto" w:fill="F5F4F0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8"/>
              </w:rPr>
              <w:t>Better to give than to receive: Predictive directional measurement of volatility spillovers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8"/>
              </w:rPr>
              <w:t>Granger (1969)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8"/>
              </w:rPr>
              <w:t>Econometrica</w:t>
            </w:r>
          </w:p>
        </w:tc>
        <w:tc>
          <w:tcPr>
            <w:tcW w:type="dxa" w:w="3685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8"/>
              </w:rPr>
              <w:t>Investigating causal relations by econometric models and cross-spectral methods</w:t>
            </w:r>
          </w:p>
        </w:tc>
      </w:tr>
      <w:tr>
        <w:tc>
          <w:tcPr>
            <w:tcW w:type="dxa" w:w="2268"/>
            <w:shd w:val="clear" w:color="auto" w:fill="F5F4F0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8"/>
              </w:rPr>
              <w:t>Lütkepohl (2005)</w:t>
            </w:r>
          </w:p>
        </w:tc>
        <w:tc>
          <w:tcPr>
            <w:tcW w:type="dxa" w:w="2551"/>
            <w:shd w:val="clear" w:color="auto" w:fill="F5F4F0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8"/>
              </w:rPr>
              <w:t>Springer: New Introduction to Multiple Time Series Analysis</w:t>
            </w:r>
          </w:p>
        </w:tc>
        <w:tc>
          <w:tcPr>
            <w:tcW w:type="dxa" w:w="3685"/>
            <w:shd w:val="clear" w:color="auto" w:fill="F5F4F0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8"/>
              </w:rPr>
              <w:t>VAR lag selection — Chapter 4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8"/>
              </w:rPr>
              <w:t>Schreiber (2000)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8"/>
              </w:rPr>
              <w:t>Physical Review Letters</w:t>
            </w:r>
          </w:p>
        </w:tc>
        <w:tc>
          <w:tcPr>
            <w:tcW w:type="dxa" w:w="3685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8"/>
              </w:rPr>
              <w:t>Measuring information transfer (Transfer Entropy)</w:t>
            </w:r>
          </w:p>
        </w:tc>
      </w:tr>
      <w:tr>
        <w:tc>
          <w:tcPr>
            <w:tcW w:type="dxa" w:w="2268"/>
            <w:shd w:val="clear" w:color="auto" w:fill="F5F4F0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8"/>
              </w:rPr>
              <w:t>Engle (2002)</w:t>
            </w:r>
          </w:p>
        </w:tc>
        <w:tc>
          <w:tcPr>
            <w:tcW w:type="dxa" w:w="2551"/>
            <w:shd w:val="clear" w:color="auto" w:fill="F5F4F0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8"/>
              </w:rPr>
              <w:t>Journal of Business &amp; Economic Statistics</w:t>
            </w:r>
          </w:p>
        </w:tc>
        <w:tc>
          <w:tcPr>
            <w:tcW w:type="dxa" w:w="3685"/>
            <w:shd w:val="clear" w:color="auto" w:fill="F5F4F0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8"/>
              </w:rPr>
              <w:t>Dynamic conditional correlation: A simple class of multivariate GARCH models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8"/>
              </w:rPr>
              <w:t>Hamilton (1989)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8"/>
              </w:rPr>
              <w:t>Econometrica</w:t>
            </w:r>
          </w:p>
        </w:tc>
        <w:tc>
          <w:tcPr>
            <w:tcW w:type="dxa" w:w="3685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8"/>
              </w:rPr>
              <w:t>A new approach to the economic analysis of nonstationary time series</w:t>
            </w:r>
          </w:p>
        </w:tc>
      </w:tr>
      <w:tr>
        <w:tc>
          <w:tcPr>
            <w:tcW w:type="dxa" w:w="2268"/>
            <w:shd w:val="clear" w:color="auto" w:fill="F5F4F0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8"/>
              </w:rPr>
              <w:t>Illing &amp; Liu (2006)</w:t>
            </w:r>
          </w:p>
        </w:tc>
        <w:tc>
          <w:tcPr>
            <w:tcW w:type="dxa" w:w="2551"/>
            <w:shd w:val="clear" w:color="auto" w:fill="F5F4F0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8"/>
              </w:rPr>
              <w:t>Journal of Financial Stability</w:t>
            </w:r>
          </w:p>
        </w:tc>
        <w:tc>
          <w:tcPr>
            <w:tcW w:type="dxa" w:w="3685"/>
            <w:shd w:val="clear" w:color="auto" w:fill="F5F4F0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8"/>
              </w:rPr>
              <w:t>Measuring financial stress in a developed country: An application to Canada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8"/>
              </w:rPr>
              <w:t>J.P. Morgan / Reuters (1996)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8"/>
              </w:rPr>
              <w:t>RiskMetrics — Technical Document, 4th ed.</w:t>
            </w:r>
          </w:p>
        </w:tc>
        <w:tc>
          <w:tcPr>
            <w:tcW w:type="dxa" w:w="3685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8"/>
              </w:rPr>
              <w:t>EWMA volatility (RiskMetrics)</w:t>
            </w:r>
          </w:p>
        </w:tc>
      </w:tr>
      <w:tr>
        <w:tc>
          <w:tcPr>
            <w:tcW w:type="dxa" w:w="2268"/>
            <w:shd w:val="clear" w:color="auto" w:fill="F5F4F0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8"/>
              </w:rPr>
              <w:t>Holm (1979)</w:t>
            </w:r>
          </w:p>
        </w:tc>
        <w:tc>
          <w:tcPr>
            <w:tcW w:type="dxa" w:w="2551"/>
            <w:shd w:val="clear" w:color="auto" w:fill="F5F4F0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8"/>
              </w:rPr>
              <w:t>Scandinavica Statistica</w:t>
            </w:r>
          </w:p>
        </w:tc>
        <w:tc>
          <w:tcPr>
            <w:tcW w:type="dxa" w:w="3685"/>
            <w:shd w:val="clear" w:color="auto" w:fill="F5F4F0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8"/>
              </w:rPr>
              <w:t>A simple sequentially rejective multiple test procedure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8"/>
              </w:rPr>
              <w:t>Hamilton (1994)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8"/>
              </w:rPr>
              <w:t>Princeton UP: Time Series Analysis</w:t>
            </w:r>
          </w:p>
        </w:tc>
        <w:tc>
          <w:tcPr>
            <w:tcW w:type="dxa" w:w="3685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8"/>
              </w:rPr>
              <w:t>Markov regime-switching dynamics — Chapter 22</w:t>
            </w:r>
          </w:p>
        </w:tc>
      </w:tr>
    </w:tbl>
    <w:p>
      <w:pPr>
        <w:spacing w:before="120" w:after="0"/>
      </w:pPr>
    </w:p>
    <w:p>
      <w:pPr>
        <w:spacing w:before="320" w:after="80"/>
        <w:pBdr>
          <w:bottom w:val="single" w:sz="8" w:space="4" w:color="CFB991"/>
        </w:pBdr>
      </w:pPr>
      <w:r>
        <w:rPr>
          <w:rFonts w:ascii="Calibri" w:hAnsi="Calibri"/>
          <w:b/>
          <w:i w:val="0"/>
          <w:color w:val="0D0D1A"/>
          <w:sz w:val="30"/>
        </w:rPr>
        <w:t>11. Team Contributions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shd w:val="clear" w:color="auto" w:fill="0D0D1A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CFB991"/>
                <w:sz w:val="18"/>
              </w:rPr>
              <w:t>Contributor</w:t>
            </w:r>
          </w:p>
        </w:tc>
        <w:tc>
          <w:tcPr>
            <w:tcW w:type="dxa" w:w="6236"/>
            <w:shd w:val="clear" w:color="auto" w:fill="0D0D1A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CFB991"/>
                <w:sz w:val="18"/>
              </w:rPr>
              <w:t>Core Deliverables</w:t>
            </w:r>
          </w:p>
        </w:tc>
      </w:tr>
      <w:tr>
        <w:tc>
          <w:tcPr>
            <w:tcW w:type="dxa" w:w="2268"/>
            <w:shd w:val="clear" w:color="auto" w:fill="F5F4F0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8"/>
              </w:rPr>
              <w:t>Heramb S. Patkar</w:t>
            </w:r>
          </w:p>
        </w:tc>
        <w:tc>
          <w:tcPr>
            <w:tcW w:type="dxa" w:w="6236"/>
            <w:shd w:val="clear" w:color="auto" w:fill="F5F4F0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8"/>
              </w:rPr>
              <w:t>Full system architecture and build; all 22 pages; AI agent orchestrator (7 agents, CQO loop); five analytics modules (D-Y, Granger, TE, DCC-GARCH, GRS); all data integrations (yfinance, FRED, GDELT, ACLED, PortWatch, EIA); 56-case benchmark harness; deployment pipeline (Render.com); all submission documents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8"/>
              </w:rPr>
              <w:t>Ilian Zalomai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8"/>
              </w:rPr>
              <w:t>War Impact Map scoring framework; 13 geopolitical event catalog; Strait Watch chokepoint framework; Iran/Hormuz crisis content; concurrent-war amplifier methodology; all dashboard narrative text connecting quantitative outputs to market implications</w:t>
            </w:r>
          </w:p>
        </w:tc>
      </w:tr>
      <w:tr>
        <w:tc>
          <w:tcPr>
            <w:tcW w:type="dxa" w:w="2268"/>
            <w:shd w:val="clear" w:color="auto" w:fill="F5F4F0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8"/>
              </w:rPr>
              <w:t>Jiahe Miao</w:t>
            </w:r>
          </w:p>
        </w:tc>
        <w:tc>
          <w:tcPr>
            <w:tcW w:type="dxa" w:w="6236"/>
            <w:shd w:val="clear" w:color="auto" w:fill="F5F4F0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8"/>
              </w:rPr>
              <w:t>Correlation regime taxonomy (4-state); rolling window methodology; 6 regime-conditioned trade structures; Fixed Income signal framework; D-Y methodology research; private credit proxy selection; equity/commodity return data quality review</w:t>
            </w:r>
          </w:p>
        </w:tc>
      </w:tr>
    </w:tbl>
    <w:p>
      <w:pPr>
        <w:spacing w:before="120" w:after="0"/>
      </w:pPr>
    </w:p>
    <w:p>
      <w:pPr>
        <w:spacing w:before="240" w:after="0"/>
      </w:pPr>
    </w:p>
    <w:p>
      <w:pPr>
        <w:jc w:val="center"/>
        <w:pBdr>
          <w:bottom w:val="single" w:sz="4" w:space="4" w:color="CFB991"/>
        </w:pBdr>
      </w:pPr>
    </w:p>
    <w:p>
      <w:pPr>
        <w:spacing w:before="80" w:after="0"/>
      </w:pPr>
    </w:p>
    <w:p>
      <w:pPr>
        <w:jc w:val="center"/>
      </w:pPr>
      <w:r>
        <w:rPr>
          <w:rFonts w:ascii="Calibri" w:hAnsi="Calibri"/>
          <w:b w:val="0"/>
          <w:i w:val="0"/>
          <w:color w:val="555E70"/>
          <w:sz w:val="18"/>
        </w:rPr>
        <w:t>GitHub: github.com/HPATKAR/equity-commodities-spillover  ·  Live: equity-commodities-spillover.onrender.com  ·  2026-04-30</w:t>
      </w:r>
    </w:p>
    <w:sectPr w:rsidR="00FC693F" w:rsidRPr="0006063C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