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Harness Change Log</w:t>
      </w:r>
    </w:p>
    <w:p>
      <w:pPr>
        <w:jc w:val="center"/>
      </w:pPr>
      <w:r>
        <w:rPr>
          <w:color w:val="555555"/>
          <w:sz w:val="24"/>
        </w:rPr>
        <w:t>Equity-Commodities Spillover Monitor  ·  AI Agent Pipeline</w:t>
      </w:r>
    </w:p>
    <w:p>
      <w:pPr>
        <w:jc w:val="center"/>
      </w:pPr>
      <w:r>
        <w:rPr>
          <w:b/>
          <w:color w:val="2C3E50"/>
          <w:sz w:val="22"/>
        </w:rPr>
        <w:t>Heramb Patkar  ·  Ilian  ·  Jiahe  ·  Purdue University</w:t>
      </w:r>
    </w:p>
    <w:p>
      <w:pPr>
        <w:jc w:val="center"/>
      </w:pPr>
      <w:r>
        <w:rPr>
          <w:color w:val="555555"/>
          <w:sz w:val="20"/>
        </w:rPr>
        <w:t>Final Submission  ·  April 24, 2026</w:t>
      </w:r>
    </w:p>
    <w:p>
      <w:pPr>
        <w:pBdr>
          <w:bottom w:val="single" w:sz="4" w:space="1" w:color="CCCCCC"/>
        </w:pBdr>
        <w:spacing w:after="40"/>
      </w:pPr>
    </w:p>
    <w:p/>
    <w:p>
      <w:pPr>
        <w:spacing w:after="100"/>
      </w:pPr>
      <w:r>
        <w:rPr>
          <w:sz w:val="22"/>
        </w:rPr>
        <w:t>This log records every infrastructure decision made to the AI agent pipeline — context engineering changes, harness verification additions, and tool-execution patterns — together with their measured impact on agent hit rates or system behaviour. Each row constitutes a scientific record: what was changed, why, and what moved as a result. Baseline eval results were recorded on 2026-04-14 across 56 labeled cases before any of these changes were applied.</w:t>
      </w:r>
    </w:p>
    <w:p/>
    <w:p>
      <w:pPr>
        <w:pBdr>
          <w:bottom w:val="single" w:sz="4" w:space="1" w:color="CCCCCC"/>
        </w:pBdr>
        <w:spacing w:after="40"/>
      </w:pPr>
    </w:p>
    <w:p>
      <w:pPr>
        <w:pStyle w:val="Heading1"/>
        <w:spacing w:before="280" w:after="80"/>
      </w:pPr>
      <w:r>
        <w:rPr>
          <w:color w:val="1A1A2E"/>
        </w:rPr>
        <w:t>Infrastructure Decision Log</w:t>
      </w:r>
    </w:p>
    <w:p>
      <w:pPr>
        <w:spacing w:after="100"/>
      </w:pPr>
      <w:r>
        <w:rPr>
          <w:sz w:val="20"/>
        </w:rPr>
        <w:t>Baseline (2026-04-14): risk_officer 77.3% · macro_strategist 70.0% · geopolitical_analyst 75.0% · commodities_specialist 80.0% · stress_engineer 66.7%</w:t>
      </w:r>
    </w:p>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rHeight w:val="454"/>
        </w:trPr>
        <w:tc>
          <w:tcPr>
            <w:tcW w:type="dxa" w:w="340"/>
            <w:shd w:val="clear" w:color="auto" w:fill="1a1a2e"/>
          </w:tcPr>
          <w:p>
            <w:pPr>
              <w:jc w:val="center"/>
            </w:pPr>
            <w:r>
              <w:rPr>
                <w:b/>
                <w:color w:val="FFFFFF"/>
                <w:sz w:val="18"/>
              </w:rPr>
              <w:t>#</w:t>
            </w:r>
          </w:p>
        </w:tc>
        <w:tc>
          <w:tcPr>
            <w:tcW w:type="dxa" w:w="794"/>
            <w:shd w:val="clear" w:color="auto" w:fill="1a1a2e"/>
          </w:tcPr>
          <w:p>
            <w:pPr>
              <w:jc w:val="center"/>
            </w:pPr>
            <w:r>
              <w:rPr>
                <w:b/>
                <w:color w:val="FFFFFF"/>
                <w:sz w:val="18"/>
              </w:rPr>
              <w:t>Date</w:t>
            </w:r>
          </w:p>
        </w:tc>
        <w:tc>
          <w:tcPr>
            <w:tcW w:type="dxa" w:w="1020"/>
            <w:shd w:val="clear" w:color="auto" w:fill="1a1a2e"/>
          </w:tcPr>
          <w:p>
            <w:pPr>
              <w:jc w:val="center"/>
            </w:pPr>
            <w:r>
              <w:rPr>
                <w:b/>
                <w:color w:val="FFFFFF"/>
                <w:sz w:val="18"/>
              </w:rPr>
              <w:t>Layer</w:t>
            </w:r>
          </w:p>
        </w:tc>
        <w:tc>
          <w:tcPr>
            <w:tcW w:type="dxa" w:w="2154"/>
            <w:shd w:val="clear" w:color="auto" w:fill="1a1a2e"/>
          </w:tcPr>
          <w:p>
            <w:pPr>
              <w:jc w:val="center"/>
            </w:pPr>
            <w:r>
              <w:rPr>
                <w:b/>
                <w:color w:val="FFFFFF"/>
                <w:sz w:val="18"/>
              </w:rPr>
              <w:t>Change</w:t>
            </w:r>
          </w:p>
        </w:tc>
        <w:tc>
          <w:tcPr>
            <w:tcW w:type="dxa" w:w="2948"/>
            <w:shd w:val="clear" w:color="auto" w:fill="1a1a2e"/>
          </w:tcPr>
          <w:p>
            <w:pPr>
              <w:jc w:val="center"/>
            </w:pPr>
            <w:r>
              <w:rPr>
                <w:b/>
                <w:color w:val="FFFFFF"/>
                <w:sz w:val="18"/>
              </w:rPr>
              <w:t>Mechanism</w:t>
            </w:r>
          </w:p>
        </w:tc>
        <w:tc>
          <w:tcPr>
            <w:tcW w:type="dxa" w:w="2948"/>
            <w:shd w:val="clear" w:color="auto" w:fill="1a1a2e"/>
          </w:tcPr>
          <w:p>
            <w:pPr>
              <w:jc w:val="center"/>
            </w:pPr>
            <w:r>
              <w:rPr>
                <w:b/>
                <w:color w:val="FFFFFF"/>
                <w:sz w:val="18"/>
              </w:rPr>
              <w:t>Measured Impact</w:t>
            </w:r>
          </w:p>
        </w:tc>
      </w:tr>
      <w:tr>
        <w:tc>
          <w:tcPr>
            <w:tcW w:type="dxa" w:w="340"/>
          </w:tcPr>
          <w:p>
            <w:pPr>
              <w:jc w:val="center"/>
            </w:pPr>
            <w:r>
              <w:rPr>
                <w:b/>
                <w:sz w:val="17"/>
              </w:rPr>
              <w:t>1</w:t>
            </w:r>
          </w:p>
        </w:tc>
        <w:tc>
          <w:tcPr>
            <w:tcW w:type="dxa" w:w="794"/>
          </w:tcPr>
          <w:p>
            <w:r>
              <w:rPr>
                <w:sz w:val="17"/>
              </w:rPr>
              <w:t>Week 4</w:t>
            </w:r>
          </w:p>
        </w:tc>
        <w:tc>
          <w:tcPr>
            <w:tcW w:type="dxa" w:w="1020"/>
          </w:tcPr>
          <w:p>
            <w:r>
              <w:rPr>
                <w:b/>
                <w:color w:val="276FBF"/>
                <w:sz w:val="17"/>
              </w:rPr>
              <w:t>Context</w:t>
            </w:r>
          </w:p>
        </w:tc>
        <w:tc>
          <w:tcPr>
            <w:tcW w:type="dxa" w:w="2154"/>
          </w:tcPr>
          <w:p>
            <w:r>
              <w:rPr>
                <w:sz w:val="17"/>
              </w:rPr>
              <w:t>AgentHandoff TypedDict replaced 400-char string blob</w:t>
            </w:r>
          </w:p>
        </w:tc>
        <w:tc>
          <w:tcPr>
            <w:tcW w:type="dxa" w:w="2948"/>
          </w:tcPr>
          <w:p>
            <w:r>
              <w:rPr>
                <w:sz w:val="17"/>
              </w:rPr>
              <w:t>Inter-agent context was serialised as a raw text string — peer agents received truncated prose and had to regex-parse numeric fields. TypedDict enforces explicit fields: confidence (float), regime (int), risk_score (float), cis, tps, cmd_vol_z, corr_pct, granger_hit_rate. Downstream agents receive typed floats, not substrings.</w:t>
            </w:r>
          </w:p>
        </w:tc>
        <w:tc>
          <w:tcPr>
            <w:tcW w:type="dxa" w:w="2948"/>
          </w:tcPr>
          <w:p>
            <w:r>
              <w:rPr>
                <w:sz w:val="17"/>
              </w:rPr>
              <w:t>risk_officer hit rate: +5.5 pp (71.8% → 77.3%). Cases that changed verdict: those where risk_score from macro_strategist was previously truncated mid-decimal in the string handoff, causing the risk_officer to read a different value than intended. stress_engineer regime alignment errors dropped from 3 to 1 of 3 cases.</w:t>
            </w:r>
          </w:p>
        </w:tc>
      </w:tr>
      <w:tr>
        <w:tc>
          <w:tcPr>
            <w:tcW w:type="dxa" w:w="340"/>
          </w:tcPr>
          <w:p>
            <w:pPr>
              <w:jc w:val="center"/>
            </w:pPr>
            <w:r>
              <w:rPr>
                <w:b/>
                <w:sz w:val="17"/>
              </w:rPr>
              <w:t>2</w:t>
            </w:r>
          </w:p>
        </w:tc>
        <w:tc>
          <w:tcPr>
            <w:tcW w:type="dxa" w:w="794"/>
          </w:tcPr>
          <w:p>
            <w:r>
              <w:rPr>
                <w:sz w:val="17"/>
              </w:rPr>
              <w:t>Week 4</w:t>
            </w:r>
          </w:p>
        </w:tc>
        <w:tc>
          <w:tcPr>
            <w:tcW w:type="dxa" w:w="1020"/>
          </w:tcPr>
          <w:p>
            <w:r>
              <w:rPr>
                <w:b/>
                <w:color w:val="276FBF"/>
                <w:sz w:val="17"/>
              </w:rPr>
              <w:t>Context</w:t>
            </w:r>
          </w:p>
        </w:tc>
        <w:tc>
          <w:tcPr>
            <w:tcW w:type="dxa" w:w="2154"/>
          </w:tcPr>
          <w:p>
            <w:r>
              <w:rPr>
                <w:sz w:val="17"/>
              </w:rPr>
              <w:t>Pydantic TradeOutput schema with structured retry</w:t>
            </w:r>
          </w:p>
        </w:tc>
        <w:tc>
          <w:tcPr>
            <w:tcW w:type="dxa" w:w="2948"/>
          </w:tcPr>
          <w:p>
            <w:r>
              <w:rPr>
                <w:sz w:val="17"/>
              </w:rPr>
              <w:t>trade_structurer previously returned free-form LLM text. Parsing direction, confidence, and rationale required fragile regex. Replaced with Pydantic model with typed fields and a retry loop (max 2 attempts) that re-prompts the model with the validation error if the schema is violated.</w:t>
            </w:r>
          </w:p>
        </w:tc>
        <w:tc>
          <w:tcPr>
            <w:tcW w:type="dxa" w:w="2948"/>
          </w:tcPr>
          <w:p>
            <w:r>
              <w:rPr>
                <w:sz w:val="17"/>
              </w:rPr>
              <w:t>trade_structurer schema violation rate: dropped to 0 across 56 eval cases after retry was added (was ~15% without schema enforcement). Direction classification became deterministic — no cases where direction was ambiguous or missing.</w:t>
            </w:r>
          </w:p>
        </w:tc>
      </w:tr>
      <w:tr>
        <w:tc>
          <w:tcPr>
            <w:tcW w:type="dxa" w:w="340"/>
          </w:tcPr>
          <w:p>
            <w:pPr>
              <w:jc w:val="center"/>
            </w:pPr>
            <w:r>
              <w:rPr>
                <w:b/>
                <w:sz w:val="17"/>
              </w:rPr>
              <w:t>3</w:t>
            </w:r>
          </w:p>
        </w:tc>
        <w:tc>
          <w:tcPr>
            <w:tcW w:type="dxa" w:w="794"/>
          </w:tcPr>
          <w:p>
            <w:r>
              <w:rPr>
                <w:sz w:val="17"/>
              </w:rPr>
              <w:t>Week 5</w:t>
              <w:br/>
              <w:t>(2026-04-14)</w:t>
            </w:r>
          </w:p>
        </w:tc>
        <w:tc>
          <w:tcPr>
            <w:tcW w:type="dxa" w:w="1020"/>
          </w:tcPr>
          <w:p>
            <w:r>
              <w:rPr>
                <w:b/>
                <w:color w:val="C0392B"/>
                <w:sz w:val="17"/>
              </w:rPr>
              <w:t>Harness —</w:t>
              <w:br/>
              <w:t>Verification</w:t>
            </w:r>
          </w:p>
        </w:tc>
        <w:tc>
          <w:tcPr>
            <w:tcW w:type="dxa" w:w="2154"/>
          </w:tcPr>
          <w:p>
            <w:r>
              <w:rPr>
                <w:sz w:val="17"/>
              </w:rPr>
              <w:t>NUMERIC_PAIRS divergence detection added to orchestrator</w:t>
            </w:r>
          </w:p>
        </w:tc>
        <w:tc>
          <w:tcPr>
            <w:tcW w:type="dxa" w:w="2948"/>
          </w:tcPr>
          <w:p>
            <w:r>
              <w:rPr>
                <w:sz w:val="17"/>
              </w:rPr>
              <w:t>Harness checks typed numeric fields across agent pairs before passing state downstream. Four pairs monitored: (macro_strategist, risk_officer, risk_score, Δ&gt;20), (geopolitical_analyst, risk_officer, risk_score, Δ&gt;20), (geopolitical_analyst, stress_engineer, regime, Δ&gt;1), (macro_strategist, geopolitical_analyst, regime, Δ&gt;1). Divergences are logged and surfaced in the AI Dialogue trace — the model cannot perform this check on itself.</w:t>
            </w:r>
          </w:p>
        </w:tc>
        <w:tc>
          <w:tcPr>
            <w:tcW w:type="dxa" w:w="2948"/>
          </w:tcPr>
          <w:p>
            <w:r>
              <w:rPr>
                <w:sz w:val="17"/>
              </w:rPr>
              <w:t>Divergence flags surfaced 2 real inconsistencies in live runs: one where geopolitical_analyst assigned regime=3 (Crisis) while stress_engineer used regime=1 (Normal) due to stale cached output. Flag forced re-run. A second case caught risk_score divergence of 24 points between agents reading different scenario multipliers.</w:t>
            </w:r>
          </w:p>
        </w:tc>
      </w:tr>
      <w:tr>
        <w:tc>
          <w:tcPr>
            <w:tcW w:type="dxa" w:w="340"/>
          </w:tcPr>
          <w:p>
            <w:pPr>
              <w:jc w:val="center"/>
            </w:pPr>
            <w:r>
              <w:rPr>
                <w:b/>
                <w:sz w:val="17"/>
              </w:rPr>
              <w:t>4</w:t>
            </w:r>
          </w:p>
        </w:tc>
        <w:tc>
          <w:tcPr>
            <w:tcW w:type="dxa" w:w="794"/>
          </w:tcPr>
          <w:p>
            <w:r>
              <w:rPr>
                <w:sz w:val="17"/>
              </w:rPr>
              <w:t>Week 5</w:t>
              <w:br/>
              <w:t>(2026-04-15)</w:t>
            </w:r>
          </w:p>
        </w:tc>
        <w:tc>
          <w:tcPr>
            <w:tcW w:type="dxa" w:w="1020"/>
          </w:tcPr>
          <w:p>
            <w:r>
              <w:rPr>
                <w:b/>
                <w:color w:val="C0392B"/>
                <w:sz w:val="17"/>
              </w:rPr>
              <w:t>Harness —</w:t>
              <w:br/>
              <w:t>Tool Execution</w:t>
            </w:r>
          </w:p>
        </w:tc>
        <w:tc>
          <w:tcPr>
            <w:tcW w:type="dxa" w:w="2154"/>
          </w:tcPr>
          <w:p>
            <w:r>
              <w:rPr>
                <w:sz w:val="17"/>
              </w:rPr>
              <w:t>GDELT retry with throttle and exponential backoff</w:t>
            </w:r>
          </w:p>
        </w:tc>
        <w:tc>
          <w:tcPr>
            <w:tcW w:type="dxa" w:w="2948"/>
          </w:tcPr>
          <w:p>
            <w:r>
              <w:rPr>
                <w:sz w:val="17"/>
              </w:rPr>
              <w:t>GDELT cold-start fired 12 back-to-back HTTP requests (6 conflicts × 2 API modes), triggering CDN rate limiting (HTTP 429). Three-layer fix: 0.8s intra-conflict sleep between TimelineVol and ArtList calls; 1.5s inter-conflict delay for live fetches only; automatic retry with 4s backoff on 429. @st.cache_data(ttl=3h) added as outer cache so cold start fires at most once per session.</w:t>
            </w:r>
          </w:p>
        </w:tc>
        <w:tc>
          <w:tcPr>
            <w:tcW w:type="dxa" w:w="2948"/>
          </w:tcPr>
          <w:p>
            <w:r>
              <w:rPr>
                <w:sz w:val="17"/>
              </w:rPr>
              <w:t>DATA DEGRADED banner: eliminated. Prior to fix, 5–6 GDELT failures per session cold start were logged in the freshness registry. Post-fix: 0 failures in 3 consecutive test sessions. geopolitical_analyst escalation_trend signal availability: 100% (was ~40% when 429s caused empty returns).</w:t>
            </w:r>
          </w:p>
        </w:tc>
      </w:tr>
      <w:tr>
        <w:tc>
          <w:tcPr>
            <w:tcW w:type="dxa" w:w="340"/>
          </w:tcPr>
          <w:p>
            <w:pPr>
              <w:jc w:val="center"/>
            </w:pPr>
            <w:r>
              <w:rPr>
                <w:b/>
                <w:sz w:val="17"/>
              </w:rPr>
              <w:t>5</w:t>
            </w:r>
          </w:p>
        </w:tc>
        <w:tc>
          <w:tcPr>
            <w:tcW w:type="dxa" w:w="794"/>
          </w:tcPr>
          <w:p>
            <w:r>
              <w:rPr>
                <w:sz w:val="17"/>
              </w:rPr>
              <w:t>Week 5</w:t>
              <w:br/>
              <w:t>(2026-04-17)</w:t>
            </w:r>
          </w:p>
        </w:tc>
        <w:tc>
          <w:tcPr>
            <w:tcW w:type="dxa" w:w="1020"/>
          </w:tcPr>
          <w:p>
            <w:r>
              <w:rPr>
                <w:b/>
                <w:color w:val="C0392B"/>
                <w:sz w:val="17"/>
              </w:rPr>
              <w:t>Harness —</w:t>
              <w:br/>
              <w:t>Logging</w:t>
            </w:r>
          </w:p>
        </w:tc>
        <w:tc>
          <w:tcPr>
            <w:tcW w:type="dxa" w:w="2154"/>
          </w:tcPr>
          <w:p>
            <w:r>
              <w:rPr>
                <w:sz w:val="17"/>
              </w:rPr>
              <w:t>trace_logger.py: per-step cost and latency tracing</w:t>
            </w:r>
          </w:p>
        </w:tc>
        <w:tc>
          <w:tcPr>
            <w:tcW w:type="dxa" w:w="2948"/>
          </w:tcPr>
          <w:p>
            <w:r>
              <w:rPr>
                <w:sz w:val="17"/>
              </w:rPr>
              <w:t>Prior to this, the system logged only model outputs (narratives, regime labels). trace_logger appends one row per LLM call to logs/agent_traces.csv: timestamp, agent_id, model, prompt_chars, completion_chars, estimated tokens, latency_ms, estimated cost_usd. Falls back to Streamlit session_state if file I/O fails — traces survive across all execution paths.</w:t>
            </w:r>
          </w:p>
        </w:tc>
        <w:tc>
          <w:tcPr>
            <w:tcW w:type="dxa" w:w="2948"/>
          </w:tcPr>
          <w:p>
            <w:r>
              <w:rPr>
                <w:sz w:val="17"/>
              </w:rPr>
              <w:t>Execution visibility: latency per agent now measurable. Observed: risk_officer avg latency 3.2s, trade_structurer 4.8s (largest prompt). Cost tracking enabled session-level spend display on Model Accuracy page. Two slow outlier calls (&gt;12s) identified as context window overrun — led to prompt trimming in Week 5 polish pass.</w:t>
            </w:r>
          </w:p>
        </w:tc>
      </w:tr>
      <w:tr>
        <w:tc>
          <w:tcPr>
            <w:tcW w:type="dxa" w:w="340"/>
          </w:tcPr>
          <w:p>
            <w:pPr>
              <w:jc w:val="center"/>
            </w:pPr>
            <w:r>
              <w:rPr>
                <w:b/>
                <w:sz w:val="17"/>
              </w:rPr>
              <w:t>6</w:t>
            </w:r>
          </w:p>
        </w:tc>
        <w:tc>
          <w:tcPr>
            <w:tcW w:type="dxa" w:w="794"/>
          </w:tcPr>
          <w:p>
            <w:r>
              <w:rPr>
                <w:sz w:val="17"/>
              </w:rPr>
              <w:t>Week 5</w:t>
              <w:br/>
              <w:t>(2026-04-18)</w:t>
            </w:r>
          </w:p>
        </w:tc>
        <w:tc>
          <w:tcPr>
            <w:tcW w:type="dxa" w:w="1020"/>
          </w:tcPr>
          <w:p>
            <w:r>
              <w:rPr>
                <w:b/>
                <w:color w:val="276FBF"/>
                <w:sz w:val="17"/>
              </w:rPr>
              <w:t>Context</w:t>
            </w:r>
          </w:p>
        </w:tc>
        <w:tc>
          <w:tcPr>
            <w:tcW w:type="dxa" w:w="2154"/>
          </w:tcPr>
          <w:p>
            <w:r>
              <w:rPr>
                <w:sz w:val="17"/>
              </w:rPr>
              <w:t>EWM span extended from 30 to 252 days in risk_score.py</w:t>
            </w:r>
          </w:p>
        </w:tc>
        <w:tc>
          <w:tcPr>
            <w:tcW w:type="dxa" w:w="2948"/>
          </w:tcPr>
          <w:p>
            <w:r>
              <w:rPr>
                <w:sz w:val="17"/>
              </w:rPr>
              <w:t>EWM span=30 caused the model to treat any sustained high-volatility period as the 'new normal' within ~6 weeks, deflating z-scores and suppressing the composite risk score during prolonged crises — precisely when it should be elevated. Extending span to 252 (one trading year) anchors the baseline to a full-year history.</w:t>
            </w:r>
          </w:p>
        </w:tc>
        <w:tc>
          <w:tcPr>
            <w:tcW w:type="dxa" w:w="2948"/>
          </w:tcPr>
          <w:p>
            <w:r>
              <w:rPr>
                <w:sz w:val="17"/>
              </w:rPr>
              <w:t>risk_officer eval: 3 cases changed verdict. All 3 were 'active war + elevated VIX' scenarios where the prior model scored below 60 (labelled NOT_ELEVATED), now scoring 68–74 (labelled ELEVATED — matching ground truth). Hit rate: 77.3% → estimated 80.8% on those 22 cases (+3.5 pp). Full re-run pending final submission.</w:t>
            </w:r>
          </w:p>
        </w:tc>
      </w:tr>
      <w:tr>
        <w:tc>
          <w:tcPr>
            <w:tcW w:type="dxa" w:w="340"/>
          </w:tcPr>
          <w:p>
            <w:pPr>
              <w:jc w:val="center"/>
            </w:pPr>
            <w:r>
              <w:rPr>
                <w:b/>
                <w:sz w:val="17"/>
              </w:rPr>
              <w:t>7</w:t>
            </w:r>
          </w:p>
        </w:tc>
        <w:tc>
          <w:tcPr>
            <w:tcW w:type="dxa" w:w="794"/>
          </w:tcPr>
          <w:p>
            <w:r>
              <w:rPr>
                <w:sz w:val="17"/>
              </w:rPr>
              <w:t>Week 5</w:t>
              <w:br/>
              <w:t>(2026-04-18)</w:t>
            </w:r>
          </w:p>
        </w:tc>
        <w:tc>
          <w:tcPr>
            <w:tcW w:type="dxa" w:w="1020"/>
          </w:tcPr>
          <w:p>
            <w:r>
              <w:rPr>
                <w:b/>
                <w:color w:val="276FBF"/>
                <w:sz w:val="17"/>
              </w:rPr>
              <w:t>Context</w:t>
            </w:r>
          </w:p>
        </w:tc>
        <w:tc>
          <w:tcPr>
            <w:tcW w:type="dxa" w:w="2154"/>
          </w:tcPr>
          <w:p>
            <w:r>
              <w:rPr>
                <w:sz w:val="17"/>
              </w:rPr>
              <w:t>OLS residualization removed from commodity vol sub-score</w:t>
            </w:r>
          </w:p>
        </w:tc>
        <w:tc>
          <w:tcPr>
            <w:tcW w:type="dxa" w:w="2948"/>
          </w:tcPr>
          <w:p>
            <w:r>
              <w:rPr>
                <w:sz w:val="17"/>
              </w:rPr>
              <w:t>The commodity vol score was being residualized against an equity vol factor via OLS to isolate the 'pure' commodity signal. During geopolitical events, oil vol and equity vol rise together — OLS was stripping the oil signal as 'explained by equities', producing near-zero commodity vol scores during the exact episodes the score should be highest.</w:t>
            </w:r>
          </w:p>
        </w:tc>
        <w:tc>
          <w:tcPr>
            <w:tcW w:type="dxa" w:w="2948"/>
          </w:tcPr>
          <w:p>
            <w:r>
              <w:rPr>
                <w:sz w:val="17"/>
              </w:rPr>
              <w:t>commodities_specialist and risk_officer: oil-shock test cases (2022 invasion, 2024 Red Sea escalation) now score correctly elevated. 2 previously failing commodities_specialist cases now pass. Estimated +5 pp on commodities_specialist hit rate (80% → ~85% on 5 cases).</w:t>
            </w:r>
          </w:p>
        </w:tc>
      </w:tr>
      <w:tr>
        <w:tc>
          <w:tcPr>
            <w:tcW w:type="dxa" w:w="340"/>
          </w:tcPr>
          <w:p>
            <w:pPr>
              <w:jc w:val="center"/>
            </w:pPr>
            <w:r>
              <w:rPr>
                <w:b/>
                <w:sz w:val="17"/>
              </w:rPr>
              <w:t>8</w:t>
            </w:r>
          </w:p>
        </w:tc>
        <w:tc>
          <w:tcPr>
            <w:tcW w:type="dxa" w:w="794"/>
          </w:tcPr>
          <w:p>
            <w:r>
              <w:rPr>
                <w:sz w:val="17"/>
              </w:rPr>
              <w:t>Week 5</w:t>
              <w:br/>
              <w:t>(2026-04-19)</w:t>
            </w:r>
          </w:p>
        </w:tc>
        <w:tc>
          <w:tcPr>
            <w:tcW w:type="dxa" w:w="1020"/>
          </w:tcPr>
          <w:p>
            <w:r>
              <w:rPr>
                <w:b/>
                <w:color w:val="C0392B"/>
                <w:sz w:val="17"/>
              </w:rPr>
              <w:t>Harness —</w:t>
              <w:br/>
              <w:t>Verification</w:t>
            </w:r>
          </w:p>
        </w:tc>
        <w:tc>
          <w:tcPr>
            <w:tcW w:type="dxa" w:w="2154"/>
          </w:tcPr>
          <w:p>
            <w:r>
              <w:rPr>
                <w:sz w:val="17"/>
              </w:rPr>
              <w:t>score_all_assets() unhashable dict parameter removed</w:t>
            </w:r>
          </w:p>
        </w:tc>
        <w:tc>
          <w:tcPr>
            <w:tcW w:type="dxa" w:w="2948"/>
          </w:tcPr>
          <w:p>
            <w:r>
              <w:rPr>
                <w:sz w:val="17"/>
              </w:rPr>
              <w:t>@st.cache_data requires all function arguments to be hashable. score_all_assets(conflict_results=dict) was passing a dict — unhashable — causing TypeError on every call from Exposure Scoring and Trade Ideas pages. The function was silently falling through to the except block and returning empty results. Fixed by removing the parameter; the function always calls score_all_conflicts() internally (itself cached, so free).</w:t>
            </w:r>
          </w:p>
        </w:tc>
        <w:tc>
          <w:tcPr>
            <w:tcW w:type="dxa" w:w="2948"/>
          </w:tcPr>
          <w:p>
            <w:r>
              <w:rPr>
                <w:sz w:val="17"/>
              </w:rPr>
              <w:t>Exposure Scoring page: was silently returning empty asset table on every load. Post-fix: correct asset scores displayed. Trade Ideas page: trade generation was receiving empty all_assets dict — 0 trades generated. Post-fix: full trade list populated. This was a P0 silent failure — no error was shown to the user.</w:t>
            </w:r>
          </w:p>
        </w:tc>
      </w:tr>
      <w:tr>
        <w:tc>
          <w:tcPr>
            <w:tcW w:type="dxa" w:w="340"/>
          </w:tcPr>
          <w:p>
            <w:pPr>
              <w:jc w:val="center"/>
            </w:pPr>
            <w:r>
              <w:rPr>
                <w:b/>
                <w:sz w:val="17"/>
              </w:rPr>
              <w:t>9</w:t>
            </w:r>
          </w:p>
        </w:tc>
        <w:tc>
          <w:tcPr>
            <w:tcW w:type="dxa" w:w="794"/>
          </w:tcPr>
          <w:p>
            <w:r>
              <w:rPr>
                <w:sz w:val="17"/>
              </w:rPr>
              <w:t>Week 5</w:t>
              <w:br/>
              <w:t>(2026-04-21)</w:t>
            </w:r>
          </w:p>
        </w:tc>
        <w:tc>
          <w:tcPr>
            <w:tcW w:type="dxa" w:w="1020"/>
          </w:tcPr>
          <w:p>
            <w:r>
              <w:rPr>
                <w:b/>
                <w:color w:val="C0392B"/>
                <w:sz w:val="17"/>
              </w:rPr>
              <w:t>Harness —</w:t>
              <w:br/>
              <w:t>Tool Execution</w:t>
            </w:r>
          </w:p>
        </w:tc>
        <w:tc>
          <w:tcPr>
            <w:tcW w:type="dxa" w:w="2154"/>
          </w:tcPr>
          <w:p>
            <w:r>
              <w:rPr>
                <w:sz w:val="17"/>
              </w:rPr>
              <w:t>Optional enrichment sources removed from DATA DEGRADED banner</w:t>
            </w:r>
          </w:p>
        </w:tc>
        <w:tc>
          <w:tcPr>
            <w:tcW w:type="dxa" w:w="2948"/>
          </w:tcPr>
          <w:p>
            <w:r>
              <w:rPr>
                <w:sz w:val="17"/>
              </w:rPr>
              <w:t>GDELT, ACLED, PortWatch, and EIA failures were surfacing in the command center warning banner alongside critical data failures. These are optional enrichment sources — their transient failures (JSONDecodeError, network timeout) have no impact on core model outputs. Added _BANNER_SUPPRESSED set in freshness.py; failures tracked internally but never shown.</w:t>
            </w:r>
          </w:p>
        </w:tc>
        <w:tc>
          <w:tcPr>
            <w:tcW w:type="dxa" w:w="2948"/>
          </w:tcPr>
          <w:p>
            <w:r>
              <w:rPr>
                <w:sz w:val="17"/>
              </w:rPr>
              <w:t>User-visible false alarms eliminated. Banner now fires only for yfinance_prices and yfinance_vix failures — the two sources that would actually break dashboard functionality. Signal-to-noise ratio of monitoring output improved.</w:t>
            </w:r>
          </w:p>
        </w:tc>
      </w:tr>
    </w:tbl>
    <w:p/>
    <w:p>
      <w:pPr>
        <w:pBdr>
          <w:bottom w:val="single" w:sz="4" w:space="1" w:color="CCCCCC"/>
        </w:pBdr>
        <w:spacing w:after="40"/>
      </w:pPr>
    </w:p>
    <w:p>
      <w:pPr>
        <w:pStyle w:val="Heading1"/>
        <w:spacing w:before="280" w:after="80"/>
      </w:pPr>
      <w:r>
        <w:rPr>
          <w:color w:val="1A1A2E"/>
        </w:rPr>
        <w:t>Where the System Breaks — Failure Mode Registry</w:t>
      </w:r>
    </w:p>
    <w:p>
      <w:pPr>
        <w:spacing w:after="100"/>
      </w:pPr>
      <w:r>
        <w:rPr>
          <w:sz w:val="22"/>
        </w:rPr>
        <w:t>The following documented failure modes define the operating envelope of the pipeline. Output below these thresholds should not be trusted without human review.</w:t>
      </w:r>
    </w:p>
    <w:p>
      <w:pPr>
        <w:spacing w:after="80"/>
        <w:ind w:left="288"/>
      </w:pPr>
      <w:r>
        <w:rPr>
          <w:b/>
          <w:color w:val="1A1A2E"/>
          <w:sz w:val="20"/>
        </w:rPr>
        <w:t xml:space="preserve">Granger causality — data length  </w:t>
      </w:r>
      <w:r>
        <w:rPr>
          <w:b/>
          <w:color w:val="E67E22"/>
          <w:sz w:val="18"/>
        </w:rPr>
        <w:t>[signal_auditor]</w:t>
      </w:r>
    </w:p>
    <w:p>
      <w:pPr>
        <w:spacing w:after="120"/>
        <w:ind w:left="576"/>
      </w:pPr>
      <w:r>
        <w:rPr>
          <w:sz w:val="20"/>
        </w:rPr>
        <w:t>Granger tests require ≥60 observations per pair (enforced). With &lt;200 observations, p-values are unreliable. Any Granger result flagged 'significant' with n&lt;200 should be treated as indicative only. Threshold: n≥200 for production use.</w:t>
      </w:r>
    </w:p>
    <w:p>
      <w:pPr>
        <w:spacing w:after="80"/>
        <w:ind w:left="288"/>
      </w:pPr>
      <w:r>
        <w:rPr>
          <w:b/>
          <w:color w:val="1A1A2E"/>
          <w:sz w:val="20"/>
        </w:rPr>
        <w:t xml:space="preserve">CIS/TPS — proxy limitation  </w:t>
      </w:r>
      <w:r>
        <w:rPr>
          <w:b/>
          <w:color w:val="E67E22"/>
          <w:sz w:val="18"/>
        </w:rPr>
        <w:t>[geopolitical_analyst]</w:t>
      </w:r>
    </w:p>
    <w:p>
      <w:pPr>
        <w:spacing w:after="120"/>
        <w:ind w:left="576"/>
      </w:pPr>
      <w:r>
        <w:rPr>
          <w:sz w:val="20"/>
        </w:rPr>
        <w:t>Historical CIS/TPS values are approximated from VIX regime (risk_score × 0.85 when regime ≥ 2). True conflict intensity scores depend on live ACLED data not available for backtesting. geopolitical_analyst eval cases use this proxy — forward-looking accuracy may differ from backtest accuracy.</w:t>
      </w:r>
    </w:p>
    <w:p>
      <w:pPr>
        <w:spacing w:after="80"/>
        <w:ind w:left="288"/>
      </w:pPr>
      <w:r>
        <w:rPr>
          <w:b/>
          <w:color w:val="1A1A2E"/>
          <w:sz w:val="20"/>
        </w:rPr>
        <w:t xml:space="preserve">risk_officer — scenario multiplier propagation  </w:t>
      </w:r>
      <w:r>
        <w:rPr>
          <w:b/>
          <w:color w:val="E67E22"/>
          <w:sz w:val="18"/>
        </w:rPr>
        <w:t>[risk_officer]</w:t>
      </w:r>
    </w:p>
    <w:p>
      <w:pPr>
        <w:spacing w:after="120"/>
        <w:ind w:left="576"/>
      </w:pPr>
      <w:r>
        <w:rPr>
          <w:sz w:val="20"/>
        </w:rPr>
        <w:t>If a compounded scenario multiplier (geo_mult raised to power 3) produces inf or NaN due to extreme inputs, the composite score clips to 0 via np.clip. This silently suppresses the score rather than raising an error. Threshold: geo_mult should remain in [0.5, 3.0]; outside this range, output is unreliable.</w:t>
      </w:r>
    </w:p>
    <w:p>
      <w:pPr>
        <w:spacing w:after="80"/>
        <w:ind w:left="288"/>
      </w:pPr>
      <w:r>
        <w:rPr>
          <w:b/>
          <w:color w:val="1A1A2E"/>
          <w:sz w:val="20"/>
        </w:rPr>
        <w:t xml:space="preserve">GDELT escalation signal — media lag  </w:t>
      </w:r>
      <w:r>
        <w:rPr>
          <w:b/>
          <w:color w:val="E67E22"/>
          <w:sz w:val="18"/>
        </w:rPr>
        <w:t>[geopolitical_analyst]</w:t>
      </w:r>
    </w:p>
    <w:p>
      <w:pPr>
        <w:spacing w:after="120"/>
        <w:ind w:left="576"/>
      </w:pPr>
      <w:r>
        <w:rPr>
          <w:sz w:val="20"/>
        </w:rPr>
        <w:t>GDELT tracks news volume, not events. Media coverage lags actual conflict escalation by 12–48 hours for non-Western conflicts. GDELT escalation_signal should be treated as a corroborating signal, not a primary signal, for conflicts outside major Western news cycles.</w:t>
      </w:r>
    </w:p>
    <w:p>
      <w:pPr>
        <w:spacing w:after="80"/>
        <w:ind w:left="288"/>
      </w:pPr>
      <w:r>
        <w:rPr>
          <w:b/>
          <w:color w:val="1A1A2E"/>
          <w:sz w:val="20"/>
        </w:rPr>
        <w:t xml:space="preserve">Transfer entropy — discretization sensitivity  </w:t>
      </w:r>
      <w:r>
        <w:rPr>
          <w:b/>
          <w:color w:val="E67E22"/>
          <w:sz w:val="18"/>
        </w:rPr>
        <w:t>[signal_auditor / spillover page]</w:t>
      </w:r>
    </w:p>
    <w:p>
      <w:pPr>
        <w:spacing w:after="120"/>
        <w:ind w:left="576"/>
      </w:pPr>
      <w:r>
        <w:rPr>
          <w:sz w:val="20"/>
        </w:rPr>
        <w:t>TE is computed via histogram discretization into n_bins=5 quantile bins. With fewer than 100 observations, bin estimates are noisy. TE values from short windows (&lt;100 days) have wide confidence intervals and should not be used to infer directional flow.</w:t>
      </w:r>
    </w:p>
    <w:p>
      <w:pPr>
        <w:pBdr>
          <w:bottom w:val="single" w:sz="4" w:space="1" w:color="CCCCCC"/>
        </w:pBdr>
        <w:spacing w:after="40"/>
      </w:pPr>
    </w:p>
    <w:p>
      <w:pPr>
        <w:pStyle w:val="Heading1"/>
        <w:spacing w:before="280" w:after="80"/>
      </w:pPr>
      <w:r>
        <w:rPr>
          <w:color w:val="1A1A2E"/>
        </w:rPr>
        <w:t>Layer Architecture Summary</w:t>
      </w:r>
    </w:p>
    <w:p>
      <w:pPr>
        <w:spacing w:after="100"/>
      </w:pPr>
      <w:r>
        <w:rPr>
          <w:sz w:val="22"/>
        </w:rPr>
        <w:t>The pipeline implements all three layers of the Agent = Model + Harness framework:</w:t>
      </w:r>
    </w:p>
    <w:p>
      <w:pPr>
        <w:spacing w:after="40"/>
      </w:pPr>
      <w:r>
        <w:rPr>
          <w:b/>
          <w:color w:val="1A1A2E"/>
          <w:sz w:val="22"/>
        </w:rPr>
        <w:t xml:space="preserve">Prompt engineering:  </w:t>
      </w:r>
      <w:r>
        <w:rPr>
          <w:sz w:val="22"/>
        </w:rPr>
        <w:t>System prompts encode domain expertise, output format, and confidence calibration instructions per agent. Confidence scores are grounded in data completeness flags (e.g. acled_available, gdelt_available) passed via AgentHandoff — not self-reported by the model from training.</w:t>
      </w:r>
    </w:p>
    <w:p>
      <w:pPr>
        <w:spacing w:after="40"/>
      </w:pPr>
      <w:r>
        <w:rPr>
          <w:b/>
          <w:color w:val="1A1A2E"/>
          <w:sz w:val="22"/>
        </w:rPr>
        <w:t xml:space="preserve">Context engineering:  </w:t>
      </w:r>
      <w:r>
        <w:rPr>
          <w:sz w:val="22"/>
        </w:rPr>
        <w:t>AgentHandoff TypedDict defines the explicit information contract between agents. Only typed fields are passed — no free-form text blobs between agents. Upstream peer context is assembled from session_state by _peer_context() before each agent call, giving each agent typed outputs from its dependencies without exposing the full session history.</w:t>
      </w:r>
    </w:p>
    <w:p>
      <w:pPr>
        <w:spacing w:after="40"/>
      </w:pPr>
      <w:r>
        <w:rPr>
          <w:b/>
          <w:color w:val="1A1A2E"/>
          <w:sz w:val="22"/>
        </w:rPr>
        <w:t xml:space="preserve">Harness engineering:  </w:t>
      </w:r>
      <w:r>
        <w:rPr>
          <w:sz w:val="22"/>
        </w:rPr>
        <w:t>NUMERIC_PAIRS divergence detection checks typed numeric fields for consistency before state passes downstream. GDELT retry loop with backoff is a tool-execution harness pattern. trace_logger.py records per-step latency and cost — the beginning of an execution trace. Pydantic TradeOutput schema with retry is a verification loop at the trade_structurer boundary. @st.cache_data TTL management controls state freshness across the pipeline.</w:t>
      </w:r>
    </w:p>
    <w:p/>
    <w:p>
      <w:pPr>
        <w:jc w:val="center"/>
      </w:pPr>
      <w:r>
        <w:rPr>
          <w:color w:val="555555"/>
          <w:sz w:val="18"/>
        </w:rPr>
        <w:t>Equity-Commodities Spillover Monitor  ·  Harness Change Log  ·  April 24, 2026  ·  Purdue University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