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spacing w:before="0" w:after="80"/>
      </w:pPr>
      <w:r>
        <w:rPr>
          <w:b/>
          <w:i w:val="0"/>
          <w:color w:val="1A1F2E"/>
          <w:sz w:val="40"/>
        </w:rPr>
        <w:t>EQUITY-COMMODITIES SPILLOVER MONITOR</w:t>
      </w:r>
    </w:p>
    <w:p>
      <w:pPr>
        <w:jc w:val="center"/>
        <w:spacing w:before="0" w:after="80"/>
      </w:pPr>
      <w:r>
        <w:rPr>
          <w:b w:val="0"/>
          <w:i w:val="0"/>
          <w:color w:val="8890A1"/>
          <w:sz w:val="22"/>
        </w:rPr>
        <w:t>Presentation Script — Live Demo Walkthrough</w:t>
      </w:r>
    </w:p>
    <w:p>
      <w:pPr>
        <w:jc w:val="center"/>
        <w:spacing w:before="0" w:after="120"/>
      </w:pPr>
      <w:r>
        <w:rPr>
          <w:b w:val="0"/>
          <w:i/>
          <w:color w:val="C9A84C"/>
          <w:sz w:val="18"/>
        </w:rPr>
        <w:t>Purdue University  ·  Daniels School of Business  ·  MGMT 69000-120</w:t>
      </w:r>
    </w:p>
    <w:p>
      <w:pPr>
        <w:jc w:val="center"/>
        <w:spacing w:before="40" w:after="120"/>
      </w:pPr>
      <w:r>
        <w:rPr>
          <w:color w:val="C9A84C"/>
          <w:sz w:val="18"/>
        </w:rPr>
        <w:t>──────────────────────────────────────────</w:t>
      </w:r>
    </w:p>
    <w:p>
      <w:pPr>
        <w:jc w:val="center"/>
        <w:spacing w:before="0" w:after="0"/>
      </w:pPr>
      <w:r>
        <w:rPr>
          <w:b w:val="0"/>
          <w:i w:val="0"/>
          <w:color w:val="8890A1"/>
          <w:sz w:val="20"/>
        </w:rPr>
        <w:t>Heramb S. Patkar  ·  Jiahe Miao  ·  Ilian Zalomai</w:t>
      </w:r>
    </w:p>
    <w:p>
      <w:r>
        <w:br w:type="page"/>
      </w:r>
    </w:p>
    <w:p>
      <w:pPr>
        <w:spacing w:before="320" w:after="20"/>
      </w:pPr>
      <w:r>
        <w:rPr>
          <w:b w:val="0"/>
          <w:color w:val="C9A84C"/>
          <w:sz w:val="14"/>
        </w:rPr>
        <w:t>OPENING — THE TEAM</w:t>
      </w:r>
    </w:p>
    <w:p>
      <w:pPr>
        <w:spacing w:before="20" w:after="80"/>
      </w:pPr>
      <w:r>
        <w:rPr>
          <w:b/>
          <w:color w:val="1A1F2E"/>
          <w:sz w:val="26"/>
        </w:rPr>
        <w:t>Who We Are</w:t>
      </w:r>
    </w:p>
    <w:p>
      <w:pPr>
        <w:spacing w:before="0" w:after="120"/>
      </w:pPr>
      <w:r>
        <w:rPr>
          <w:color w:val="C9A84C"/>
          <w:sz w:val="14"/>
        </w:rPr>
        <w:t>────────────────────────────────────────────────────────────────────────</w:t>
      </w:r>
    </w:p>
    <w:p>
      <w:pPr>
        <w:ind w:left="283" w:right="283"/>
        <w:spacing w:before="0" w:after="140" w:line="280" w:lineRule="exact"/>
      </w:pPr>
      <w:r>
        <w:rPr>
          <w:color w:val="1A1F2E"/>
          <w:sz w:val="19"/>
        </w:rPr>
        <w:t>I'm Heramb — equity research at Axis Securities, NISM-certified, BITS Pilani. Jiahe: capital markets and information systems from Kelley. Ilian: four years fintech risk ops and Deloitte banking consulting in Frankfurt. We built a cross-asset intelligence platform. Let me show you what it does.</w:t>
      </w:r>
    </w:p>
    <w:p>
      <w:pPr>
        <w:spacing w:before="280" w:after="40"/>
        <w:ind w:left="227"/>
      </w:pPr>
      <w:r>
        <w:rPr>
          <w:i/>
          <w:color w:val="C9A84C"/>
          <w:sz w:val="17"/>
        </w:rPr>
        <w:t>→  Navigate to: Overview  |  Start at the top of the page, scroll slowly downward</w:t>
      </w:r>
    </w:p>
    <w:p>
      <w:pPr>
        <w:spacing w:before="40" w:after="20"/>
      </w:pPr>
      <w:r>
        <w:rPr>
          <w:b w:val="0"/>
          <w:color w:val="C9A84C"/>
          <w:sz w:val="14"/>
        </w:rPr>
        <w:t>USE CASE 1 — OVERVIEW</w:t>
      </w:r>
    </w:p>
    <w:p>
      <w:pPr>
        <w:spacing w:before="20" w:after="80"/>
      </w:pPr>
      <w:r>
        <w:rPr>
          <w:b/>
          <w:color w:val="1A1F2E"/>
          <w:sz w:val="26"/>
        </w:rPr>
        <w:t>"What is happening in markets right now?"</w:t>
      </w:r>
    </w:p>
    <w:p>
      <w:pPr>
        <w:spacing w:before="0" w:after="120"/>
      </w:pPr>
      <w:r>
        <w:rPr>
          <w:color w:val="C9A84C"/>
          <w:sz w:val="14"/>
        </w:rPr>
        <w:t>────────────────────────────────────────────────────────────────────────</w:t>
      </w:r>
    </w:p>
    <w:p>
      <w:pPr>
        <w:ind w:left="283" w:right="283"/>
        <w:spacing w:before="0" w:after="140" w:line="280" w:lineRule="exact"/>
      </w:pPr>
      <w:r>
        <w:rPr>
          <w:color w:val="1A1F2E"/>
          <w:sz w:val="19"/>
        </w:rPr>
        <w:t>This is your morning brief. Before you've touched anything: the current correlation regime, a live 0-to-100 risk score, best and worst performers across 15 equity indices and 17 commodity futures, and whether your equity-bond hedge is still intact.</w:t>
      </w:r>
    </w:p>
    <w:p>
      <w:pPr>
        <w:ind w:left="283" w:right="283"/>
        <w:spacing w:before="0" w:after="140" w:line="280" w:lineRule="exact"/>
      </w:pPr>
      <w:r>
        <w:rPr>
          <w:color w:val="1A1F2E"/>
          <w:sz w:val="19"/>
        </w:rPr>
        <w:t>Scroll down — right here is a full briefing written by seven AI agents that ran before you opened the page. Macro context, geopolitical risk, commodities outlook, trade ideas, stress assessment. Two hours of analyst work. Every morning. On every load. Zero manual effort.</w:t>
      </w:r>
    </w:p>
    <w:p>
      <w:pPr>
        <w:ind w:left="283"/>
        <w:spacing w:before="0" w:after="80"/>
      </w:pPr>
      <w:r>
        <w:rPr>
          <w:i/>
          <w:color w:val="8890A1"/>
          <w:sz w:val="16"/>
        </w:rPr>
        <w:t>▶  Point to: regime badge, risk score gauge, and the Risk Officer briefing block.</w:t>
      </w:r>
    </w:p>
    <w:p>
      <w:pPr>
        <w:spacing w:before="280" w:after="40"/>
        <w:ind w:left="227"/>
      </w:pPr>
      <w:r>
        <w:rPr>
          <w:i/>
          <w:color w:val="C9A84C"/>
          <w:sz w:val="17"/>
        </w:rPr>
        <w:t>→  Navigate to: Strategy → Portfolio Stress Test  |  Add 3-4 assets live</w:t>
      </w:r>
    </w:p>
    <w:p>
      <w:pPr>
        <w:spacing w:before="40" w:after="20"/>
      </w:pPr>
      <w:r>
        <w:rPr>
          <w:b w:val="0"/>
          <w:color w:val="C9A84C"/>
          <w:sz w:val="14"/>
        </w:rPr>
        <w:t>USE CASE 2 — PORTFOLIO STRESS TEST</w:t>
      </w:r>
    </w:p>
    <w:p>
      <w:pPr>
        <w:spacing w:before="20" w:after="80"/>
      </w:pPr>
      <w:r>
        <w:rPr>
          <w:b/>
          <w:color w:val="1A1F2E"/>
          <w:sz w:val="26"/>
        </w:rPr>
        <w:t>"My portfolio is down — have I seen this before?"</w:t>
      </w:r>
    </w:p>
    <w:p>
      <w:pPr>
        <w:spacing w:before="0" w:after="120"/>
      </w:pPr>
      <w:r>
        <w:rPr>
          <w:color w:val="C9A84C"/>
          <w:sz w:val="14"/>
        </w:rPr>
        <w:t>────────────────────────────────────────────────────────────────────────</w:t>
      </w:r>
    </w:p>
    <w:p>
      <w:pPr>
        <w:ind w:left="283" w:right="283"/>
        <w:spacing w:before="0" w:after="140" w:line="280" w:lineRule="exact"/>
      </w:pPr>
      <w:r>
        <w:rPr>
          <w:color w:val="1A1F2E"/>
          <w:sz w:val="19"/>
        </w:rPr>
        <w:t>Build your allocation here — any mix of equity indices, commodities, fixed income, or individual S&amp;P 500 stocks. Hit run.</w:t>
      </w:r>
    </w:p>
    <w:p>
      <w:pPr>
        <w:ind w:left="283" w:right="283"/>
        <w:spacing w:before="0" w:after="140" w:line="280" w:lineRule="exact"/>
      </w:pPr>
      <w:r>
        <w:rPr>
          <w:color w:val="1A1F2E"/>
          <w:sz w:val="19"/>
        </w:rPr>
        <w:t>The platform tests it against every major shock since 2008 — GFC, COVID, Ukraine, the Fed hiking cycle, the LME nickel squeeze. Pre-event, during, post: returns, max drawdown, Sharpe ratio per event. You immediately see whether today's move is a 2022 replay, or something you haven't encountered before.</w:t>
      </w:r>
    </w:p>
    <w:p>
      <w:pPr>
        <w:ind w:left="283"/>
        <w:spacing w:before="0" w:after="80"/>
      </w:pPr>
      <w:r>
        <w:rPr>
          <w:i/>
          <w:color w:val="8890A1"/>
          <w:sz w:val="16"/>
        </w:rPr>
        <w:t>▶  Add S&amp;P 500, Gold, TLT live. Point to the event heatmap after running.</w:t>
      </w:r>
    </w:p>
    <w:p>
      <w:pPr>
        <w:spacing w:before="280" w:after="40"/>
        <w:ind w:left="227"/>
      </w:pPr>
      <w:r>
        <w:rPr>
          <w:i/>
          <w:color w:val="C9A84C"/>
          <w:sz w:val="17"/>
        </w:rPr>
        <w:t>→  Navigate to: Analysis → War Impact Map  |  Switch to Combined view</w:t>
      </w:r>
    </w:p>
    <w:p>
      <w:pPr>
        <w:spacing w:before="40" w:after="20"/>
      </w:pPr>
      <w:r>
        <w:rPr>
          <w:b w:val="0"/>
          <w:color w:val="C9A84C"/>
          <w:sz w:val="14"/>
        </w:rPr>
        <w:t>USE CASE 3 — WAR IMPACT MAP</w:t>
      </w:r>
    </w:p>
    <w:p>
      <w:pPr>
        <w:spacing w:before="20" w:after="80"/>
      </w:pPr>
      <w:r>
        <w:rPr>
          <w:b/>
          <w:color w:val="1A1F2E"/>
          <w:sz w:val="26"/>
        </w:rPr>
        <w:t>"Which markets are exposed to what's happening geopolitically?"</w:t>
      </w:r>
    </w:p>
    <w:p>
      <w:pPr>
        <w:spacing w:before="0" w:after="120"/>
      </w:pPr>
      <w:r>
        <w:rPr>
          <w:color w:val="C9A84C"/>
          <w:sz w:val="14"/>
        </w:rPr>
        <w:t>────────────────────────────────────────────────────────────────────────</w:t>
      </w:r>
    </w:p>
    <w:p>
      <w:pPr>
        <w:ind w:left="283" w:right="283"/>
        <w:spacing w:before="0" w:after="140" w:line="280" w:lineRule="exact"/>
      </w:pPr>
      <w:r>
        <w:rPr>
          <w:color w:val="1A1F2E"/>
          <w:sz w:val="19"/>
        </w:rPr>
        <w:t>195 countries scored by equity market exposure to the three active conflict theaters right now — Ukraine, Gaza, and Iran-Hormuz. This column is the model's exposure score. This column is actual index performance since each conflict started. The gap between them — that's the mispricing.</w:t>
      </w:r>
    </w:p>
    <w:p>
      <w:pPr>
        <w:ind w:left="283" w:right="283"/>
        <w:spacing w:before="0" w:after="140" w:line="280" w:lineRule="exact"/>
      </w:pPr>
      <w:r>
        <w:rPr>
          <w:color w:val="1A1F2E"/>
          <w:sz w:val="19"/>
        </w:rPr>
        <w:t>You're not just watching the news. You're seeing which markets the market hasn't caught up with yet.</w:t>
      </w:r>
    </w:p>
    <w:p>
      <w:pPr>
        <w:ind w:left="283"/>
        <w:spacing w:before="0" w:after="80"/>
      </w:pPr>
      <w:r>
        <w:rPr>
          <w:i/>
          <w:color w:val="8890A1"/>
          <w:sz w:val="16"/>
        </w:rPr>
        <w:t>▶  Hover over a country in the top-25 table. Point to the exposure vs. repricing gap.</w:t>
      </w:r>
    </w:p>
    <w:p>
      <w:pPr>
        <w:spacing w:before="280" w:after="40"/>
        <w:ind w:left="227"/>
      </w:pPr>
      <w:r>
        <w:rPr>
          <w:i/>
          <w:color w:val="C9A84C"/>
          <w:sz w:val="17"/>
        </w:rPr>
        <w:t>→  Navigate to: Strategy → Scenario Engine  |  Click preset: Geopolitical Escalation</w:t>
      </w:r>
    </w:p>
    <w:p>
      <w:pPr>
        <w:spacing w:before="40" w:after="20"/>
      </w:pPr>
      <w:r>
        <w:rPr>
          <w:b w:val="0"/>
          <w:color w:val="C9A84C"/>
          <w:sz w:val="14"/>
        </w:rPr>
        <w:t>USE CASE 4 — SCENARIO ENGINE</w:t>
      </w:r>
    </w:p>
    <w:p>
      <w:pPr>
        <w:spacing w:before="20" w:after="80"/>
      </w:pPr>
      <w:r>
        <w:rPr>
          <w:b/>
          <w:color w:val="1A1F2E"/>
          <w:sz w:val="26"/>
        </w:rPr>
        <w:t>"What does a Hormuz closure actually do to my book?"</w:t>
      </w:r>
    </w:p>
    <w:p>
      <w:pPr>
        <w:spacing w:before="0" w:after="120"/>
      </w:pPr>
      <w:r>
        <w:rPr>
          <w:color w:val="C9A84C"/>
          <w:sz w:val="14"/>
        </w:rPr>
        <w:t>────────────────────────────────────────────────────────────────────────</w:t>
      </w:r>
    </w:p>
    <w:p>
      <w:pPr>
        <w:ind w:left="283" w:right="283"/>
        <w:spacing w:before="0" w:after="140" w:line="280" w:lineRule="exact"/>
      </w:pPr>
      <w:r>
        <w:rPr>
          <w:color w:val="1A1F2E"/>
          <w:sz w:val="19"/>
        </w:rPr>
        <w:t>One click — oil shock, yield spike, credit spread widening, DXY move — propagated through live regression betas to every equity and commodity we cover. VaR and Expected Shortfall at 95 and 99 percent, with a waterfall showing which channel is driving which asset.</w:t>
      </w:r>
    </w:p>
    <w:p>
      <w:pPr>
        <w:ind w:left="283" w:right="283"/>
        <w:spacing w:before="0" w:after="140" w:line="280" w:lineRule="exact"/>
      </w:pPr>
      <w:r>
        <w:rPr>
          <w:color w:val="1A1F2E"/>
          <w:sz w:val="19"/>
        </w:rPr>
        <w:t>You can customize every input or build a custom scenario from scratch. You walk into a risk committee with a number, not a gut feel.</w:t>
      </w:r>
    </w:p>
    <w:p>
      <w:pPr>
        <w:ind w:left="283"/>
        <w:spacing w:before="0" w:after="80"/>
      </w:pPr>
      <w:r>
        <w:rPr>
          <w:i/>
          <w:color w:val="8890A1"/>
          <w:sz w:val="16"/>
        </w:rPr>
        <w:t>▶  Load the preset, let it run, point to the waterfall chart and VaR/ES table.</w:t>
      </w:r>
    </w:p>
    <w:p>
      <w:pPr>
        <w:spacing w:before="280" w:after="40"/>
        <w:ind w:left="227"/>
      </w:pPr>
      <w:r>
        <w:rPr>
          <w:i/>
          <w:color w:val="C9A84C"/>
          <w:sz w:val="17"/>
        </w:rPr>
        <w:t>→  Navigate to: Strategy → Trade Ideas  |  Let the page load with live regime filter</w:t>
      </w:r>
    </w:p>
    <w:p>
      <w:pPr>
        <w:spacing w:before="40" w:after="20"/>
      </w:pPr>
      <w:r>
        <w:rPr>
          <w:b w:val="0"/>
          <w:color w:val="C9A84C"/>
          <w:sz w:val="14"/>
        </w:rPr>
        <w:t>USE CASE 5 — TRADE IDEAS</w:t>
      </w:r>
    </w:p>
    <w:p>
      <w:pPr>
        <w:spacing w:before="20" w:after="80"/>
      </w:pPr>
      <w:r>
        <w:rPr>
          <w:b/>
          <w:color w:val="1A1F2E"/>
          <w:sz w:val="26"/>
        </w:rPr>
        <w:t>"What should I actually do in this regime?"</w:t>
      </w:r>
    </w:p>
    <w:p>
      <w:pPr>
        <w:spacing w:before="0" w:after="120"/>
      </w:pPr>
      <w:r>
        <w:rPr>
          <w:color w:val="C9A84C"/>
          <w:sz w:val="14"/>
        </w:rPr>
        <w:t>────────────────────────────────────────────────────────────────────────</w:t>
      </w:r>
    </w:p>
    <w:p>
      <w:pPr>
        <w:ind w:left="283" w:right="283"/>
        <w:spacing w:before="0" w:after="140" w:line="280" w:lineRule="exact"/>
      </w:pPr>
      <w:r>
        <w:rPr>
          <w:color w:val="1A1F2E"/>
          <w:sz w:val="19"/>
        </w:rPr>
        <w:t>Trade cards are automatically filtered to today's live correlation regime — ideas that are structurally valid right now, not in a different market environment. Each card has a thesis, entry signal, risk consideration, and a live correlation chart confirming the pair relationship is intact today.</w:t>
      </w:r>
    </w:p>
    <w:p>
      <w:pPr>
        <w:ind w:left="283" w:right="283"/>
        <w:spacing w:before="0" w:after="140" w:line="280" w:lineRule="exact"/>
      </w:pPr>
      <w:r>
        <w:rPr>
          <w:color w:val="1A1F2E"/>
          <w:sz w:val="19"/>
        </w:rPr>
        <w:t>The AI Trade Structurer synthesizes macro, geopolitical, stress, and commodities context simultaneously to generate new ideas on demand.</w:t>
      </w:r>
    </w:p>
    <w:p>
      <w:pPr>
        <w:ind w:left="283"/>
        <w:spacing w:before="0" w:after="80"/>
      </w:pPr>
      <w:r>
        <w:rPr>
          <w:i/>
          <w:color w:val="8890A1"/>
          <w:sz w:val="16"/>
        </w:rPr>
        <w:t>▶  Point to the regime label on a trade card. Expand one card fully.</w:t>
      </w:r>
    </w:p>
    <w:p>
      <w:pPr>
        <w:spacing w:before="280" w:after="40"/>
        <w:ind w:left="227"/>
      </w:pPr>
      <w:r>
        <w:rPr>
          <w:i/>
          <w:color w:val="C9A84C"/>
          <w:sz w:val="17"/>
        </w:rPr>
        <w:t>→  Navigate to: Research → AI Analyst  |  Type a live question</w:t>
      </w:r>
    </w:p>
    <w:p>
      <w:pPr>
        <w:spacing w:before="40" w:after="20"/>
      </w:pPr>
      <w:r>
        <w:rPr>
          <w:b w:val="0"/>
          <w:color w:val="C9A84C"/>
          <w:sz w:val="14"/>
        </w:rPr>
        <w:t>USE CASE 6 — AI ANALYST</w:t>
      </w:r>
    </w:p>
    <w:p>
      <w:pPr>
        <w:spacing w:before="20" w:after="80"/>
      </w:pPr>
      <w:r>
        <w:rPr>
          <w:b/>
          <w:color w:val="1A1F2E"/>
          <w:sz w:val="26"/>
        </w:rPr>
        <w:t>"I have a specific question. Get me an answer."</w:t>
      </w:r>
    </w:p>
    <w:p>
      <w:pPr>
        <w:spacing w:before="0" w:after="120"/>
      </w:pPr>
      <w:r>
        <w:rPr>
          <w:color w:val="C9A84C"/>
          <w:sz w:val="14"/>
        </w:rPr>
        <w:t>────────────────────────────────────────────────────────────────────────</w:t>
      </w:r>
    </w:p>
    <w:p>
      <w:pPr>
        <w:ind w:left="283" w:right="283"/>
        <w:spacing w:before="0" w:after="140" w:line="280" w:lineRule="exact"/>
      </w:pPr>
      <w:r>
        <w:rPr>
          <w:color w:val="1A1F2E"/>
          <w:sz w:val="19"/>
        </w:rPr>
        <w:t>Full dashboard state injected into every query — regime, risk score, all live returns, implied vol, active conflicts, and all seven agent outputs.</w:t>
      </w:r>
    </w:p>
    <w:p>
      <w:pPr>
        <w:ind w:left="283" w:right="283"/>
        <w:spacing w:before="0" w:after="140" w:line="280" w:lineRule="exact"/>
      </w:pPr>
      <w:r>
        <w:rPr>
          <w:color w:val="1A1F2E"/>
          <w:sz w:val="19"/>
        </w:rPr>
        <w:t>Ask it: why is copper decoupling from equities right now? Or: does this setup look more like 2019 or 2022? Or: what does a Hormuz closure do to my Japan exposure? Answer in seconds, grounded in what's on this dashboard today.</w:t>
      </w:r>
    </w:p>
    <w:p>
      <w:pPr>
        <w:ind w:left="283"/>
        <w:spacing w:before="0" w:after="80"/>
      </w:pPr>
      <w:r>
        <w:rPr>
          <w:i/>
          <w:color w:val="8890A1"/>
          <w:sz w:val="16"/>
        </w:rPr>
        <w:t>▶  Type a live question relevant to the current regime. Let it answer on screen.</w:t>
      </w:r>
    </w:p>
    <w:p>
      <w:pPr>
        <w:spacing w:before="280" w:after="40"/>
        <w:ind w:left="227"/>
      </w:pPr>
      <w:r>
        <w:rPr>
          <w:i/>
          <w:color w:val="C9A84C"/>
          <w:sz w:val="17"/>
        </w:rPr>
        <w:t>→  Briefly scroll through: Correlation Analysis, Spillover Analytics, Strait Watch</w:t>
      </w:r>
    </w:p>
    <w:p>
      <w:pPr>
        <w:spacing w:before="40" w:after="20"/>
      </w:pPr>
      <w:r>
        <w:rPr>
          <w:b w:val="0"/>
          <w:color w:val="C9A84C"/>
          <w:sz w:val="14"/>
        </w:rPr>
        <w:t>THERE IS MORE</w:t>
      </w:r>
    </w:p>
    <w:p>
      <w:pPr>
        <w:spacing w:before="20" w:after="80"/>
      </w:pPr>
      <w:r>
        <w:rPr>
          <w:b/>
          <w:color w:val="1A1F2E"/>
          <w:sz w:val="26"/>
        </w:rPr>
        <w:t>The Depth Is There — We Just Didn't Lead With It</w:t>
      </w:r>
    </w:p>
    <w:p>
      <w:pPr>
        <w:spacing w:before="0" w:after="120"/>
      </w:pPr>
      <w:r>
        <w:rPr>
          <w:color w:val="C9A84C"/>
          <w:sz w:val="14"/>
        </w:rPr>
        <w:t>────────────────────────────────────────────────────────────────────────</w:t>
      </w:r>
    </w:p>
    <w:p>
      <w:pPr>
        <w:ind w:left="283" w:right="283"/>
        <w:spacing w:before="0" w:after="140" w:line="280" w:lineRule="exact"/>
      </w:pPr>
      <w:r>
        <w:rPr>
          <w:color w:val="1A1F2E"/>
          <w:sz w:val="19"/>
        </w:rPr>
        <w:t>DCC-GARCH correlation regimes, Diebold-Yilmaz spillover networks, Markov regime transition forecasts, Granger causality grids, COT positioning overlays, geopolitical event forensics back to 2008, FRED macro intelligence, maritime chokepoint disruption scores — it is all here.</w:t>
      </w:r>
    </w:p>
    <w:p>
      <w:pPr>
        <w:ind w:left="283" w:right="283"/>
        <w:spacing w:before="0" w:after="140" w:line="280" w:lineRule="exact"/>
      </w:pPr>
      <w:r>
        <w:rPr>
          <w:color w:val="1A1F2E"/>
          <w:sz w:val="19"/>
        </w:rPr>
        <w:t>If a customer gets interested, they can go as deep as they want. These pages don't need a tour. They reward exploration.</w:t>
      </w:r>
    </w:p>
    <w:p>
      <w:pPr>
        <w:spacing w:before="360" w:after="20"/>
      </w:pPr>
      <w:r>
        <w:rPr>
          <w:color w:val="C9A84C"/>
          <w:sz w:val="14"/>
        </w:rPr>
        <w:t>CLOSING</w:t>
      </w:r>
    </w:p>
    <w:p>
      <w:pPr>
        <w:spacing w:before="20" w:after="80"/>
      </w:pPr>
      <w:r>
        <w:rPr>
          <w:b/>
          <w:color w:val="1A1F2E"/>
          <w:sz w:val="26"/>
        </w:rPr>
        <w:t>The Pitch</w:t>
      </w:r>
    </w:p>
    <w:p>
      <w:pPr>
        <w:spacing w:before="0" w:after="120"/>
      </w:pPr>
      <w:r>
        <w:rPr>
          <w:color w:val="C9A84C"/>
          <w:sz w:val="14"/>
        </w:rPr>
        <w:t>────────────────────────────────────────────────────────────────────────</w:t>
      </w:r>
    </w:p>
    <w:p>
      <w:pPr>
        <w:ind w:left="283" w:right="283"/>
        <w:spacing w:before="0" w:after="140" w:line="280" w:lineRule="exact"/>
      </w:pPr>
      <w:r>
        <w:rPr>
          <w:color w:val="1A1F2E"/>
          <w:sz w:val="19"/>
        </w:rPr>
        <w:t>Finance has always had data. What it has never had is synthesis — fifteen equity markets, seventeen commodities, geopolitics, macro, and AI in one coherent view, updated continuously, with no manual work.</w:t>
      </w:r>
    </w:p>
    <w:p>
      <w:pPr>
        <w:ind w:left="283" w:right="283"/>
        <w:spacing w:before="0" w:after="140" w:line="280" w:lineRule="exact"/>
      </w:pPr>
      <w:r>
        <w:rPr>
          <w:color w:val="1A1F2E"/>
          <w:sz w:val="19"/>
        </w:rPr>
        <w:t>That is what this platform does. If any of those use cases resonated, we are happy to go deeper. Questions?</w:t>
      </w:r>
    </w:p>
    <w:sectPr w:rsidR="00FC693F" w:rsidRPr="0006063C" w:rsidSect="00034616">
      <w:pgSz w:w="11906" w:h="16838"/>
      <w:pgMar w:top="1134" w:right="1247" w:bottom="1247" w:left="1247" w:header="720" w:footer="720" w:gutter="0"/>
      <w:cols w:space="720"/>
      <w:docGrid w:linePitch="360"/>
      <w:pgBorders w:offsetFrom="page">
        <w:top w:val="single" w:sz="18" w:space="24" w:color="C9A84C"/>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