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06514CB9" w14:textId="77777777" w:rsidR="00467066" w:rsidRDefault="00467066">
      <w:pPr>
        <w:spacing w:after="0"/>
      </w:pPr>
    </w:p>
    <w:p w14:paraId="77F913B2" w14:textId="77777777" w:rsidR="00467066" w:rsidRDefault="00467066">
      <w:pPr>
        <w:spacing w:after="0"/>
      </w:pPr>
    </w:p>
    <w:p w14:paraId="2975803D" w14:textId="77777777" w:rsidR="00467066" w:rsidRDefault="00467066">
      <w:pPr>
        <w:spacing w:after="0"/>
      </w:pPr>
    </w:p>
    <w:p w14:paraId="1BC55F48" w14:textId="77777777" w:rsidR="00467066" w:rsidRDefault="00467066">
      <w:pPr>
        <w:spacing w:after="0"/>
      </w:pPr>
    </w:p>
    <w:p w14:paraId="7DE50CB1" w14:textId="77777777" w:rsidR="00467066" w:rsidRDefault="00467066">
      <w:pPr>
        <w:spacing w:after="0"/>
      </w:pPr>
    </w:p>
    <w:p w14:paraId="5724E3B3" w14:textId="77777777" w:rsidR="00467066" w:rsidRDefault="00467066">
      <w:pPr>
        <w:spacing w:after="0"/>
      </w:pPr>
    </w:p>
    <w:p w14:paraId="3D403E8B" w14:textId="77777777" w:rsidR="00467066" w:rsidRDefault="00467066">
      <w:pPr>
        <w:spacing w:after="0"/>
      </w:pPr>
    </w:p>
    <w:p w14:paraId="64AC1F47" w14:textId="77777777" w:rsidR="00467066" w:rsidRDefault="00467066">
      <w:pPr>
        <w:spacing w:after="0"/>
      </w:pPr>
    </w:p>
    <w:p w14:paraId="3A38DD41" w14:textId="77777777" w:rsidR="00467066" w:rsidRDefault="00467066">
      <w:pPr>
        <w:pBdr>
          <w:bottom w:val="single" w:sz="18" w:space="4" w:color="C9A84C"/>
        </w:pBdr>
      </w:pPr>
    </w:p>
    <w:p w14:paraId="328CE71F" w14:textId="77777777" w:rsidR="00467066" w:rsidRDefault="00000000">
      <w:pPr>
        <w:spacing w:after="80"/>
        <w:jc w:val="center"/>
      </w:pPr>
      <w:r>
        <w:rPr>
          <w:b/>
          <w:color w:val="FFFFFF"/>
          <w:sz w:val="44"/>
        </w:rPr>
        <w:t>EQUITY-COMMODITIES SPILLOVER MONITOR</w:t>
      </w:r>
    </w:p>
    <w:p w14:paraId="628B684D" w14:textId="77777777" w:rsidR="00467066" w:rsidRDefault="00000000">
      <w:pPr>
        <w:spacing w:after="60"/>
        <w:jc w:val="center"/>
      </w:pPr>
      <w:r>
        <w:rPr>
          <w:color w:val="C9A84C"/>
          <w:sz w:val="26"/>
        </w:rPr>
        <w:t>Research Brief &amp; User Manual</w:t>
      </w:r>
    </w:p>
    <w:p w14:paraId="192D3C39" w14:textId="77777777" w:rsidR="00467066" w:rsidRDefault="00467066">
      <w:pPr>
        <w:pBdr>
          <w:bottom w:val="single" w:sz="6" w:space="4" w:color="C9A84C"/>
        </w:pBdr>
        <w:spacing w:before="60"/>
      </w:pPr>
    </w:p>
    <w:p w14:paraId="776C1FE9" w14:textId="77777777" w:rsidR="00467066" w:rsidRDefault="00000000">
      <w:pPr>
        <w:spacing w:after="60"/>
        <w:jc w:val="center"/>
      </w:pPr>
      <w:r>
        <w:rPr>
          <w:color w:val="8890A1"/>
        </w:rPr>
        <w:t>Course Project 3  ·  MGMT 69000-120: AI for Finance</w:t>
      </w:r>
    </w:p>
    <w:p w14:paraId="0A11193F" w14:textId="77777777" w:rsidR="00467066" w:rsidRDefault="00000000">
      <w:pPr>
        <w:spacing w:after="320"/>
        <w:jc w:val="center"/>
      </w:pPr>
      <w:r>
        <w:rPr>
          <w:color w:val="8890A1"/>
        </w:rPr>
        <w:t>Purdue University  ·  Mitchell E. Daniels, Jr. School of Business</w:t>
      </w:r>
    </w:p>
    <w:p w14:paraId="4D023311" w14:textId="77777777" w:rsidR="00467066" w:rsidRDefault="00467066">
      <w:pPr>
        <w:spacing w:after="0"/>
      </w:pPr>
    </w:p>
    <w:p w14:paraId="686E0151" w14:textId="5082F60A" w:rsidR="00467066" w:rsidRDefault="00467066" w:rsidP="00F52565">
      <w:pPr>
        <w:spacing w:after="0"/>
        <w:jc w:val="center"/>
      </w:pPr>
    </w:p>
    <w:p w14:paraId="22A5B163" w14:textId="77777777" w:rsidR="00467066" w:rsidRDefault="00467066">
      <w:pPr>
        <w:spacing w:after="0"/>
      </w:pPr>
    </w:p>
    <w:p w14:paraId="4992E3A1" w14:textId="77777777" w:rsidR="00467066" w:rsidRDefault="00000000">
      <w:pPr>
        <w:spacing w:after="60"/>
        <w:jc w:val="center"/>
      </w:pPr>
      <w:r>
        <w:rPr>
          <w:b/>
          <w:color w:val="FFFFFF"/>
          <w:sz w:val="24"/>
        </w:rPr>
        <w:t>Heramb S. Patkar  ·  Jiahe Miao  ·  Ilian Zalomai</w:t>
      </w:r>
    </w:p>
    <w:p w14:paraId="233367F7" w14:textId="77777777" w:rsidR="00467066" w:rsidRDefault="00000000">
      <w:pPr>
        <w:spacing w:after="0"/>
        <w:jc w:val="center"/>
      </w:pPr>
      <w:r>
        <w:rPr>
          <w:color w:val="8890A1"/>
        </w:rPr>
        <w:t>April 2026</w:t>
      </w:r>
    </w:p>
    <w:p w14:paraId="0628255B" w14:textId="77777777" w:rsidR="00467066" w:rsidRDefault="00000000">
      <w:r>
        <w:br w:type="page"/>
      </w:r>
    </w:p>
    <w:p w14:paraId="4D2DD77E" w14:textId="77777777" w:rsidR="00467066" w:rsidRDefault="00000000">
      <w:pPr>
        <w:spacing w:after="40"/>
      </w:pPr>
      <w:r>
        <w:rPr>
          <w:color w:val="C9A84C"/>
          <w:sz w:val="16"/>
        </w:rPr>
        <w:lastRenderedPageBreak/>
        <w:t>TABLE OF CONTENTS</w:t>
      </w:r>
    </w:p>
    <w:p w14:paraId="72B0E8E4" w14:textId="77777777" w:rsidR="00467066" w:rsidRDefault="00000000">
      <w:pPr>
        <w:pBdr>
          <w:bottom w:val="single" w:sz="10" w:space="4" w:color="C9A84C"/>
        </w:pBdr>
        <w:spacing w:after="60"/>
        <w:jc w:val="both"/>
      </w:pPr>
      <w:r>
        <w:rPr>
          <w:b/>
          <w:color w:val="FFFFFF"/>
          <w:sz w:val="28"/>
        </w:rPr>
        <w:t>Contents</w:t>
      </w:r>
    </w:p>
    <w:p w14:paraId="07E37728" w14:textId="77777777" w:rsidR="00467066" w:rsidRDefault="00467066">
      <w:pPr>
        <w:spacing w:after="0"/>
      </w:pPr>
    </w:p>
    <w:p w14:paraId="3C5EE477" w14:textId="77777777" w:rsidR="00467066" w:rsidRDefault="00467066">
      <w:pPr>
        <w:spacing w:after="0"/>
      </w:pPr>
    </w:p>
    <w:p w14:paraId="1F6F8625" w14:textId="77777777" w:rsidR="00467066" w:rsidRDefault="00000000">
      <w:pPr>
        <w:spacing w:before="40" w:after="40"/>
        <w:jc w:val="both"/>
      </w:pPr>
      <w:r>
        <w:rPr>
          <w:b/>
          <w:color w:val="C9A84C"/>
        </w:rPr>
        <w:t>PART I — RESEARCH BRIEF</w:t>
      </w:r>
    </w:p>
    <w:p w14:paraId="1479F5E9" w14:textId="77777777" w:rsidR="00467066" w:rsidRDefault="00000000">
      <w:pPr>
        <w:spacing w:before="20" w:after="20"/>
        <w:jc w:val="both"/>
      </w:pPr>
      <w:r>
        <w:rPr>
          <w:b/>
          <w:color w:val="FFFFFF"/>
          <w:sz w:val="19"/>
        </w:rPr>
        <w:t>1.  Landscape Research</w:t>
      </w:r>
    </w:p>
    <w:p w14:paraId="25DBB587" w14:textId="77777777" w:rsidR="00467066" w:rsidRDefault="00000000">
      <w:pPr>
        <w:spacing w:after="20"/>
        <w:jc w:val="both"/>
      </w:pPr>
      <w:r>
        <w:rPr>
          <w:color w:val="8890A1"/>
          <w:sz w:val="18"/>
        </w:rPr>
        <w:t xml:space="preserve">    1.1  Financial Analytics Industry Overview</w:t>
      </w:r>
    </w:p>
    <w:p w14:paraId="78CFB343" w14:textId="77777777" w:rsidR="00467066" w:rsidRDefault="00000000">
      <w:pPr>
        <w:spacing w:after="20"/>
        <w:jc w:val="both"/>
      </w:pPr>
      <w:r>
        <w:rPr>
          <w:color w:val="8890A1"/>
          <w:sz w:val="18"/>
        </w:rPr>
        <w:t xml:space="preserve">    1.2  Cross-Asset Spillover Methods: Academic State of the Art</w:t>
      </w:r>
    </w:p>
    <w:p w14:paraId="531D0C85" w14:textId="77777777" w:rsidR="00467066" w:rsidRDefault="00000000">
      <w:pPr>
        <w:spacing w:after="20"/>
        <w:jc w:val="both"/>
      </w:pPr>
      <w:r>
        <w:rPr>
          <w:color w:val="8890A1"/>
          <w:sz w:val="18"/>
        </w:rPr>
        <w:t xml:space="preserve">    1.3  AI in Financial Analytics</w:t>
      </w:r>
    </w:p>
    <w:p w14:paraId="1C763BD6" w14:textId="77777777" w:rsidR="00467066" w:rsidRDefault="00000000">
      <w:pPr>
        <w:spacing w:after="20"/>
        <w:jc w:val="both"/>
      </w:pPr>
      <w:r>
        <w:rPr>
          <w:color w:val="8890A1"/>
          <w:sz w:val="18"/>
        </w:rPr>
        <w:t xml:space="preserve">    1.4  Competitive Landscape</w:t>
      </w:r>
    </w:p>
    <w:p w14:paraId="7EE23B55" w14:textId="77777777" w:rsidR="00467066" w:rsidRDefault="00000000">
      <w:pPr>
        <w:spacing w:before="20" w:after="20"/>
        <w:jc w:val="both"/>
      </w:pPr>
      <w:r>
        <w:rPr>
          <w:b/>
          <w:color w:val="FFFFFF"/>
          <w:sz w:val="19"/>
        </w:rPr>
        <w:t>2.  Gap Analysis</w:t>
      </w:r>
    </w:p>
    <w:p w14:paraId="480B2DBB" w14:textId="77777777" w:rsidR="00467066" w:rsidRDefault="00000000">
      <w:pPr>
        <w:spacing w:after="20"/>
        <w:jc w:val="both"/>
      </w:pPr>
      <w:r>
        <w:rPr>
          <w:color w:val="8890A1"/>
          <w:sz w:val="18"/>
        </w:rPr>
        <w:t xml:space="preserve">    2.1  Identified Gaps in Existing Solutions</w:t>
      </w:r>
    </w:p>
    <w:p w14:paraId="6FE63087" w14:textId="77777777" w:rsidR="00467066" w:rsidRDefault="00000000">
      <w:pPr>
        <w:spacing w:after="20"/>
        <w:jc w:val="both"/>
      </w:pPr>
      <w:r>
        <w:rPr>
          <w:color w:val="8890A1"/>
          <w:sz w:val="18"/>
        </w:rPr>
        <w:t xml:space="preserve">    2.2  Opportunity Summary</w:t>
      </w:r>
    </w:p>
    <w:p w14:paraId="6CE0A3D3" w14:textId="77777777" w:rsidR="00467066" w:rsidRDefault="00000000">
      <w:pPr>
        <w:spacing w:before="20" w:after="20"/>
        <w:jc w:val="both"/>
      </w:pPr>
      <w:r>
        <w:rPr>
          <w:b/>
          <w:color w:val="FFFFFF"/>
          <w:sz w:val="19"/>
        </w:rPr>
        <w:t>3.  Project Definition and Scope</w:t>
      </w:r>
    </w:p>
    <w:p w14:paraId="00F9CE5E" w14:textId="77777777" w:rsidR="00467066" w:rsidRDefault="00000000">
      <w:pPr>
        <w:spacing w:after="20"/>
        <w:jc w:val="both"/>
      </w:pPr>
      <w:r>
        <w:rPr>
          <w:color w:val="8890A1"/>
          <w:sz w:val="18"/>
        </w:rPr>
        <w:t xml:space="preserve">    3.1  Problem Statement</w:t>
      </w:r>
    </w:p>
    <w:p w14:paraId="0A6E913E" w14:textId="77777777" w:rsidR="00467066" w:rsidRDefault="00000000">
      <w:pPr>
        <w:spacing w:after="20"/>
        <w:jc w:val="both"/>
      </w:pPr>
      <w:r>
        <w:rPr>
          <w:color w:val="8890A1"/>
          <w:sz w:val="18"/>
        </w:rPr>
        <w:t xml:space="preserve">    3.2  Objectives</w:t>
      </w:r>
    </w:p>
    <w:p w14:paraId="4EC6A7A1" w14:textId="77777777" w:rsidR="00467066" w:rsidRDefault="00000000">
      <w:pPr>
        <w:spacing w:after="20"/>
        <w:jc w:val="both"/>
      </w:pPr>
      <w:r>
        <w:rPr>
          <w:color w:val="8890A1"/>
          <w:sz w:val="18"/>
        </w:rPr>
        <w:t xml:space="preserve">    3.3  Coverage Universe</w:t>
      </w:r>
    </w:p>
    <w:p w14:paraId="3619A1FE" w14:textId="77777777" w:rsidR="00467066" w:rsidRDefault="00000000">
      <w:pPr>
        <w:spacing w:after="20"/>
        <w:jc w:val="both"/>
      </w:pPr>
      <w:r>
        <w:rPr>
          <w:color w:val="8890A1"/>
          <w:sz w:val="18"/>
        </w:rPr>
        <w:t xml:space="preserve">    3.4  Scope Boundaries</w:t>
      </w:r>
    </w:p>
    <w:p w14:paraId="10686EFC" w14:textId="77777777" w:rsidR="00467066" w:rsidRDefault="00000000">
      <w:pPr>
        <w:spacing w:before="20" w:after="20"/>
        <w:jc w:val="both"/>
      </w:pPr>
      <w:r>
        <w:rPr>
          <w:b/>
          <w:color w:val="FFFFFF"/>
          <w:sz w:val="19"/>
        </w:rPr>
        <w:t>4.  Technology Choices and Justification</w:t>
      </w:r>
    </w:p>
    <w:p w14:paraId="117667A2" w14:textId="77777777" w:rsidR="00467066" w:rsidRDefault="00000000">
      <w:pPr>
        <w:spacing w:after="20"/>
        <w:jc w:val="both"/>
      </w:pPr>
      <w:r>
        <w:rPr>
          <w:color w:val="8890A1"/>
          <w:sz w:val="18"/>
        </w:rPr>
        <w:t xml:space="preserve">    4.1  Technology Stack Overview</w:t>
      </w:r>
    </w:p>
    <w:p w14:paraId="06725A2B" w14:textId="77777777" w:rsidR="00467066" w:rsidRDefault="00000000">
      <w:pPr>
        <w:spacing w:after="20"/>
        <w:jc w:val="both"/>
      </w:pPr>
      <w:r>
        <w:rPr>
          <w:color w:val="8890A1"/>
          <w:sz w:val="18"/>
        </w:rPr>
        <w:t xml:space="preserve">    4.2  Justification by Layer</w:t>
      </w:r>
    </w:p>
    <w:p w14:paraId="6BF9CC74" w14:textId="77777777" w:rsidR="00467066" w:rsidRDefault="00467066">
      <w:pPr>
        <w:spacing w:after="0"/>
      </w:pPr>
    </w:p>
    <w:p w14:paraId="69257E1E" w14:textId="77777777" w:rsidR="00467066" w:rsidRDefault="00000000">
      <w:pPr>
        <w:spacing w:before="40" w:after="40"/>
        <w:jc w:val="both"/>
      </w:pPr>
      <w:r>
        <w:rPr>
          <w:b/>
          <w:color w:val="C9A84C"/>
        </w:rPr>
        <w:t>PART II — USER MANUAL</w:t>
      </w:r>
    </w:p>
    <w:p w14:paraId="5E642807" w14:textId="77777777" w:rsidR="00467066" w:rsidRDefault="00000000">
      <w:pPr>
        <w:spacing w:before="20" w:after="20"/>
        <w:jc w:val="both"/>
      </w:pPr>
      <w:r>
        <w:rPr>
          <w:b/>
          <w:color w:val="FFFFFF"/>
          <w:sz w:val="19"/>
        </w:rPr>
        <w:t>5.  Getting Started</w:t>
      </w:r>
    </w:p>
    <w:p w14:paraId="43607A4C" w14:textId="77777777" w:rsidR="00467066" w:rsidRDefault="00000000">
      <w:pPr>
        <w:spacing w:after="20"/>
        <w:jc w:val="both"/>
      </w:pPr>
      <w:r>
        <w:rPr>
          <w:color w:val="8890A1"/>
          <w:sz w:val="18"/>
        </w:rPr>
        <w:t xml:space="preserve">    5.1  System Requirements &amp; Installation</w:t>
      </w:r>
    </w:p>
    <w:p w14:paraId="674082B5" w14:textId="77777777" w:rsidR="00467066" w:rsidRDefault="00000000">
      <w:pPr>
        <w:spacing w:after="20"/>
        <w:jc w:val="both"/>
      </w:pPr>
      <w:r>
        <w:rPr>
          <w:color w:val="8890A1"/>
          <w:sz w:val="18"/>
        </w:rPr>
        <w:t xml:space="preserve">    5.2  Configuration (API Keys)</w:t>
      </w:r>
    </w:p>
    <w:p w14:paraId="30E35670" w14:textId="77777777" w:rsidR="00467066" w:rsidRDefault="00000000">
      <w:pPr>
        <w:spacing w:after="20"/>
        <w:jc w:val="both"/>
      </w:pPr>
      <w:r>
        <w:rPr>
          <w:color w:val="8890A1"/>
          <w:sz w:val="18"/>
        </w:rPr>
        <w:t xml:space="preserve">    5.3  Navigation Overview</w:t>
      </w:r>
    </w:p>
    <w:p w14:paraId="1C77C3C2" w14:textId="77777777" w:rsidR="00467066" w:rsidRDefault="00000000">
      <w:pPr>
        <w:spacing w:before="20" w:after="20"/>
        <w:jc w:val="both"/>
      </w:pPr>
      <w:r>
        <w:rPr>
          <w:b/>
          <w:color w:val="FFFFFF"/>
          <w:sz w:val="19"/>
        </w:rPr>
        <w:t>6.  Page-by-Page Operating Guide</w:t>
      </w:r>
    </w:p>
    <w:p w14:paraId="399D9E60" w14:textId="77777777" w:rsidR="00467066" w:rsidRDefault="00000000">
      <w:pPr>
        <w:spacing w:before="20" w:after="20"/>
        <w:jc w:val="both"/>
      </w:pPr>
      <w:r>
        <w:rPr>
          <w:b/>
          <w:color w:val="FFFFFF"/>
          <w:sz w:val="19"/>
        </w:rPr>
        <w:t>7.  AI Workforce Reference</w:t>
      </w:r>
    </w:p>
    <w:p w14:paraId="6ED1ABDA" w14:textId="77777777" w:rsidR="00467066" w:rsidRDefault="00000000">
      <w:pPr>
        <w:spacing w:before="20" w:after="20"/>
        <w:jc w:val="both"/>
      </w:pPr>
      <w:r>
        <w:rPr>
          <w:b/>
          <w:color w:val="FFFFFF"/>
          <w:sz w:val="19"/>
        </w:rPr>
        <w:t>8.  Interpreting Key Outputs</w:t>
      </w:r>
    </w:p>
    <w:p w14:paraId="7CBAC85F" w14:textId="77777777" w:rsidR="00467066" w:rsidRDefault="00000000">
      <w:pPr>
        <w:spacing w:before="20" w:after="20"/>
        <w:jc w:val="both"/>
      </w:pPr>
      <w:r>
        <w:rPr>
          <w:b/>
          <w:color w:val="FFFFFF"/>
          <w:sz w:val="19"/>
        </w:rPr>
        <w:t>9.  Troubleshooting &amp; FAQ</w:t>
      </w:r>
    </w:p>
    <w:p w14:paraId="69844992" w14:textId="77777777" w:rsidR="00B04AF8" w:rsidRDefault="00B04AF8">
      <w:pPr>
        <w:spacing w:after="200"/>
      </w:pPr>
      <w:r>
        <w:br w:type="page"/>
      </w:r>
    </w:p>
    <w:p w14:paraId="74FB49FC" w14:textId="633B0038" w:rsidR="00467066" w:rsidRDefault="00000000" w:rsidP="00B04AF8">
      <w:r>
        <w:rPr>
          <w:color w:val="C9A84C"/>
          <w:sz w:val="16"/>
        </w:rPr>
        <w:lastRenderedPageBreak/>
        <w:t>PART I</w:t>
      </w:r>
    </w:p>
    <w:p w14:paraId="675248E6" w14:textId="77777777" w:rsidR="00467066" w:rsidRDefault="00000000">
      <w:pPr>
        <w:pBdr>
          <w:bottom w:val="single" w:sz="6" w:space="4" w:color="C9A84C"/>
        </w:pBdr>
        <w:spacing w:after="80"/>
      </w:pPr>
      <w:r>
        <w:rPr>
          <w:b/>
          <w:color w:val="FFFFFF"/>
          <w:sz w:val="36"/>
        </w:rPr>
        <w:t>Research Brief</w:t>
      </w:r>
    </w:p>
    <w:p w14:paraId="5AC37F3D" w14:textId="77777777" w:rsidR="00467066" w:rsidRDefault="00467066">
      <w:pPr>
        <w:jc w:val="both"/>
      </w:pPr>
    </w:p>
    <w:p w14:paraId="18F51F47" w14:textId="77777777" w:rsidR="00467066" w:rsidRDefault="00000000">
      <w:pPr>
        <w:spacing w:after="160"/>
        <w:jc w:val="both"/>
      </w:pPr>
      <w:r>
        <w:t>This research brief documents the intellectual foundation, design rationale, and technology architecture of the Equity-Commodities Spillover Monitor. It is structured to satisfy the four required deliverables: landscape research, gap analysis, project definition and scope, and technology choices with justification.</w:t>
      </w:r>
    </w:p>
    <w:p w14:paraId="0EBDB1A6" w14:textId="77777777" w:rsidR="00467066" w:rsidRDefault="00000000">
      <w:pPr>
        <w:keepNext/>
        <w:spacing w:before="240" w:after="20"/>
      </w:pPr>
      <w:r>
        <w:rPr>
          <w:color w:val="C9A84C"/>
          <w:sz w:val="15"/>
        </w:rPr>
        <w:t>SECTION 1</w:t>
      </w:r>
    </w:p>
    <w:p w14:paraId="1E54F264" w14:textId="77777777" w:rsidR="00467066" w:rsidRDefault="00000000">
      <w:pPr>
        <w:keepNext/>
        <w:pBdr>
          <w:bottom w:val="single" w:sz="10" w:space="4" w:color="C9A84C"/>
        </w:pBdr>
        <w:spacing w:after="60"/>
      </w:pPr>
      <w:r>
        <w:rPr>
          <w:b/>
          <w:color w:val="FFFFFF"/>
          <w:sz w:val="28"/>
        </w:rPr>
        <w:t>Landscape Research</w:t>
      </w:r>
    </w:p>
    <w:p w14:paraId="3BE3ABF0" w14:textId="77777777" w:rsidR="00467066" w:rsidRDefault="00000000">
      <w:pPr>
        <w:spacing w:before="40" w:after="160"/>
        <w:jc w:val="both"/>
      </w:pPr>
      <w:r>
        <w:rPr>
          <w:i/>
          <w:color w:val="8890A1"/>
          <w:sz w:val="18"/>
        </w:rPr>
        <w:t>Current state of the financial analytics industry, academic spillover methodology, and AI integration in finance.</w:t>
      </w:r>
    </w:p>
    <w:p w14:paraId="2847E636" w14:textId="77777777" w:rsidR="00467066" w:rsidRDefault="00467066">
      <w:pPr>
        <w:spacing w:after="0"/>
      </w:pPr>
    </w:p>
    <w:p w14:paraId="69577F28" w14:textId="77777777" w:rsidR="00467066" w:rsidRDefault="00000000">
      <w:pPr>
        <w:keepNext/>
        <w:pBdr>
          <w:bottom w:val="single" w:sz="6" w:space="4" w:color="2A3045"/>
        </w:pBdr>
        <w:spacing w:before="200" w:after="40"/>
      </w:pPr>
      <w:r>
        <w:rPr>
          <w:b/>
          <w:color w:val="C9A84C"/>
          <w:sz w:val="22"/>
        </w:rPr>
        <w:t>1.1  Financial Analytics Industry Overview</w:t>
      </w:r>
    </w:p>
    <w:p w14:paraId="5CB5FDB1" w14:textId="77777777" w:rsidR="00467066" w:rsidRDefault="00000000">
      <w:pPr>
        <w:jc w:val="both"/>
      </w:pPr>
      <w:r>
        <w:t>The professional financial analytics market is currently dominated by a small number of high-cost terminal-based platforms. Bloomberg Terminal, with approximately 330,000 active subscriptions at roughly USD 25,000 per seat per annum, commands the largest institutional footprint. Refinitiv Eikon (now LSEG Workspace), FactSet Research Systems, and S&amp;P Global Market Intelligence collectively serve the remainder of the institutional buy-side and sell-side. These platforms are characterised by comprehensive data access but are cost-prohibitive for academic institutions, emerging market practitioners, and smaller investment firms.</w:t>
      </w:r>
    </w:p>
    <w:p w14:paraId="4CD2592D" w14:textId="77777777" w:rsidR="00467066" w:rsidRDefault="00000000">
      <w:pPr>
        <w:jc w:val="both"/>
      </w:pPr>
      <w:r>
        <w:t>Within the quantitative finance sub-segment, dedicated risk and analytics platforms include MSCI RiskMetrics, BlackRock Aladdin, and Bloomberg PORT. These tools focus primarily on portfolio-level risk attribution and are not designed for cross-asset regime-based correlation monitoring. Open-source alternatives — QuantLib, zipline, bt — address backtesting and portfolio optimisation but lack integrated visualisation, real-time data ingestion, and AI synthesis layers.</w:t>
      </w:r>
    </w:p>
    <w:p w14:paraId="3CB3E013" w14:textId="77777777" w:rsidR="00467066" w:rsidRDefault="00467066">
      <w:pPr>
        <w:spacing w:after="0"/>
      </w:pPr>
    </w:p>
    <w:p w14:paraId="5BA812BD" w14:textId="77777777" w:rsidR="00467066" w:rsidRDefault="00000000">
      <w:pPr>
        <w:keepNext/>
        <w:spacing w:before="120" w:after="60"/>
      </w:pPr>
      <w:r>
        <w:rPr>
          <w:b/>
          <w:color w:val="8890A1"/>
          <w:sz w:val="18"/>
        </w:rPr>
        <w:t>Table 1.1 — Major Financial Analytics Platforms: Feature Comparison</w:t>
      </w:r>
    </w:p>
    <w:tbl>
      <w:tblPr>
        <w:tblStyle w:val="TableGrid"/>
        <w:tblW w:w="0" w:type="auto"/>
        <w:tblLook w:val="04A0" w:firstRow="1" w:lastRow="0" w:firstColumn="1" w:lastColumn="0" w:noHBand="0" w:noVBand="1"/>
      </w:tblPr>
      <w:tblGrid>
        <w:gridCol w:w="2190"/>
        <w:gridCol w:w="1460"/>
        <w:gridCol w:w="1347"/>
        <w:gridCol w:w="1537"/>
        <w:gridCol w:w="1397"/>
        <w:gridCol w:w="1357"/>
      </w:tblGrid>
      <w:tr w:rsidR="00467066" w14:paraId="098258FF" w14:textId="77777777">
        <w:trPr>
          <w:tblHeader/>
        </w:trPr>
        <w:tc>
          <w:tcPr>
            <w:tcW w:w="255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59E3D4B2" w14:textId="77777777" w:rsidR="00467066" w:rsidRDefault="00000000">
            <w:pPr>
              <w:spacing w:before="60" w:after="60"/>
            </w:pPr>
            <w:r>
              <w:rPr>
                <w:b/>
                <w:color w:val="FFFFFF"/>
                <w:sz w:val="18"/>
              </w:rPr>
              <w:t>Platform</w:t>
            </w:r>
          </w:p>
        </w:tc>
        <w:tc>
          <w:tcPr>
            <w:tcW w:w="1587"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14638A0E" w14:textId="77777777" w:rsidR="00467066" w:rsidRDefault="00000000">
            <w:pPr>
              <w:spacing w:before="60" w:after="60"/>
            </w:pPr>
            <w:r>
              <w:rPr>
                <w:b/>
                <w:color w:val="FFFFFF"/>
                <w:sz w:val="18"/>
              </w:rPr>
              <w:t>Cross-Asset Correlation</w:t>
            </w:r>
          </w:p>
        </w:tc>
        <w:tc>
          <w:tcPr>
            <w:tcW w:w="1474"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49B40950" w14:textId="77777777" w:rsidR="00467066" w:rsidRDefault="00000000">
            <w:pPr>
              <w:spacing w:before="60" w:after="60"/>
            </w:pPr>
            <w:r>
              <w:rPr>
                <w:b/>
                <w:color w:val="FFFFFF"/>
                <w:sz w:val="18"/>
              </w:rPr>
              <w:t>Regime Detection</w:t>
            </w:r>
          </w:p>
        </w:tc>
        <w:tc>
          <w:tcPr>
            <w:tcW w:w="170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1AD60DD1" w14:textId="77777777" w:rsidR="00467066" w:rsidRDefault="00000000">
            <w:pPr>
              <w:spacing w:before="60" w:after="60"/>
            </w:pPr>
            <w:r>
              <w:rPr>
                <w:b/>
                <w:color w:val="FFFFFF"/>
                <w:sz w:val="18"/>
              </w:rPr>
              <w:t>AI Synthesis</w:t>
            </w:r>
          </w:p>
        </w:tc>
        <w:tc>
          <w:tcPr>
            <w:tcW w:w="1474"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20DCD6E8" w14:textId="77777777" w:rsidR="00467066" w:rsidRDefault="00000000">
            <w:pPr>
              <w:spacing w:before="60" w:after="60"/>
            </w:pPr>
            <w:r>
              <w:rPr>
                <w:b/>
                <w:color w:val="FFFFFF"/>
                <w:sz w:val="18"/>
              </w:rPr>
              <w:t>Geo Monitoring</w:t>
            </w:r>
          </w:p>
        </w:tc>
        <w:tc>
          <w:tcPr>
            <w:tcW w:w="1474"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532D3CCD" w14:textId="77777777" w:rsidR="00467066" w:rsidRDefault="00000000">
            <w:pPr>
              <w:spacing w:before="60" w:after="60"/>
            </w:pPr>
            <w:r>
              <w:rPr>
                <w:b/>
                <w:color w:val="FFFFFF"/>
                <w:sz w:val="18"/>
              </w:rPr>
              <w:t>Annual Cost (USD)</w:t>
            </w:r>
          </w:p>
        </w:tc>
      </w:tr>
      <w:tr w:rsidR="00467066" w14:paraId="0366844D" w14:textId="77777777">
        <w:tc>
          <w:tcPr>
            <w:tcW w:w="2551" w:type="dxa"/>
            <w:tcBorders>
              <w:left w:val="single" w:sz="4" w:space="0" w:color="1E2330"/>
              <w:bottom w:val="single" w:sz="4" w:space="0" w:color="2A3045"/>
              <w:right w:val="single" w:sz="4" w:space="0" w:color="1E2330"/>
            </w:tcBorders>
          </w:tcPr>
          <w:p w14:paraId="689CDDEA" w14:textId="77777777" w:rsidR="00467066" w:rsidRDefault="00000000">
            <w:pPr>
              <w:spacing w:before="60" w:after="60"/>
            </w:pPr>
            <w:r>
              <w:rPr>
                <w:sz w:val="18"/>
              </w:rPr>
              <w:t>Bloomberg Terminal</w:t>
            </w:r>
          </w:p>
        </w:tc>
        <w:tc>
          <w:tcPr>
            <w:tcW w:w="1587" w:type="dxa"/>
            <w:tcBorders>
              <w:left w:val="single" w:sz="4" w:space="0" w:color="1E2330"/>
              <w:bottom w:val="single" w:sz="4" w:space="0" w:color="2A3045"/>
              <w:right w:val="single" w:sz="4" w:space="0" w:color="1E2330"/>
            </w:tcBorders>
          </w:tcPr>
          <w:p w14:paraId="64FA4B73" w14:textId="77777777" w:rsidR="00467066" w:rsidRDefault="00000000">
            <w:pPr>
              <w:spacing w:before="60" w:after="60"/>
            </w:pPr>
            <w:r>
              <w:rPr>
                <w:sz w:val="18"/>
              </w:rPr>
              <w:t>Yes</w:t>
            </w:r>
          </w:p>
        </w:tc>
        <w:tc>
          <w:tcPr>
            <w:tcW w:w="1474" w:type="dxa"/>
            <w:tcBorders>
              <w:left w:val="single" w:sz="4" w:space="0" w:color="1E2330"/>
              <w:bottom w:val="single" w:sz="4" w:space="0" w:color="2A3045"/>
              <w:right w:val="single" w:sz="4" w:space="0" w:color="1E2330"/>
            </w:tcBorders>
          </w:tcPr>
          <w:p w14:paraId="712D54C3" w14:textId="77777777" w:rsidR="00467066" w:rsidRDefault="00000000">
            <w:pPr>
              <w:spacing w:before="60" w:after="60"/>
            </w:pPr>
            <w:r>
              <w:rPr>
                <w:sz w:val="18"/>
              </w:rPr>
              <w:t>Limited</w:t>
            </w:r>
          </w:p>
        </w:tc>
        <w:tc>
          <w:tcPr>
            <w:tcW w:w="1701" w:type="dxa"/>
            <w:tcBorders>
              <w:left w:val="single" w:sz="4" w:space="0" w:color="1E2330"/>
              <w:bottom w:val="single" w:sz="4" w:space="0" w:color="2A3045"/>
              <w:right w:val="single" w:sz="4" w:space="0" w:color="1E2330"/>
            </w:tcBorders>
          </w:tcPr>
          <w:p w14:paraId="7319C2CF" w14:textId="77777777" w:rsidR="00467066" w:rsidRDefault="00000000">
            <w:pPr>
              <w:spacing w:before="60" w:after="60"/>
            </w:pPr>
            <w:r>
              <w:rPr>
                <w:sz w:val="18"/>
              </w:rPr>
              <w:t>Bloomberg GPT (beta)</w:t>
            </w:r>
          </w:p>
        </w:tc>
        <w:tc>
          <w:tcPr>
            <w:tcW w:w="1474" w:type="dxa"/>
            <w:tcBorders>
              <w:left w:val="single" w:sz="4" w:space="0" w:color="1E2330"/>
              <w:bottom w:val="single" w:sz="4" w:space="0" w:color="2A3045"/>
              <w:right w:val="single" w:sz="4" w:space="0" w:color="1E2330"/>
            </w:tcBorders>
          </w:tcPr>
          <w:p w14:paraId="3E5376B6" w14:textId="77777777" w:rsidR="00467066" w:rsidRDefault="00000000">
            <w:pPr>
              <w:spacing w:before="60" w:after="60"/>
            </w:pPr>
            <w:r>
              <w:rPr>
                <w:sz w:val="18"/>
              </w:rPr>
              <w:t>Manual</w:t>
            </w:r>
          </w:p>
        </w:tc>
        <w:tc>
          <w:tcPr>
            <w:tcW w:w="1474" w:type="dxa"/>
            <w:tcBorders>
              <w:left w:val="single" w:sz="4" w:space="0" w:color="1E2330"/>
              <w:bottom w:val="single" w:sz="4" w:space="0" w:color="2A3045"/>
              <w:right w:val="single" w:sz="4" w:space="0" w:color="1E2330"/>
            </w:tcBorders>
          </w:tcPr>
          <w:p w14:paraId="22FDF32B" w14:textId="77777777" w:rsidR="00467066" w:rsidRDefault="00000000">
            <w:pPr>
              <w:spacing w:before="60" w:after="60"/>
            </w:pPr>
            <w:r>
              <w:rPr>
                <w:sz w:val="18"/>
              </w:rPr>
              <w:t>~$25,000</w:t>
            </w:r>
          </w:p>
        </w:tc>
      </w:tr>
      <w:tr w:rsidR="00467066" w14:paraId="7EF9F09E" w14:textId="77777777">
        <w:tc>
          <w:tcPr>
            <w:tcW w:w="2551" w:type="dxa"/>
            <w:tcBorders>
              <w:left w:val="single" w:sz="4" w:space="0" w:color="1E2330"/>
              <w:bottom w:val="single" w:sz="4" w:space="0" w:color="2A3045"/>
              <w:right w:val="single" w:sz="4" w:space="0" w:color="1E2330"/>
            </w:tcBorders>
            <w:shd w:val="clear" w:color="auto" w:fill="161B27"/>
          </w:tcPr>
          <w:p w14:paraId="0EEE42FC" w14:textId="77777777" w:rsidR="00467066" w:rsidRDefault="00000000">
            <w:pPr>
              <w:spacing w:before="60" w:after="60"/>
            </w:pPr>
            <w:r>
              <w:rPr>
                <w:sz w:val="18"/>
              </w:rPr>
              <w:t>Refinitiv Eikon</w:t>
            </w:r>
          </w:p>
        </w:tc>
        <w:tc>
          <w:tcPr>
            <w:tcW w:w="1587" w:type="dxa"/>
            <w:tcBorders>
              <w:left w:val="single" w:sz="4" w:space="0" w:color="1E2330"/>
              <w:bottom w:val="single" w:sz="4" w:space="0" w:color="2A3045"/>
              <w:right w:val="single" w:sz="4" w:space="0" w:color="1E2330"/>
            </w:tcBorders>
            <w:shd w:val="clear" w:color="auto" w:fill="161B27"/>
          </w:tcPr>
          <w:p w14:paraId="658C7C2F" w14:textId="77777777" w:rsidR="00467066" w:rsidRDefault="00000000">
            <w:pPr>
              <w:spacing w:before="60" w:after="60"/>
            </w:pPr>
            <w:r>
              <w:rPr>
                <w:sz w:val="18"/>
              </w:rPr>
              <w:t>Yes</w:t>
            </w:r>
          </w:p>
        </w:tc>
        <w:tc>
          <w:tcPr>
            <w:tcW w:w="1474" w:type="dxa"/>
            <w:tcBorders>
              <w:left w:val="single" w:sz="4" w:space="0" w:color="1E2330"/>
              <w:bottom w:val="single" w:sz="4" w:space="0" w:color="2A3045"/>
              <w:right w:val="single" w:sz="4" w:space="0" w:color="1E2330"/>
            </w:tcBorders>
            <w:shd w:val="clear" w:color="auto" w:fill="161B27"/>
          </w:tcPr>
          <w:p w14:paraId="59851195" w14:textId="77777777" w:rsidR="00467066" w:rsidRDefault="00000000">
            <w:pPr>
              <w:spacing w:before="60" w:after="60"/>
            </w:pPr>
            <w:r>
              <w:rPr>
                <w:sz w:val="18"/>
              </w:rPr>
              <w:t>None</w:t>
            </w:r>
          </w:p>
        </w:tc>
        <w:tc>
          <w:tcPr>
            <w:tcW w:w="1701" w:type="dxa"/>
            <w:tcBorders>
              <w:left w:val="single" w:sz="4" w:space="0" w:color="1E2330"/>
              <w:bottom w:val="single" w:sz="4" w:space="0" w:color="2A3045"/>
              <w:right w:val="single" w:sz="4" w:space="0" w:color="1E2330"/>
            </w:tcBorders>
            <w:shd w:val="clear" w:color="auto" w:fill="161B27"/>
          </w:tcPr>
          <w:p w14:paraId="61005A4B" w14:textId="77777777" w:rsidR="00467066" w:rsidRDefault="00000000">
            <w:pPr>
              <w:spacing w:before="60" w:after="60"/>
            </w:pPr>
            <w:r>
              <w:rPr>
                <w:sz w:val="18"/>
              </w:rPr>
              <w:t>News NLP only</w:t>
            </w:r>
          </w:p>
        </w:tc>
        <w:tc>
          <w:tcPr>
            <w:tcW w:w="1474" w:type="dxa"/>
            <w:tcBorders>
              <w:left w:val="single" w:sz="4" w:space="0" w:color="1E2330"/>
              <w:bottom w:val="single" w:sz="4" w:space="0" w:color="2A3045"/>
              <w:right w:val="single" w:sz="4" w:space="0" w:color="1E2330"/>
            </w:tcBorders>
            <w:shd w:val="clear" w:color="auto" w:fill="161B27"/>
          </w:tcPr>
          <w:p w14:paraId="6594CEED" w14:textId="77777777" w:rsidR="00467066" w:rsidRDefault="00000000">
            <w:pPr>
              <w:spacing w:before="60" w:after="60"/>
            </w:pPr>
            <w:r>
              <w:rPr>
                <w:sz w:val="18"/>
              </w:rPr>
              <w:t>Manual</w:t>
            </w:r>
          </w:p>
        </w:tc>
        <w:tc>
          <w:tcPr>
            <w:tcW w:w="1474" w:type="dxa"/>
            <w:tcBorders>
              <w:left w:val="single" w:sz="4" w:space="0" w:color="1E2330"/>
              <w:bottom w:val="single" w:sz="4" w:space="0" w:color="2A3045"/>
              <w:right w:val="single" w:sz="4" w:space="0" w:color="1E2330"/>
            </w:tcBorders>
            <w:shd w:val="clear" w:color="auto" w:fill="161B27"/>
          </w:tcPr>
          <w:p w14:paraId="18D35894" w14:textId="77777777" w:rsidR="00467066" w:rsidRDefault="00000000">
            <w:pPr>
              <w:spacing w:before="60" w:after="60"/>
            </w:pPr>
            <w:r>
              <w:rPr>
                <w:sz w:val="18"/>
              </w:rPr>
              <w:t>~$22,000</w:t>
            </w:r>
          </w:p>
        </w:tc>
      </w:tr>
      <w:tr w:rsidR="00467066" w14:paraId="54DD2B43" w14:textId="77777777">
        <w:tc>
          <w:tcPr>
            <w:tcW w:w="2551" w:type="dxa"/>
            <w:tcBorders>
              <w:left w:val="single" w:sz="4" w:space="0" w:color="1E2330"/>
              <w:bottom w:val="single" w:sz="4" w:space="0" w:color="2A3045"/>
              <w:right w:val="single" w:sz="4" w:space="0" w:color="1E2330"/>
            </w:tcBorders>
          </w:tcPr>
          <w:p w14:paraId="5590C8D8" w14:textId="77777777" w:rsidR="00467066" w:rsidRDefault="00000000">
            <w:pPr>
              <w:spacing w:before="60" w:after="60"/>
            </w:pPr>
            <w:r>
              <w:rPr>
                <w:sz w:val="18"/>
              </w:rPr>
              <w:t>FactSet</w:t>
            </w:r>
          </w:p>
        </w:tc>
        <w:tc>
          <w:tcPr>
            <w:tcW w:w="1587" w:type="dxa"/>
            <w:tcBorders>
              <w:left w:val="single" w:sz="4" w:space="0" w:color="1E2330"/>
              <w:bottom w:val="single" w:sz="4" w:space="0" w:color="2A3045"/>
              <w:right w:val="single" w:sz="4" w:space="0" w:color="1E2330"/>
            </w:tcBorders>
          </w:tcPr>
          <w:p w14:paraId="2E75F271" w14:textId="77777777" w:rsidR="00467066" w:rsidRDefault="00000000">
            <w:pPr>
              <w:spacing w:before="60" w:after="60"/>
            </w:pPr>
            <w:r>
              <w:rPr>
                <w:sz w:val="18"/>
              </w:rPr>
              <w:t>Partial</w:t>
            </w:r>
          </w:p>
        </w:tc>
        <w:tc>
          <w:tcPr>
            <w:tcW w:w="1474" w:type="dxa"/>
            <w:tcBorders>
              <w:left w:val="single" w:sz="4" w:space="0" w:color="1E2330"/>
              <w:bottom w:val="single" w:sz="4" w:space="0" w:color="2A3045"/>
              <w:right w:val="single" w:sz="4" w:space="0" w:color="1E2330"/>
            </w:tcBorders>
          </w:tcPr>
          <w:p w14:paraId="7DE2A912" w14:textId="77777777" w:rsidR="00467066" w:rsidRDefault="00000000">
            <w:pPr>
              <w:spacing w:before="60" w:after="60"/>
            </w:pPr>
            <w:r>
              <w:rPr>
                <w:sz w:val="18"/>
              </w:rPr>
              <w:t>None</w:t>
            </w:r>
          </w:p>
        </w:tc>
        <w:tc>
          <w:tcPr>
            <w:tcW w:w="1701" w:type="dxa"/>
            <w:tcBorders>
              <w:left w:val="single" w:sz="4" w:space="0" w:color="1E2330"/>
              <w:bottom w:val="single" w:sz="4" w:space="0" w:color="2A3045"/>
              <w:right w:val="single" w:sz="4" w:space="0" w:color="1E2330"/>
            </w:tcBorders>
          </w:tcPr>
          <w:p w14:paraId="7B7D1770" w14:textId="77777777" w:rsidR="00467066" w:rsidRDefault="00000000">
            <w:pPr>
              <w:spacing w:before="60" w:after="60"/>
            </w:pPr>
            <w:r>
              <w:rPr>
                <w:sz w:val="18"/>
              </w:rPr>
              <w:t>FactSet Signals</w:t>
            </w:r>
          </w:p>
        </w:tc>
        <w:tc>
          <w:tcPr>
            <w:tcW w:w="1474" w:type="dxa"/>
            <w:tcBorders>
              <w:left w:val="single" w:sz="4" w:space="0" w:color="1E2330"/>
              <w:bottom w:val="single" w:sz="4" w:space="0" w:color="2A3045"/>
              <w:right w:val="single" w:sz="4" w:space="0" w:color="1E2330"/>
            </w:tcBorders>
          </w:tcPr>
          <w:p w14:paraId="08F9264B" w14:textId="77777777" w:rsidR="00467066" w:rsidRDefault="00000000">
            <w:pPr>
              <w:spacing w:before="60" w:after="60"/>
            </w:pPr>
            <w:r>
              <w:rPr>
                <w:sz w:val="18"/>
              </w:rPr>
              <w:t>None</w:t>
            </w:r>
          </w:p>
        </w:tc>
        <w:tc>
          <w:tcPr>
            <w:tcW w:w="1474" w:type="dxa"/>
            <w:tcBorders>
              <w:left w:val="single" w:sz="4" w:space="0" w:color="1E2330"/>
              <w:bottom w:val="single" w:sz="4" w:space="0" w:color="2A3045"/>
              <w:right w:val="single" w:sz="4" w:space="0" w:color="1E2330"/>
            </w:tcBorders>
          </w:tcPr>
          <w:p w14:paraId="593EAF6F" w14:textId="77777777" w:rsidR="00467066" w:rsidRDefault="00000000">
            <w:pPr>
              <w:spacing w:before="60" w:after="60"/>
            </w:pPr>
            <w:r>
              <w:rPr>
                <w:sz w:val="18"/>
              </w:rPr>
              <w:t>~$18,000</w:t>
            </w:r>
          </w:p>
        </w:tc>
      </w:tr>
      <w:tr w:rsidR="00467066" w14:paraId="4AB98FE3" w14:textId="77777777">
        <w:tc>
          <w:tcPr>
            <w:tcW w:w="2551" w:type="dxa"/>
            <w:tcBorders>
              <w:left w:val="single" w:sz="4" w:space="0" w:color="1E2330"/>
              <w:bottom w:val="single" w:sz="4" w:space="0" w:color="2A3045"/>
              <w:right w:val="single" w:sz="4" w:space="0" w:color="1E2330"/>
            </w:tcBorders>
            <w:shd w:val="clear" w:color="auto" w:fill="161B27"/>
          </w:tcPr>
          <w:p w14:paraId="43D17F6F" w14:textId="77777777" w:rsidR="00467066" w:rsidRDefault="00000000">
            <w:pPr>
              <w:spacing w:before="60" w:after="60"/>
            </w:pPr>
            <w:r>
              <w:rPr>
                <w:sz w:val="18"/>
              </w:rPr>
              <w:t>MSCI RiskMetrics</w:t>
            </w:r>
          </w:p>
        </w:tc>
        <w:tc>
          <w:tcPr>
            <w:tcW w:w="1587" w:type="dxa"/>
            <w:tcBorders>
              <w:left w:val="single" w:sz="4" w:space="0" w:color="1E2330"/>
              <w:bottom w:val="single" w:sz="4" w:space="0" w:color="2A3045"/>
              <w:right w:val="single" w:sz="4" w:space="0" w:color="1E2330"/>
            </w:tcBorders>
            <w:shd w:val="clear" w:color="auto" w:fill="161B27"/>
          </w:tcPr>
          <w:p w14:paraId="571293D9" w14:textId="77777777" w:rsidR="00467066" w:rsidRDefault="00000000">
            <w:pPr>
              <w:spacing w:before="60" w:after="60"/>
            </w:pPr>
            <w:r>
              <w:rPr>
                <w:sz w:val="18"/>
              </w:rPr>
              <w:t>Yes</w:t>
            </w:r>
          </w:p>
        </w:tc>
        <w:tc>
          <w:tcPr>
            <w:tcW w:w="1474" w:type="dxa"/>
            <w:tcBorders>
              <w:left w:val="single" w:sz="4" w:space="0" w:color="1E2330"/>
              <w:bottom w:val="single" w:sz="4" w:space="0" w:color="2A3045"/>
              <w:right w:val="single" w:sz="4" w:space="0" w:color="1E2330"/>
            </w:tcBorders>
            <w:shd w:val="clear" w:color="auto" w:fill="161B27"/>
          </w:tcPr>
          <w:p w14:paraId="7EBED374" w14:textId="77777777" w:rsidR="00467066" w:rsidRDefault="00000000">
            <w:pPr>
              <w:spacing w:before="60" w:after="60"/>
            </w:pPr>
            <w:r>
              <w:rPr>
                <w:sz w:val="18"/>
              </w:rPr>
              <w:t>Limited</w:t>
            </w:r>
          </w:p>
        </w:tc>
        <w:tc>
          <w:tcPr>
            <w:tcW w:w="1701" w:type="dxa"/>
            <w:tcBorders>
              <w:left w:val="single" w:sz="4" w:space="0" w:color="1E2330"/>
              <w:bottom w:val="single" w:sz="4" w:space="0" w:color="2A3045"/>
              <w:right w:val="single" w:sz="4" w:space="0" w:color="1E2330"/>
            </w:tcBorders>
            <w:shd w:val="clear" w:color="auto" w:fill="161B27"/>
          </w:tcPr>
          <w:p w14:paraId="79C3115B" w14:textId="77777777" w:rsidR="00467066" w:rsidRDefault="00000000">
            <w:pPr>
              <w:spacing w:before="60" w:after="60"/>
            </w:pPr>
            <w:r>
              <w:rPr>
                <w:sz w:val="18"/>
              </w:rPr>
              <w:t>None</w:t>
            </w:r>
          </w:p>
        </w:tc>
        <w:tc>
          <w:tcPr>
            <w:tcW w:w="1474" w:type="dxa"/>
            <w:tcBorders>
              <w:left w:val="single" w:sz="4" w:space="0" w:color="1E2330"/>
              <w:bottom w:val="single" w:sz="4" w:space="0" w:color="2A3045"/>
              <w:right w:val="single" w:sz="4" w:space="0" w:color="1E2330"/>
            </w:tcBorders>
            <w:shd w:val="clear" w:color="auto" w:fill="161B27"/>
          </w:tcPr>
          <w:p w14:paraId="4B7DD8CD" w14:textId="77777777" w:rsidR="00467066" w:rsidRDefault="00000000">
            <w:pPr>
              <w:spacing w:before="60" w:after="60"/>
            </w:pPr>
            <w:r>
              <w:rPr>
                <w:sz w:val="18"/>
              </w:rPr>
              <w:t>None</w:t>
            </w:r>
          </w:p>
        </w:tc>
        <w:tc>
          <w:tcPr>
            <w:tcW w:w="1474" w:type="dxa"/>
            <w:tcBorders>
              <w:left w:val="single" w:sz="4" w:space="0" w:color="1E2330"/>
              <w:bottom w:val="single" w:sz="4" w:space="0" w:color="2A3045"/>
              <w:right w:val="single" w:sz="4" w:space="0" w:color="1E2330"/>
            </w:tcBorders>
            <w:shd w:val="clear" w:color="auto" w:fill="161B27"/>
          </w:tcPr>
          <w:p w14:paraId="35F31D58" w14:textId="77777777" w:rsidR="00467066" w:rsidRDefault="00000000">
            <w:pPr>
              <w:spacing w:before="60" w:after="60"/>
            </w:pPr>
            <w:r>
              <w:rPr>
                <w:sz w:val="18"/>
              </w:rPr>
              <w:t>~$30,000+</w:t>
            </w:r>
          </w:p>
        </w:tc>
      </w:tr>
      <w:tr w:rsidR="00467066" w14:paraId="5E96A141" w14:textId="77777777">
        <w:tc>
          <w:tcPr>
            <w:tcW w:w="2551" w:type="dxa"/>
            <w:tcBorders>
              <w:left w:val="single" w:sz="4" w:space="0" w:color="1E2330"/>
              <w:bottom w:val="single" w:sz="4" w:space="0" w:color="2A3045"/>
              <w:right w:val="single" w:sz="4" w:space="0" w:color="1E2330"/>
            </w:tcBorders>
          </w:tcPr>
          <w:p w14:paraId="4BD1C5EA" w14:textId="77777777" w:rsidR="00467066" w:rsidRDefault="00000000">
            <w:pPr>
              <w:spacing w:before="60" w:after="60"/>
            </w:pPr>
            <w:r>
              <w:rPr>
                <w:sz w:val="18"/>
              </w:rPr>
              <w:t>This Platform</w:t>
            </w:r>
          </w:p>
        </w:tc>
        <w:tc>
          <w:tcPr>
            <w:tcW w:w="1587" w:type="dxa"/>
            <w:tcBorders>
              <w:left w:val="single" w:sz="4" w:space="0" w:color="1E2330"/>
              <w:bottom w:val="single" w:sz="4" w:space="0" w:color="2A3045"/>
              <w:right w:val="single" w:sz="4" w:space="0" w:color="1E2330"/>
            </w:tcBorders>
          </w:tcPr>
          <w:p w14:paraId="49A282AA" w14:textId="77777777" w:rsidR="00467066" w:rsidRDefault="00000000">
            <w:pPr>
              <w:spacing w:before="60" w:after="60"/>
            </w:pPr>
            <w:r>
              <w:rPr>
                <w:sz w:val="18"/>
              </w:rPr>
              <w:t>Yes (DCC-GARCH)</w:t>
            </w:r>
          </w:p>
        </w:tc>
        <w:tc>
          <w:tcPr>
            <w:tcW w:w="1474" w:type="dxa"/>
            <w:tcBorders>
              <w:left w:val="single" w:sz="4" w:space="0" w:color="1E2330"/>
              <w:bottom w:val="single" w:sz="4" w:space="0" w:color="2A3045"/>
              <w:right w:val="single" w:sz="4" w:space="0" w:color="1E2330"/>
            </w:tcBorders>
          </w:tcPr>
          <w:p w14:paraId="7A7B99BB" w14:textId="77777777" w:rsidR="00467066" w:rsidRDefault="00000000">
            <w:pPr>
              <w:spacing w:before="60" w:after="60"/>
            </w:pPr>
            <w:r>
              <w:rPr>
                <w:sz w:val="18"/>
              </w:rPr>
              <w:t>Yes (Markov)</w:t>
            </w:r>
          </w:p>
        </w:tc>
        <w:tc>
          <w:tcPr>
            <w:tcW w:w="1701" w:type="dxa"/>
            <w:tcBorders>
              <w:left w:val="single" w:sz="4" w:space="0" w:color="1E2330"/>
              <w:bottom w:val="single" w:sz="4" w:space="0" w:color="2A3045"/>
              <w:right w:val="single" w:sz="4" w:space="0" w:color="1E2330"/>
            </w:tcBorders>
          </w:tcPr>
          <w:p w14:paraId="72C5A34D" w14:textId="77777777" w:rsidR="00467066" w:rsidRDefault="00000000">
            <w:pPr>
              <w:spacing w:before="60" w:after="60"/>
            </w:pPr>
            <w:r>
              <w:rPr>
                <w:sz w:val="18"/>
              </w:rPr>
              <w:t>7-Agent Pipeline</w:t>
            </w:r>
          </w:p>
        </w:tc>
        <w:tc>
          <w:tcPr>
            <w:tcW w:w="1474" w:type="dxa"/>
            <w:tcBorders>
              <w:left w:val="single" w:sz="4" w:space="0" w:color="1E2330"/>
              <w:bottom w:val="single" w:sz="4" w:space="0" w:color="2A3045"/>
              <w:right w:val="single" w:sz="4" w:space="0" w:color="1E2330"/>
            </w:tcBorders>
          </w:tcPr>
          <w:p w14:paraId="2316B14B" w14:textId="77777777" w:rsidR="00467066" w:rsidRDefault="00000000">
            <w:pPr>
              <w:spacing w:before="60" w:after="60"/>
            </w:pPr>
            <w:r>
              <w:rPr>
                <w:sz w:val="18"/>
              </w:rPr>
              <w:t>Yes (Automated)</w:t>
            </w:r>
          </w:p>
        </w:tc>
        <w:tc>
          <w:tcPr>
            <w:tcW w:w="1474" w:type="dxa"/>
            <w:tcBorders>
              <w:left w:val="single" w:sz="4" w:space="0" w:color="1E2330"/>
              <w:bottom w:val="single" w:sz="4" w:space="0" w:color="2A3045"/>
              <w:right w:val="single" w:sz="4" w:space="0" w:color="1E2330"/>
            </w:tcBorders>
          </w:tcPr>
          <w:p w14:paraId="389C4883" w14:textId="77777777" w:rsidR="00467066" w:rsidRDefault="00000000">
            <w:pPr>
              <w:spacing w:before="60" w:after="60"/>
            </w:pPr>
            <w:r>
              <w:rPr>
                <w:sz w:val="18"/>
              </w:rPr>
              <w:t>Open-source</w:t>
            </w:r>
          </w:p>
        </w:tc>
      </w:tr>
    </w:tbl>
    <w:p w14:paraId="53B52862" w14:textId="77777777" w:rsidR="00467066" w:rsidRDefault="00467066">
      <w:pPr>
        <w:spacing w:after="0"/>
      </w:pPr>
    </w:p>
    <w:p w14:paraId="67DB1569" w14:textId="77777777" w:rsidR="00467066" w:rsidRDefault="00000000">
      <w:pPr>
        <w:spacing w:after="200"/>
        <w:jc w:val="both"/>
      </w:pPr>
      <w:r>
        <w:rPr>
          <w:i/>
          <w:color w:val="8890A1"/>
          <w:sz w:val="16"/>
        </w:rPr>
        <w:t>Source: Publicly available vendor pricing and feature documentation, 2025.</w:t>
      </w:r>
    </w:p>
    <w:p w14:paraId="5AD146DE" w14:textId="77777777" w:rsidR="00467066" w:rsidRDefault="00000000">
      <w:pPr>
        <w:keepNext/>
        <w:pBdr>
          <w:bottom w:val="single" w:sz="6" w:space="4" w:color="2A3045"/>
        </w:pBdr>
        <w:spacing w:before="200" w:after="40"/>
      </w:pPr>
      <w:r>
        <w:rPr>
          <w:b/>
          <w:color w:val="C9A84C"/>
          <w:sz w:val="22"/>
        </w:rPr>
        <w:t>1.2  Cross-Asset Spillover Methods: Academic State of the Art</w:t>
      </w:r>
    </w:p>
    <w:p w14:paraId="299897CE" w14:textId="77777777" w:rsidR="00467066" w:rsidRDefault="00000000">
      <w:pPr>
        <w:jc w:val="both"/>
      </w:pPr>
      <w:r>
        <w:t>The academic literature on cross-asset spillover analysis has produced several foundational methodologies that inform this project. The key contributions are summarised in the table below.</w:t>
      </w:r>
    </w:p>
    <w:p w14:paraId="5E04758D" w14:textId="77777777" w:rsidR="00467066" w:rsidRDefault="00467066">
      <w:pPr>
        <w:spacing w:after="0"/>
      </w:pPr>
    </w:p>
    <w:p w14:paraId="6C1E9982" w14:textId="77777777" w:rsidR="00467066" w:rsidRDefault="00000000">
      <w:pPr>
        <w:keepNext/>
        <w:spacing w:before="120" w:after="60"/>
      </w:pPr>
      <w:r>
        <w:rPr>
          <w:b/>
          <w:color w:val="8890A1"/>
          <w:sz w:val="18"/>
        </w:rPr>
        <w:lastRenderedPageBreak/>
        <w:t>Table 1.2 — Foundational Spillover Methodologies</w:t>
      </w:r>
    </w:p>
    <w:tbl>
      <w:tblPr>
        <w:tblStyle w:val="TableGrid"/>
        <w:tblW w:w="0" w:type="auto"/>
        <w:tblLook w:val="04A0" w:firstRow="1" w:lastRow="0" w:firstColumn="1" w:lastColumn="0" w:noHBand="0" w:noVBand="1"/>
      </w:tblPr>
      <w:tblGrid>
        <w:gridCol w:w="2025"/>
        <w:gridCol w:w="1671"/>
        <w:gridCol w:w="965"/>
        <w:gridCol w:w="4627"/>
      </w:tblGrid>
      <w:tr w:rsidR="00467066" w14:paraId="52200024" w14:textId="77777777">
        <w:trPr>
          <w:tblHeader/>
        </w:trPr>
        <w:tc>
          <w:tcPr>
            <w:tcW w:w="2154"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6CF3F0A8" w14:textId="77777777" w:rsidR="00467066" w:rsidRDefault="00000000">
            <w:pPr>
              <w:spacing w:before="60" w:after="60"/>
            </w:pPr>
            <w:r>
              <w:rPr>
                <w:b/>
                <w:color w:val="FFFFFF"/>
                <w:sz w:val="18"/>
              </w:rPr>
              <w:t>Method</w:t>
            </w:r>
          </w:p>
        </w:tc>
        <w:tc>
          <w:tcPr>
            <w:tcW w:w="1814"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6564548A" w14:textId="77777777" w:rsidR="00467066" w:rsidRDefault="00000000">
            <w:pPr>
              <w:spacing w:before="60" w:after="60"/>
            </w:pPr>
            <w:r>
              <w:rPr>
                <w:b/>
                <w:color w:val="FFFFFF"/>
                <w:sz w:val="18"/>
              </w:rPr>
              <w:t>Authors</w:t>
            </w:r>
          </w:p>
        </w:tc>
        <w:tc>
          <w:tcPr>
            <w:tcW w:w="102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550C278B" w14:textId="77777777" w:rsidR="00467066" w:rsidRDefault="00000000">
            <w:pPr>
              <w:spacing w:before="60" w:after="60"/>
            </w:pPr>
            <w:r>
              <w:rPr>
                <w:b/>
                <w:color w:val="FFFFFF"/>
                <w:sz w:val="18"/>
              </w:rPr>
              <w:t>Year</w:t>
            </w:r>
          </w:p>
        </w:tc>
        <w:tc>
          <w:tcPr>
            <w:tcW w:w="5272"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4E55F189" w14:textId="77777777" w:rsidR="00467066" w:rsidRDefault="00000000">
            <w:pPr>
              <w:spacing w:before="60" w:after="60"/>
            </w:pPr>
            <w:r>
              <w:rPr>
                <w:b/>
                <w:color w:val="FFFFFF"/>
                <w:sz w:val="18"/>
              </w:rPr>
              <w:t>Application in This Project</w:t>
            </w:r>
          </w:p>
        </w:tc>
      </w:tr>
      <w:tr w:rsidR="00467066" w14:paraId="4FA79388" w14:textId="77777777">
        <w:tc>
          <w:tcPr>
            <w:tcW w:w="2154" w:type="dxa"/>
            <w:tcBorders>
              <w:left w:val="single" w:sz="4" w:space="0" w:color="1E2330"/>
              <w:bottom w:val="single" w:sz="4" w:space="0" w:color="2A3045"/>
              <w:right w:val="single" w:sz="4" w:space="0" w:color="1E2330"/>
            </w:tcBorders>
          </w:tcPr>
          <w:p w14:paraId="30B24A15" w14:textId="77777777" w:rsidR="00467066" w:rsidRDefault="00000000">
            <w:pPr>
              <w:spacing w:before="60" w:after="60"/>
            </w:pPr>
            <w:r>
              <w:rPr>
                <w:sz w:val="18"/>
              </w:rPr>
              <w:t>Granger Causality</w:t>
            </w:r>
          </w:p>
        </w:tc>
        <w:tc>
          <w:tcPr>
            <w:tcW w:w="1814" w:type="dxa"/>
            <w:tcBorders>
              <w:left w:val="single" w:sz="4" w:space="0" w:color="1E2330"/>
              <w:bottom w:val="single" w:sz="4" w:space="0" w:color="2A3045"/>
              <w:right w:val="single" w:sz="4" w:space="0" w:color="1E2330"/>
            </w:tcBorders>
          </w:tcPr>
          <w:p w14:paraId="42D0DBC6" w14:textId="77777777" w:rsidR="00467066" w:rsidRDefault="00000000">
            <w:pPr>
              <w:spacing w:before="60" w:after="60"/>
            </w:pPr>
            <w:r>
              <w:rPr>
                <w:sz w:val="18"/>
              </w:rPr>
              <w:t>C.W.J. Granger</w:t>
            </w:r>
          </w:p>
        </w:tc>
        <w:tc>
          <w:tcPr>
            <w:tcW w:w="1020" w:type="dxa"/>
            <w:tcBorders>
              <w:left w:val="single" w:sz="4" w:space="0" w:color="1E2330"/>
              <w:bottom w:val="single" w:sz="4" w:space="0" w:color="2A3045"/>
              <w:right w:val="single" w:sz="4" w:space="0" w:color="1E2330"/>
            </w:tcBorders>
          </w:tcPr>
          <w:p w14:paraId="618C1418" w14:textId="77777777" w:rsidR="00467066" w:rsidRDefault="00000000">
            <w:pPr>
              <w:spacing w:before="60" w:after="60"/>
            </w:pPr>
            <w:r>
              <w:rPr>
                <w:sz w:val="18"/>
              </w:rPr>
              <w:t>1969</w:t>
            </w:r>
          </w:p>
        </w:tc>
        <w:tc>
          <w:tcPr>
            <w:tcW w:w="5272" w:type="dxa"/>
            <w:tcBorders>
              <w:left w:val="single" w:sz="4" w:space="0" w:color="1E2330"/>
              <w:bottom w:val="single" w:sz="4" w:space="0" w:color="2A3045"/>
              <w:right w:val="single" w:sz="4" w:space="0" w:color="1E2330"/>
            </w:tcBorders>
          </w:tcPr>
          <w:p w14:paraId="55EBBC67" w14:textId="77777777" w:rsidR="00467066" w:rsidRDefault="00000000">
            <w:pPr>
              <w:spacing w:before="60" w:after="60"/>
            </w:pPr>
            <w:r>
              <w:rPr>
                <w:sz w:val="18"/>
              </w:rPr>
              <w:t>Directional lead-lag identification between asset pairs at 5% significance</w:t>
            </w:r>
          </w:p>
        </w:tc>
      </w:tr>
      <w:tr w:rsidR="00467066" w14:paraId="60C99842" w14:textId="77777777">
        <w:tc>
          <w:tcPr>
            <w:tcW w:w="2154" w:type="dxa"/>
            <w:tcBorders>
              <w:left w:val="single" w:sz="4" w:space="0" w:color="1E2330"/>
              <w:bottom w:val="single" w:sz="4" w:space="0" w:color="2A3045"/>
              <w:right w:val="single" w:sz="4" w:space="0" w:color="1E2330"/>
            </w:tcBorders>
            <w:shd w:val="clear" w:color="auto" w:fill="161B27"/>
          </w:tcPr>
          <w:p w14:paraId="6AD3B99F" w14:textId="77777777" w:rsidR="00467066" w:rsidRDefault="00000000">
            <w:pPr>
              <w:spacing w:before="60" w:after="60"/>
            </w:pPr>
            <w:r>
              <w:rPr>
                <w:sz w:val="18"/>
              </w:rPr>
              <w:t>Markov Regime-Switching</w:t>
            </w:r>
          </w:p>
        </w:tc>
        <w:tc>
          <w:tcPr>
            <w:tcW w:w="1814" w:type="dxa"/>
            <w:tcBorders>
              <w:left w:val="single" w:sz="4" w:space="0" w:color="1E2330"/>
              <w:bottom w:val="single" w:sz="4" w:space="0" w:color="2A3045"/>
              <w:right w:val="single" w:sz="4" w:space="0" w:color="1E2330"/>
            </w:tcBorders>
            <w:shd w:val="clear" w:color="auto" w:fill="161B27"/>
          </w:tcPr>
          <w:p w14:paraId="5784F435" w14:textId="77777777" w:rsidR="00467066" w:rsidRDefault="00000000">
            <w:pPr>
              <w:spacing w:before="60" w:after="60"/>
            </w:pPr>
            <w:r>
              <w:rPr>
                <w:sz w:val="18"/>
              </w:rPr>
              <w:t>J.D. Hamilton</w:t>
            </w:r>
          </w:p>
        </w:tc>
        <w:tc>
          <w:tcPr>
            <w:tcW w:w="1020" w:type="dxa"/>
            <w:tcBorders>
              <w:left w:val="single" w:sz="4" w:space="0" w:color="1E2330"/>
              <w:bottom w:val="single" w:sz="4" w:space="0" w:color="2A3045"/>
              <w:right w:val="single" w:sz="4" w:space="0" w:color="1E2330"/>
            </w:tcBorders>
            <w:shd w:val="clear" w:color="auto" w:fill="161B27"/>
          </w:tcPr>
          <w:p w14:paraId="2299813A" w14:textId="77777777" w:rsidR="00467066" w:rsidRDefault="00000000">
            <w:pPr>
              <w:spacing w:before="60" w:after="60"/>
            </w:pPr>
            <w:r>
              <w:rPr>
                <w:sz w:val="18"/>
              </w:rPr>
              <w:t>1989</w:t>
            </w:r>
          </w:p>
        </w:tc>
        <w:tc>
          <w:tcPr>
            <w:tcW w:w="5272" w:type="dxa"/>
            <w:tcBorders>
              <w:left w:val="single" w:sz="4" w:space="0" w:color="1E2330"/>
              <w:bottom w:val="single" w:sz="4" w:space="0" w:color="2A3045"/>
              <w:right w:val="single" w:sz="4" w:space="0" w:color="1E2330"/>
            </w:tcBorders>
            <w:shd w:val="clear" w:color="auto" w:fill="161B27"/>
          </w:tcPr>
          <w:p w14:paraId="75FF5E17" w14:textId="77777777" w:rsidR="00467066" w:rsidRDefault="00000000">
            <w:pPr>
              <w:spacing w:before="60" w:after="60"/>
            </w:pPr>
            <w:r>
              <w:rPr>
                <w:sz w:val="18"/>
              </w:rPr>
              <w:t>Four-state correlation regime classification with forward transition forecasts</w:t>
            </w:r>
          </w:p>
        </w:tc>
      </w:tr>
      <w:tr w:rsidR="00467066" w14:paraId="69410122" w14:textId="77777777">
        <w:tc>
          <w:tcPr>
            <w:tcW w:w="2154" w:type="dxa"/>
            <w:tcBorders>
              <w:left w:val="single" w:sz="4" w:space="0" w:color="1E2330"/>
              <w:bottom w:val="single" w:sz="4" w:space="0" w:color="2A3045"/>
              <w:right w:val="single" w:sz="4" w:space="0" w:color="1E2330"/>
            </w:tcBorders>
          </w:tcPr>
          <w:p w14:paraId="30E2F837" w14:textId="77777777" w:rsidR="00467066" w:rsidRDefault="00000000">
            <w:pPr>
              <w:spacing w:before="60" w:after="60"/>
            </w:pPr>
            <w:r>
              <w:rPr>
                <w:sz w:val="18"/>
              </w:rPr>
              <w:t>GARCH / DCC-GARCH</w:t>
            </w:r>
          </w:p>
        </w:tc>
        <w:tc>
          <w:tcPr>
            <w:tcW w:w="1814" w:type="dxa"/>
            <w:tcBorders>
              <w:left w:val="single" w:sz="4" w:space="0" w:color="1E2330"/>
              <w:bottom w:val="single" w:sz="4" w:space="0" w:color="2A3045"/>
              <w:right w:val="single" w:sz="4" w:space="0" w:color="1E2330"/>
            </w:tcBorders>
          </w:tcPr>
          <w:p w14:paraId="0E592076" w14:textId="77777777" w:rsidR="00467066" w:rsidRDefault="00000000">
            <w:pPr>
              <w:spacing w:before="60" w:after="60"/>
            </w:pPr>
            <w:r>
              <w:rPr>
                <w:sz w:val="18"/>
              </w:rPr>
              <w:t>R.F. Engle</w:t>
            </w:r>
          </w:p>
        </w:tc>
        <w:tc>
          <w:tcPr>
            <w:tcW w:w="1020" w:type="dxa"/>
            <w:tcBorders>
              <w:left w:val="single" w:sz="4" w:space="0" w:color="1E2330"/>
              <w:bottom w:val="single" w:sz="4" w:space="0" w:color="2A3045"/>
              <w:right w:val="single" w:sz="4" w:space="0" w:color="1E2330"/>
            </w:tcBorders>
          </w:tcPr>
          <w:p w14:paraId="0C3F177A" w14:textId="77777777" w:rsidR="00467066" w:rsidRDefault="00000000">
            <w:pPr>
              <w:spacing w:before="60" w:after="60"/>
            </w:pPr>
            <w:r>
              <w:rPr>
                <w:sz w:val="18"/>
              </w:rPr>
              <w:t>1982 / 2002</w:t>
            </w:r>
          </w:p>
        </w:tc>
        <w:tc>
          <w:tcPr>
            <w:tcW w:w="5272" w:type="dxa"/>
            <w:tcBorders>
              <w:left w:val="single" w:sz="4" w:space="0" w:color="1E2330"/>
              <w:bottom w:val="single" w:sz="4" w:space="0" w:color="2A3045"/>
              <w:right w:val="single" w:sz="4" w:space="0" w:color="1E2330"/>
            </w:tcBorders>
          </w:tcPr>
          <w:p w14:paraId="6B74572B" w14:textId="77777777" w:rsidR="00467066" w:rsidRDefault="00000000">
            <w:pPr>
              <w:spacing w:before="60" w:after="60"/>
            </w:pPr>
            <w:r>
              <w:rPr>
                <w:sz w:val="18"/>
              </w:rPr>
              <w:t>Dynamic conditional correlation capturing volatility clustering</w:t>
            </w:r>
          </w:p>
        </w:tc>
      </w:tr>
      <w:tr w:rsidR="00467066" w14:paraId="46BCBA2E" w14:textId="77777777">
        <w:tc>
          <w:tcPr>
            <w:tcW w:w="2154" w:type="dxa"/>
            <w:tcBorders>
              <w:left w:val="single" w:sz="4" w:space="0" w:color="1E2330"/>
              <w:bottom w:val="single" w:sz="4" w:space="0" w:color="2A3045"/>
              <w:right w:val="single" w:sz="4" w:space="0" w:color="1E2330"/>
            </w:tcBorders>
            <w:shd w:val="clear" w:color="auto" w:fill="161B27"/>
          </w:tcPr>
          <w:p w14:paraId="7DD56092" w14:textId="77777777" w:rsidR="00467066" w:rsidRDefault="00000000">
            <w:pPr>
              <w:spacing w:before="60" w:after="60"/>
            </w:pPr>
            <w:r>
              <w:rPr>
                <w:sz w:val="18"/>
              </w:rPr>
              <w:t>FEVD Connectedness</w:t>
            </w:r>
          </w:p>
        </w:tc>
        <w:tc>
          <w:tcPr>
            <w:tcW w:w="1814" w:type="dxa"/>
            <w:tcBorders>
              <w:left w:val="single" w:sz="4" w:space="0" w:color="1E2330"/>
              <w:bottom w:val="single" w:sz="4" w:space="0" w:color="2A3045"/>
              <w:right w:val="single" w:sz="4" w:space="0" w:color="1E2330"/>
            </w:tcBorders>
            <w:shd w:val="clear" w:color="auto" w:fill="161B27"/>
          </w:tcPr>
          <w:p w14:paraId="7DE6BE77" w14:textId="77777777" w:rsidR="00467066" w:rsidRDefault="00000000">
            <w:pPr>
              <w:spacing w:before="60" w:after="60"/>
            </w:pPr>
            <w:r>
              <w:rPr>
                <w:sz w:val="18"/>
              </w:rPr>
              <w:t>Diebold &amp; Yilmaz</w:t>
            </w:r>
          </w:p>
        </w:tc>
        <w:tc>
          <w:tcPr>
            <w:tcW w:w="1020" w:type="dxa"/>
            <w:tcBorders>
              <w:left w:val="single" w:sz="4" w:space="0" w:color="1E2330"/>
              <w:bottom w:val="single" w:sz="4" w:space="0" w:color="2A3045"/>
              <w:right w:val="single" w:sz="4" w:space="0" w:color="1E2330"/>
            </w:tcBorders>
            <w:shd w:val="clear" w:color="auto" w:fill="161B27"/>
          </w:tcPr>
          <w:p w14:paraId="1825DDFC" w14:textId="77777777" w:rsidR="00467066" w:rsidRDefault="00000000">
            <w:pPr>
              <w:spacing w:before="60" w:after="60"/>
            </w:pPr>
            <w:r>
              <w:rPr>
                <w:sz w:val="18"/>
              </w:rPr>
              <w:t>2009–2014</w:t>
            </w:r>
          </w:p>
        </w:tc>
        <w:tc>
          <w:tcPr>
            <w:tcW w:w="5272" w:type="dxa"/>
            <w:tcBorders>
              <w:left w:val="single" w:sz="4" w:space="0" w:color="1E2330"/>
              <w:bottom w:val="single" w:sz="4" w:space="0" w:color="2A3045"/>
              <w:right w:val="single" w:sz="4" w:space="0" w:color="1E2330"/>
            </w:tcBorders>
            <w:shd w:val="clear" w:color="auto" w:fill="161B27"/>
          </w:tcPr>
          <w:p w14:paraId="7FC1BEAC" w14:textId="77777777" w:rsidR="00467066" w:rsidRDefault="00000000">
            <w:pPr>
              <w:spacing w:before="60" w:after="60"/>
            </w:pPr>
            <w:r>
              <w:rPr>
                <w:sz w:val="18"/>
              </w:rPr>
              <w:t>System-wide spillover index and directional net transmitter scores</w:t>
            </w:r>
          </w:p>
        </w:tc>
      </w:tr>
      <w:tr w:rsidR="00467066" w14:paraId="756C260C" w14:textId="77777777">
        <w:tc>
          <w:tcPr>
            <w:tcW w:w="2154" w:type="dxa"/>
            <w:tcBorders>
              <w:left w:val="single" w:sz="4" w:space="0" w:color="1E2330"/>
              <w:bottom w:val="single" w:sz="4" w:space="0" w:color="2A3045"/>
              <w:right w:val="single" w:sz="4" w:space="0" w:color="1E2330"/>
            </w:tcBorders>
          </w:tcPr>
          <w:p w14:paraId="513F4D8D" w14:textId="77777777" w:rsidR="00467066" w:rsidRDefault="00000000">
            <w:pPr>
              <w:spacing w:before="60" w:after="60"/>
            </w:pPr>
            <w:r>
              <w:rPr>
                <w:sz w:val="18"/>
              </w:rPr>
              <w:t>Transfer Entropy</w:t>
            </w:r>
          </w:p>
        </w:tc>
        <w:tc>
          <w:tcPr>
            <w:tcW w:w="1814" w:type="dxa"/>
            <w:tcBorders>
              <w:left w:val="single" w:sz="4" w:space="0" w:color="1E2330"/>
              <w:bottom w:val="single" w:sz="4" w:space="0" w:color="2A3045"/>
              <w:right w:val="single" w:sz="4" w:space="0" w:color="1E2330"/>
            </w:tcBorders>
          </w:tcPr>
          <w:p w14:paraId="048F0812" w14:textId="77777777" w:rsidR="00467066" w:rsidRDefault="00000000">
            <w:pPr>
              <w:spacing w:before="60" w:after="60"/>
            </w:pPr>
            <w:r>
              <w:rPr>
                <w:sz w:val="18"/>
              </w:rPr>
              <w:t>T. Schreiber</w:t>
            </w:r>
          </w:p>
        </w:tc>
        <w:tc>
          <w:tcPr>
            <w:tcW w:w="1020" w:type="dxa"/>
            <w:tcBorders>
              <w:left w:val="single" w:sz="4" w:space="0" w:color="1E2330"/>
              <w:bottom w:val="single" w:sz="4" w:space="0" w:color="2A3045"/>
              <w:right w:val="single" w:sz="4" w:space="0" w:color="1E2330"/>
            </w:tcBorders>
          </w:tcPr>
          <w:p w14:paraId="7E3558F3" w14:textId="77777777" w:rsidR="00467066" w:rsidRDefault="00000000">
            <w:pPr>
              <w:spacing w:before="60" w:after="60"/>
            </w:pPr>
            <w:r>
              <w:rPr>
                <w:sz w:val="18"/>
              </w:rPr>
              <w:t>2000</w:t>
            </w:r>
          </w:p>
        </w:tc>
        <w:tc>
          <w:tcPr>
            <w:tcW w:w="5272" w:type="dxa"/>
            <w:tcBorders>
              <w:left w:val="single" w:sz="4" w:space="0" w:color="1E2330"/>
              <w:bottom w:val="single" w:sz="4" w:space="0" w:color="2A3045"/>
              <w:right w:val="single" w:sz="4" w:space="0" w:color="1E2330"/>
            </w:tcBorders>
          </w:tcPr>
          <w:p w14:paraId="5FA26E3E" w14:textId="77777777" w:rsidR="00467066" w:rsidRDefault="00000000">
            <w:pPr>
              <w:spacing w:before="60" w:after="60"/>
            </w:pPr>
            <w:r>
              <w:rPr>
                <w:sz w:val="18"/>
              </w:rPr>
              <w:t>Nonlinear information flow beyond the linear Granger framework</w:t>
            </w:r>
          </w:p>
        </w:tc>
      </w:tr>
      <w:tr w:rsidR="00467066" w14:paraId="1C536E82" w14:textId="77777777">
        <w:tc>
          <w:tcPr>
            <w:tcW w:w="2154" w:type="dxa"/>
            <w:tcBorders>
              <w:left w:val="single" w:sz="4" w:space="0" w:color="1E2330"/>
              <w:bottom w:val="single" w:sz="4" w:space="0" w:color="2A3045"/>
              <w:right w:val="single" w:sz="4" w:space="0" w:color="1E2330"/>
            </w:tcBorders>
            <w:shd w:val="clear" w:color="auto" w:fill="161B27"/>
          </w:tcPr>
          <w:p w14:paraId="50FC9F48" w14:textId="77777777" w:rsidR="00467066" w:rsidRDefault="00000000">
            <w:pPr>
              <w:spacing w:before="60" w:after="60"/>
            </w:pPr>
            <w:r>
              <w:rPr>
                <w:sz w:val="18"/>
              </w:rPr>
              <w:t>Early Warning Systems</w:t>
            </w:r>
          </w:p>
        </w:tc>
        <w:tc>
          <w:tcPr>
            <w:tcW w:w="1814" w:type="dxa"/>
            <w:tcBorders>
              <w:left w:val="single" w:sz="4" w:space="0" w:color="1E2330"/>
              <w:bottom w:val="single" w:sz="4" w:space="0" w:color="2A3045"/>
              <w:right w:val="single" w:sz="4" w:space="0" w:color="1E2330"/>
            </w:tcBorders>
            <w:shd w:val="clear" w:color="auto" w:fill="161B27"/>
          </w:tcPr>
          <w:p w14:paraId="06776FD7" w14:textId="77777777" w:rsidR="00467066" w:rsidRDefault="00000000">
            <w:pPr>
              <w:spacing w:before="60" w:after="60"/>
            </w:pPr>
            <w:r>
              <w:rPr>
                <w:sz w:val="18"/>
              </w:rPr>
              <w:t>Kaminsky et al.</w:t>
            </w:r>
          </w:p>
        </w:tc>
        <w:tc>
          <w:tcPr>
            <w:tcW w:w="1020" w:type="dxa"/>
            <w:tcBorders>
              <w:left w:val="single" w:sz="4" w:space="0" w:color="1E2330"/>
              <w:bottom w:val="single" w:sz="4" w:space="0" w:color="2A3045"/>
              <w:right w:val="single" w:sz="4" w:space="0" w:color="1E2330"/>
            </w:tcBorders>
            <w:shd w:val="clear" w:color="auto" w:fill="161B27"/>
          </w:tcPr>
          <w:p w14:paraId="2F0A470D" w14:textId="77777777" w:rsidR="00467066" w:rsidRDefault="00000000">
            <w:pPr>
              <w:spacing w:before="60" w:after="60"/>
            </w:pPr>
            <w:r>
              <w:rPr>
                <w:sz w:val="18"/>
              </w:rPr>
              <w:t>1998</w:t>
            </w:r>
          </w:p>
        </w:tc>
        <w:tc>
          <w:tcPr>
            <w:tcW w:w="5272" w:type="dxa"/>
            <w:tcBorders>
              <w:left w:val="single" w:sz="4" w:space="0" w:color="1E2330"/>
              <w:bottom w:val="single" w:sz="4" w:space="0" w:color="2A3045"/>
              <w:right w:val="single" w:sz="4" w:space="0" w:color="1E2330"/>
            </w:tcBorders>
            <w:shd w:val="clear" w:color="auto" w:fill="161B27"/>
          </w:tcPr>
          <w:p w14:paraId="38547D30" w14:textId="77777777" w:rsidR="00467066" w:rsidRDefault="00000000">
            <w:pPr>
              <w:spacing w:before="60" w:after="60"/>
            </w:pPr>
            <w:r>
              <w:rPr>
                <w:sz w:val="18"/>
              </w:rPr>
              <w:t>Composite signal-based regime transition detection</w:t>
            </w:r>
          </w:p>
        </w:tc>
      </w:tr>
    </w:tbl>
    <w:p w14:paraId="47C3436C" w14:textId="77777777" w:rsidR="00467066" w:rsidRDefault="00467066">
      <w:pPr>
        <w:spacing w:after="0"/>
      </w:pPr>
    </w:p>
    <w:p w14:paraId="28FE6A0A" w14:textId="77777777" w:rsidR="00467066" w:rsidRDefault="00000000">
      <w:pPr>
        <w:spacing w:after="200"/>
        <w:jc w:val="both"/>
      </w:pPr>
      <w:r>
        <w:rPr>
          <w:i/>
          <w:color w:val="8890A1"/>
          <w:sz w:val="16"/>
        </w:rPr>
        <w:t>Source: Original publications. Python implementations via statsmodels, arch, scipy.</w:t>
      </w:r>
    </w:p>
    <w:p w14:paraId="4336D960" w14:textId="77777777" w:rsidR="00467066" w:rsidRDefault="00000000">
      <w:pPr>
        <w:jc w:val="both"/>
      </w:pPr>
      <w:r>
        <w:t>While each of these methods is well-established individually, their integration into a single, accessible, real-time platform with a unified interface remains absent from both commercial and open-source offerings. The academic-practitioner gap — where rigorous econometric methods remain confined to research code and are not operationalised for day-to-day market monitoring — represents the primary intellectual motivation for this project.</w:t>
      </w:r>
    </w:p>
    <w:p w14:paraId="2A3E0640" w14:textId="77777777" w:rsidR="00467066" w:rsidRDefault="00000000">
      <w:pPr>
        <w:keepNext/>
        <w:pBdr>
          <w:bottom w:val="single" w:sz="6" w:space="4" w:color="2A3045"/>
        </w:pBdr>
        <w:spacing w:before="200" w:after="40"/>
      </w:pPr>
      <w:r>
        <w:rPr>
          <w:b/>
          <w:color w:val="C9A84C"/>
          <w:sz w:val="22"/>
        </w:rPr>
        <w:t>1.3  AI in Financial Analytics</w:t>
      </w:r>
    </w:p>
    <w:p w14:paraId="28829EF1" w14:textId="77777777" w:rsidR="00467066" w:rsidRDefault="00000000">
      <w:pPr>
        <w:jc w:val="both"/>
      </w:pPr>
      <w:r>
        <w:t>The application of large language models (LLMs) to financial analysis is nascent but rapidly maturing. Bloomberg introduced BloombergGPT in 2023 — a 50-billion parameter model trained on financial text corpora, focused on information retrieval and summarisation. Kensho Technologies (acquired by S&amp;P Global) pioneered NLP-based event analysis. Refinitiv News Analytics provides automated sentiment scoring across news feeds. FactSet has introduced Signals for quantitative factor generation.</w:t>
      </w:r>
    </w:p>
    <w:p w14:paraId="36184749" w14:textId="77777777" w:rsidR="00467066" w:rsidRDefault="00000000">
      <w:pPr>
        <w:jc w:val="both"/>
      </w:pPr>
      <w:r>
        <w:t>However, current AI financial tools share a critical limitation: they operate as single-agent, single-domain tools performing text processing or data summarisation. None implement multi-agent orchestrated workflows where specialised agents share structured outputs, build on each other's analysis, and flag inter-agent disagreements. This multi-agent synthesis architecture is the primary AI innovation in this project.</w:t>
      </w:r>
    </w:p>
    <w:tbl>
      <w:tblPr>
        <w:tblW w:w="0" w:type="auto"/>
        <w:tblLook w:val="04A0" w:firstRow="1" w:lastRow="0" w:firstColumn="1" w:lastColumn="0" w:noHBand="0" w:noVBand="1"/>
      </w:tblPr>
      <w:tblGrid>
        <w:gridCol w:w="8784"/>
      </w:tblGrid>
      <w:tr w:rsidR="00467066" w14:paraId="4A18C2BD"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5C739D26" w14:textId="77777777" w:rsidR="00467066" w:rsidRDefault="00000000">
            <w:pPr>
              <w:spacing w:before="80" w:after="40"/>
            </w:pPr>
            <w:r>
              <w:rPr>
                <w:b/>
                <w:color w:val="C9A84C"/>
                <w:sz w:val="16"/>
              </w:rPr>
              <w:t>KEY OBSERVATION</w:t>
            </w:r>
          </w:p>
          <w:p w14:paraId="5A60AEA4" w14:textId="77777777" w:rsidR="00467066" w:rsidRDefault="00000000">
            <w:pPr>
              <w:spacing w:after="80"/>
              <w:jc w:val="both"/>
            </w:pPr>
            <w:r>
              <w:rPr>
                <w:sz w:val="19"/>
              </w:rPr>
              <w:t>Existing AI financial tools summarise data. This platform synthesises it — through seven agents operating in three dependency-ordered rounds, each informed by the structured outputs of its upstream peers before generating its own analysis.</w:t>
            </w:r>
          </w:p>
        </w:tc>
      </w:tr>
    </w:tbl>
    <w:p w14:paraId="32F39B7C" w14:textId="77777777" w:rsidR="00467066" w:rsidRDefault="00467066">
      <w:pPr>
        <w:spacing w:after="0"/>
      </w:pPr>
    </w:p>
    <w:p w14:paraId="46A0C12F" w14:textId="77777777" w:rsidR="00467066" w:rsidRDefault="00000000">
      <w:pPr>
        <w:keepNext/>
        <w:pBdr>
          <w:bottom w:val="single" w:sz="6" w:space="4" w:color="2A3045"/>
        </w:pBdr>
        <w:spacing w:before="200" w:after="40"/>
      </w:pPr>
      <w:r>
        <w:rPr>
          <w:b/>
          <w:color w:val="C9A84C"/>
          <w:sz w:val="22"/>
        </w:rPr>
        <w:t>1.4  Competitive Landscape</w:t>
      </w:r>
    </w:p>
    <w:p w14:paraId="201FF973" w14:textId="77777777" w:rsidR="00467066" w:rsidRDefault="00000000">
      <w:pPr>
        <w:jc w:val="both"/>
      </w:pPr>
      <w:r>
        <w:t>Beyond institutional platforms, the landscape includes data visualisation and fintech analytics tools targeting retail investors and smaller institutions: TradingView (technical analysis, basic correlation), Koyfin (cross-asset charting), Portfolio Visualizer (historical backtesting), Macroaxis and Seeking Alpha (AI-assisted fundamental analysis). None of these platforms implement quantitative spillover analytics, geopolitical event-window forensics, parametric scenario propagation with live betas, or multi-agent AI synthesis.</w:t>
      </w:r>
    </w:p>
    <w:p w14:paraId="05B16E4C" w14:textId="77777777" w:rsidR="00467066" w:rsidRDefault="00000000">
      <w:r>
        <w:br w:type="page"/>
      </w:r>
    </w:p>
    <w:p w14:paraId="02E111F6" w14:textId="77777777" w:rsidR="00467066" w:rsidRDefault="00000000">
      <w:pPr>
        <w:keepNext/>
        <w:spacing w:before="240" w:after="20"/>
      </w:pPr>
      <w:r>
        <w:rPr>
          <w:color w:val="C9A84C"/>
          <w:sz w:val="15"/>
        </w:rPr>
        <w:lastRenderedPageBreak/>
        <w:t>SECTION 2</w:t>
      </w:r>
    </w:p>
    <w:p w14:paraId="0F7AAE43" w14:textId="77777777" w:rsidR="00467066" w:rsidRDefault="00000000">
      <w:pPr>
        <w:keepNext/>
        <w:pBdr>
          <w:bottom w:val="single" w:sz="10" w:space="4" w:color="C9A84C"/>
        </w:pBdr>
        <w:spacing w:after="60"/>
      </w:pPr>
      <w:r>
        <w:rPr>
          <w:b/>
          <w:color w:val="FFFFFF"/>
          <w:sz w:val="28"/>
        </w:rPr>
        <w:t>Gap Analysis</w:t>
      </w:r>
    </w:p>
    <w:p w14:paraId="707BF40A" w14:textId="77777777" w:rsidR="00467066" w:rsidRDefault="00000000">
      <w:pPr>
        <w:spacing w:before="40" w:after="160"/>
        <w:jc w:val="both"/>
      </w:pPr>
      <w:r>
        <w:rPr>
          <w:i/>
          <w:color w:val="8890A1"/>
          <w:sz w:val="18"/>
        </w:rPr>
        <w:t>Identification of unaddressed market needs and structural limitations in existing platforms.</w:t>
      </w:r>
    </w:p>
    <w:p w14:paraId="5E4E2136" w14:textId="77777777" w:rsidR="00467066" w:rsidRDefault="00467066">
      <w:pPr>
        <w:spacing w:after="0"/>
      </w:pPr>
    </w:p>
    <w:p w14:paraId="765CFEF0" w14:textId="77777777" w:rsidR="00467066" w:rsidRDefault="00000000">
      <w:pPr>
        <w:keepNext/>
        <w:pBdr>
          <w:bottom w:val="single" w:sz="6" w:space="4" w:color="2A3045"/>
        </w:pBdr>
        <w:spacing w:before="200" w:after="40"/>
      </w:pPr>
      <w:r>
        <w:rPr>
          <w:b/>
          <w:color w:val="C9A84C"/>
          <w:sz w:val="22"/>
        </w:rPr>
        <w:t>2.1  Identified Gaps in Existing Solutions</w:t>
      </w:r>
    </w:p>
    <w:p w14:paraId="68AD33B9" w14:textId="77777777" w:rsidR="00467066" w:rsidRDefault="00000000">
      <w:pPr>
        <w:spacing w:after="140"/>
        <w:jc w:val="both"/>
      </w:pPr>
      <w:r>
        <w:rPr>
          <w:b/>
          <w:color w:val="C9A84C"/>
          <w:sz w:val="19"/>
        </w:rPr>
        <w:t xml:space="preserve">Gap 1: Cost Accessibility — </w:t>
      </w:r>
      <w:r>
        <w:rPr>
          <w:sz w:val="19"/>
        </w:rPr>
        <w:t>Bloomberg Terminal and Refinitiv Eikon are priced at USD 18,000–30,000 per annum. This structure is inaccessible to academic researchers, emerging market practitioners, independent analysts, and smaller investment funds. No open-source alternative provides comparable cross-asset analytical breadth with a unified interface.</w:t>
      </w:r>
    </w:p>
    <w:p w14:paraId="57A627AF" w14:textId="77777777" w:rsidR="00467066" w:rsidRDefault="00000000">
      <w:pPr>
        <w:spacing w:after="140"/>
        <w:jc w:val="both"/>
      </w:pPr>
      <w:r>
        <w:rPr>
          <w:b/>
          <w:color w:val="C9A84C"/>
          <w:sz w:val="19"/>
        </w:rPr>
        <w:t xml:space="preserve">Gap 2: Integration Fragmentation — </w:t>
      </w:r>
      <w:r>
        <w:rPr>
          <w:sz w:val="19"/>
        </w:rPr>
        <w:t>Spillover analytics, geopolitical risk monitoring, macro intelligence, implied volatility tracking, and trade idea generation currently exist as separate, disconnected workflows. A practitioner must query multiple platforms and manually synthesise outputs — introducing latency and human error in high-volatility environments. No unified, end-to-end workflow exists.</w:t>
      </w:r>
    </w:p>
    <w:p w14:paraId="1C4D387F" w14:textId="77777777" w:rsidR="00467066" w:rsidRDefault="00000000">
      <w:pPr>
        <w:spacing w:after="140"/>
        <w:jc w:val="both"/>
      </w:pPr>
      <w:r>
        <w:rPr>
          <w:b/>
          <w:color w:val="C9A84C"/>
          <w:sz w:val="19"/>
        </w:rPr>
        <w:t xml:space="preserve">Gap 3: Static Correlation Methods — </w:t>
      </w:r>
      <w:r>
        <w:rPr>
          <w:sz w:val="19"/>
        </w:rPr>
        <w:t>Standard rolling correlation (Pearson) uses fixed lookback windows and does not account for volatility clustering. DCC-GARCH — methodologically superior for regime-change environments — is absent from all publicly available non-terminal dashboards.</w:t>
      </w:r>
    </w:p>
    <w:p w14:paraId="597D2465" w14:textId="77777777" w:rsidR="00467066" w:rsidRDefault="00000000">
      <w:pPr>
        <w:spacing w:after="140"/>
        <w:jc w:val="both"/>
      </w:pPr>
      <w:r>
        <w:rPr>
          <w:b/>
          <w:color w:val="C9A84C"/>
          <w:sz w:val="19"/>
        </w:rPr>
        <w:t xml:space="preserve">Gap 4: No Forward-Looking Regime Forecasting — </w:t>
      </w:r>
      <w:r>
        <w:rPr>
          <w:sz w:val="19"/>
        </w:rPr>
        <w:t>Existing tools classify the current regime but do not provide probabilistic forecasts of regime transitions. The Markov transition matrix, steady-state distribution, and mean first-passage time to Crisis — outputs directly informing risk management decisions — are absent from standard analytics platforms.</w:t>
      </w:r>
    </w:p>
    <w:p w14:paraId="30EA22BD" w14:textId="77777777" w:rsidR="00467066" w:rsidRDefault="00000000">
      <w:pPr>
        <w:spacing w:after="140"/>
        <w:jc w:val="both"/>
      </w:pPr>
      <w:r>
        <w:rPr>
          <w:b/>
          <w:color w:val="C9A84C"/>
          <w:sz w:val="19"/>
        </w:rPr>
        <w:t xml:space="preserve">Gap 5: AI Synthesis vs. AI Summarisation — </w:t>
      </w:r>
      <w:r>
        <w:rPr>
          <w:sz w:val="19"/>
        </w:rPr>
        <w:t>Current AI financial tools retrieve and summarise data. They do not perform multi-domain synthesis across simultaneously active analytical frameworks. Seven specialist agents — macro, geopolitical, risk, commodities, stress, trade, signal — each reading its peers' structured outputs before forming its own view is qualitatively distinct from any existing commercial offering.</w:t>
      </w:r>
    </w:p>
    <w:p w14:paraId="214383A7" w14:textId="77777777" w:rsidR="00467066" w:rsidRDefault="00000000">
      <w:pPr>
        <w:spacing w:after="140"/>
        <w:jc w:val="both"/>
      </w:pPr>
      <w:r>
        <w:rPr>
          <w:b/>
          <w:color w:val="C9A84C"/>
          <w:sz w:val="19"/>
        </w:rPr>
        <w:t xml:space="preserve">Gap 6: Geopolitical-Market Linkage — </w:t>
      </w:r>
      <w:r>
        <w:rPr>
          <w:sz w:val="19"/>
        </w:rPr>
        <w:t>No publicly available tool systematically maps geopolitical shocks to cross-asset correlation regime changes with empirical event-window analysis. Forensic examination of pre, during, and post-event performance across thirteen shocks since 2008 — with vol shift and correlation regime attribution — is not available on any accessible platform.</w:t>
      </w:r>
    </w:p>
    <w:p w14:paraId="361E7316" w14:textId="77777777" w:rsidR="00467066" w:rsidRDefault="00000000">
      <w:pPr>
        <w:spacing w:after="140"/>
        <w:jc w:val="both"/>
      </w:pPr>
      <w:r>
        <w:rPr>
          <w:b/>
          <w:color w:val="C9A84C"/>
          <w:sz w:val="19"/>
        </w:rPr>
        <w:t xml:space="preserve">Gap 7: Parametric Scenario Propagation — </w:t>
      </w:r>
      <w:r>
        <w:rPr>
          <w:sz w:val="19"/>
        </w:rPr>
        <w:t>Scenario analysis tools are either proprietary or overly simplified. No accessible tool combines parametric multi-channel shock inputs (oil, gold, yields, DXY, credit, geopolitical) with live OLS beta propagation to a full cross-asset universe and outputs VaR and ES at multiple confidence levels.</w:t>
      </w:r>
    </w:p>
    <w:p w14:paraId="4931EF87" w14:textId="77777777" w:rsidR="00467066" w:rsidRDefault="00000000">
      <w:pPr>
        <w:keepNext/>
        <w:pBdr>
          <w:bottom w:val="single" w:sz="6" w:space="4" w:color="2A3045"/>
        </w:pBdr>
        <w:spacing w:before="200" w:after="40"/>
      </w:pPr>
      <w:r>
        <w:rPr>
          <w:b/>
          <w:color w:val="C9A84C"/>
          <w:sz w:val="22"/>
        </w:rPr>
        <w:t>2.2  Opportunity Summary</w:t>
      </w:r>
    </w:p>
    <w:p w14:paraId="1BBEF466" w14:textId="77777777" w:rsidR="00467066" w:rsidRDefault="00000000">
      <w:pPr>
        <w:jc w:val="both"/>
      </w:pPr>
      <w:r>
        <w:t>The convergence of three trends creates a timely opportunity: (1) the increasing availability of institutional-grade free data via Yahoo Finance and FRED; (2) the maturation of open-source econometric libraries implementing rigorous academic methods; and (3) the emergence of accessible, high-capability LLM APIs enabling multi-agent orchestration. The opportunity is to build an institutional-grade cross-asset analytics platform that is fully open-source, deployable at zero marginal cost, and methodologically rigorous.</w:t>
      </w:r>
    </w:p>
    <w:p w14:paraId="07B2A52E" w14:textId="77777777" w:rsidR="00467066" w:rsidRDefault="00467066">
      <w:pPr>
        <w:spacing w:after="0"/>
      </w:pPr>
    </w:p>
    <w:p w14:paraId="645DD30A" w14:textId="77777777" w:rsidR="008D22A8" w:rsidRDefault="008D22A8">
      <w:pPr>
        <w:spacing w:after="200"/>
        <w:rPr>
          <w:b/>
          <w:color w:val="8890A1"/>
          <w:sz w:val="18"/>
        </w:rPr>
      </w:pPr>
      <w:r>
        <w:rPr>
          <w:b/>
          <w:color w:val="8890A1"/>
          <w:sz w:val="18"/>
        </w:rPr>
        <w:br w:type="page"/>
      </w:r>
    </w:p>
    <w:p w14:paraId="6B778B0F" w14:textId="4A4C18BC" w:rsidR="00467066" w:rsidRDefault="00000000">
      <w:pPr>
        <w:keepNext/>
        <w:spacing w:before="120" w:after="60"/>
      </w:pPr>
      <w:r>
        <w:rPr>
          <w:b/>
          <w:color w:val="8890A1"/>
          <w:sz w:val="18"/>
        </w:rPr>
        <w:lastRenderedPageBreak/>
        <w:t>Table 2.1 — Opportunity Matrix</w:t>
      </w:r>
    </w:p>
    <w:tbl>
      <w:tblPr>
        <w:tblStyle w:val="TableGrid"/>
        <w:tblW w:w="0" w:type="auto"/>
        <w:tblLook w:val="04A0" w:firstRow="1" w:lastRow="0" w:firstColumn="1" w:lastColumn="0" w:noHBand="0" w:noVBand="1"/>
      </w:tblPr>
      <w:tblGrid>
        <w:gridCol w:w="3118"/>
        <w:gridCol w:w="4535"/>
        <w:gridCol w:w="1474"/>
      </w:tblGrid>
      <w:tr w:rsidR="00467066" w14:paraId="47191100" w14:textId="77777777">
        <w:trPr>
          <w:tblHeader/>
        </w:trPr>
        <w:tc>
          <w:tcPr>
            <w:tcW w:w="3118"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641EA4E0" w14:textId="77777777" w:rsidR="00467066" w:rsidRDefault="00000000">
            <w:pPr>
              <w:spacing w:before="60" w:after="60"/>
            </w:pPr>
            <w:r>
              <w:rPr>
                <w:b/>
                <w:color w:val="FFFFFF"/>
                <w:sz w:val="18"/>
              </w:rPr>
              <w:t>Gap Identified</w:t>
            </w:r>
          </w:p>
        </w:tc>
        <w:tc>
          <w:tcPr>
            <w:tcW w:w="4535"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06A80AE8" w14:textId="77777777" w:rsidR="00467066" w:rsidRDefault="00000000">
            <w:pPr>
              <w:spacing w:before="60" w:after="60"/>
            </w:pPr>
            <w:r>
              <w:rPr>
                <w:b/>
                <w:color w:val="FFFFFF"/>
                <w:sz w:val="18"/>
              </w:rPr>
              <w:t>Opportunity Addressed</w:t>
            </w:r>
          </w:p>
        </w:tc>
        <w:tc>
          <w:tcPr>
            <w:tcW w:w="1474"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77B71E79" w14:textId="77777777" w:rsidR="00467066" w:rsidRDefault="00000000">
            <w:pPr>
              <w:spacing w:before="60" w:after="60"/>
            </w:pPr>
            <w:r>
              <w:rPr>
                <w:b/>
                <w:color w:val="FFFFFF"/>
                <w:sz w:val="18"/>
              </w:rPr>
              <w:t>Priority</w:t>
            </w:r>
          </w:p>
        </w:tc>
      </w:tr>
      <w:tr w:rsidR="00467066" w14:paraId="411C0CEA" w14:textId="77777777">
        <w:tc>
          <w:tcPr>
            <w:tcW w:w="3118" w:type="dxa"/>
            <w:tcBorders>
              <w:left w:val="single" w:sz="4" w:space="0" w:color="1E2330"/>
              <w:bottom w:val="single" w:sz="4" w:space="0" w:color="2A3045"/>
              <w:right w:val="single" w:sz="4" w:space="0" w:color="1E2330"/>
            </w:tcBorders>
          </w:tcPr>
          <w:p w14:paraId="27AE0F62" w14:textId="77777777" w:rsidR="00467066" w:rsidRDefault="00000000">
            <w:pPr>
              <w:spacing w:before="60" w:after="60"/>
            </w:pPr>
            <w:r>
              <w:rPr>
                <w:sz w:val="18"/>
              </w:rPr>
              <w:t>Cost accessibility</w:t>
            </w:r>
          </w:p>
        </w:tc>
        <w:tc>
          <w:tcPr>
            <w:tcW w:w="4535" w:type="dxa"/>
            <w:tcBorders>
              <w:left w:val="single" w:sz="4" w:space="0" w:color="1E2330"/>
              <w:bottom w:val="single" w:sz="4" w:space="0" w:color="2A3045"/>
              <w:right w:val="single" w:sz="4" w:space="0" w:color="1E2330"/>
            </w:tcBorders>
          </w:tcPr>
          <w:p w14:paraId="5B90E908" w14:textId="77777777" w:rsidR="00467066" w:rsidRDefault="00000000">
            <w:pPr>
              <w:spacing w:before="60" w:after="60"/>
            </w:pPr>
            <w:r>
              <w:rPr>
                <w:sz w:val="18"/>
              </w:rPr>
              <w:t>Open-source, free-to-deploy platform</w:t>
            </w:r>
          </w:p>
        </w:tc>
        <w:tc>
          <w:tcPr>
            <w:tcW w:w="1474" w:type="dxa"/>
            <w:tcBorders>
              <w:left w:val="single" w:sz="4" w:space="0" w:color="1E2330"/>
              <w:bottom w:val="single" w:sz="4" w:space="0" w:color="2A3045"/>
              <w:right w:val="single" w:sz="4" w:space="0" w:color="1E2330"/>
            </w:tcBorders>
          </w:tcPr>
          <w:p w14:paraId="6148CE37" w14:textId="77777777" w:rsidR="00467066" w:rsidRDefault="00000000">
            <w:pPr>
              <w:spacing w:before="60" w:after="60"/>
            </w:pPr>
            <w:r>
              <w:rPr>
                <w:sz w:val="18"/>
              </w:rPr>
              <w:t>Critical</w:t>
            </w:r>
          </w:p>
        </w:tc>
      </w:tr>
      <w:tr w:rsidR="00467066" w14:paraId="16CE1747" w14:textId="77777777">
        <w:tc>
          <w:tcPr>
            <w:tcW w:w="3118" w:type="dxa"/>
            <w:tcBorders>
              <w:left w:val="single" w:sz="4" w:space="0" w:color="1E2330"/>
              <w:bottom w:val="single" w:sz="4" w:space="0" w:color="2A3045"/>
              <w:right w:val="single" w:sz="4" w:space="0" w:color="1E2330"/>
            </w:tcBorders>
            <w:shd w:val="clear" w:color="auto" w:fill="161B27"/>
          </w:tcPr>
          <w:p w14:paraId="6C284D4A" w14:textId="77777777" w:rsidR="00467066" w:rsidRDefault="00000000">
            <w:pPr>
              <w:spacing w:before="60" w:after="60"/>
            </w:pPr>
            <w:r>
              <w:rPr>
                <w:sz w:val="18"/>
              </w:rPr>
              <w:t>Integration fragmentation</w:t>
            </w:r>
          </w:p>
        </w:tc>
        <w:tc>
          <w:tcPr>
            <w:tcW w:w="4535" w:type="dxa"/>
            <w:tcBorders>
              <w:left w:val="single" w:sz="4" w:space="0" w:color="1E2330"/>
              <w:bottom w:val="single" w:sz="4" w:space="0" w:color="2A3045"/>
              <w:right w:val="single" w:sz="4" w:space="0" w:color="1E2330"/>
            </w:tcBorders>
            <w:shd w:val="clear" w:color="auto" w:fill="161B27"/>
          </w:tcPr>
          <w:p w14:paraId="6129F961" w14:textId="77777777" w:rsidR="00467066" w:rsidRDefault="00000000">
            <w:pPr>
              <w:spacing w:before="60" w:after="60"/>
            </w:pPr>
            <w:r>
              <w:rPr>
                <w:sz w:val="18"/>
              </w:rPr>
              <w:t>Unified 14-page analytical workspace</w:t>
            </w:r>
          </w:p>
        </w:tc>
        <w:tc>
          <w:tcPr>
            <w:tcW w:w="1474" w:type="dxa"/>
            <w:tcBorders>
              <w:left w:val="single" w:sz="4" w:space="0" w:color="1E2330"/>
              <w:bottom w:val="single" w:sz="4" w:space="0" w:color="2A3045"/>
              <w:right w:val="single" w:sz="4" w:space="0" w:color="1E2330"/>
            </w:tcBorders>
            <w:shd w:val="clear" w:color="auto" w:fill="161B27"/>
          </w:tcPr>
          <w:p w14:paraId="2250F4DA" w14:textId="77777777" w:rsidR="00467066" w:rsidRDefault="00000000">
            <w:pPr>
              <w:spacing w:before="60" w:after="60"/>
            </w:pPr>
            <w:r>
              <w:rPr>
                <w:sz w:val="18"/>
              </w:rPr>
              <w:t>Critical</w:t>
            </w:r>
          </w:p>
        </w:tc>
      </w:tr>
      <w:tr w:rsidR="00467066" w14:paraId="0BDF0B99" w14:textId="77777777">
        <w:tc>
          <w:tcPr>
            <w:tcW w:w="3118" w:type="dxa"/>
            <w:tcBorders>
              <w:left w:val="single" w:sz="4" w:space="0" w:color="1E2330"/>
              <w:bottom w:val="single" w:sz="4" w:space="0" w:color="2A3045"/>
              <w:right w:val="single" w:sz="4" w:space="0" w:color="1E2330"/>
            </w:tcBorders>
          </w:tcPr>
          <w:p w14:paraId="7B5FCE97" w14:textId="77777777" w:rsidR="00467066" w:rsidRDefault="00000000">
            <w:pPr>
              <w:spacing w:before="60" w:after="60"/>
            </w:pPr>
            <w:r>
              <w:rPr>
                <w:sz w:val="18"/>
              </w:rPr>
              <w:t>Static correlation only</w:t>
            </w:r>
          </w:p>
        </w:tc>
        <w:tc>
          <w:tcPr>
            <w:tcW w:w="4535" w:type="dxa"/>
            <w:tcBorders>
              <w:left w:val="single" w:sz="4" w:space="0" w:color="1E2330"/>
              <w:bottom w:val="single" w:sz="4" w:space="0" w:color="2A3045"/>
              <w:right w:val="single" w:sz="4" w:space="0" w:color="1E2330"/>
            </w:tcBorders>
          </w:tcPr>
          <w:p w14:paraId="258561DB" w14:textId="77777777" w:rsidR="00467066" w:rsidRDefault="00000000">
            <w:pPr>
              <w:spacing w:before="60" w:after="60"/>
            </w:pPr>
            <w:r>
              <w:rPr>
                <w:sz w:val="18"/>
              </w:rPr>
              <w:t>DCC-GARCH dynamic conditional correlation</w:t>
            </w:r>
          </w:p>
        </w:tc>
        <w:tc>
          <w:tcPr>
            <w:tcW w:w="1474" w:type="dxa"/>
            <w:tcBorders>
              <w:left w:val="single" w:sz="4" w:space="0" w:color="1E2330"/>
              <w:bottom w:val="single" w:sz="4" w:space="0" w:color="2A3045"/>
              <w:right w:val="single" w:sz="4" w:space="0" w:color="1E2330"/>
            </w:tcBorders>
          </w:tcPr>
          <w:p w14:paraId="0907D0B9" w14:textId="77777777" w:rsidR="00467066" w:rsidRDefault="00000000">
            <w:pPr>
              <w:spacing w:before="60" w:after="60"/>
            </w:pPr>
            <w:r>
              <w:rPr>
                <w:sz w:val="18"/>
              </w:rPr>
              <w:t>High</w:t>
            </w:r>
          </w:p>
        </w:tc>
      </w:tr>
      <w:tr w:rsidR="00467066" w14:paraId="05726D14" w14:textId="77777777">
        <w:tc>
          <w:tcPr>
            <w:tcW w:w="3118" w:type="dxa"/>
            <w:tcBorders>
              <w:left w:val="single" w:sz="4" w:space="0" w:color="1E2330"/>
              <w:bottom w:val="single" w:sz="4" w:space="0" w:color="2A3045"/>
              <w:right w:val="single" w:sz="4" w:space="0" w:color="1E2330"/>
            </w:tcBorders>
            <w:shd w:val="clear" w:color="auto" w:fill="161B27"/>
          </w:tcPr>
          <w:p w14:paraId="06CC9D84" w14:textId="77777777" w:rsidR="00467066" w:rsidRDefault="00000000">
            <w:pPr>
              <w:spacing w:before="60" w:after="60"/>
            </w:pPr>
            <w:r>
              <w:rPr>
                <w:sz w:val="18"/>
              </w:rPr>
              <w:t>No regime forecasting</w:t>
            </w:r>
          </w:p>
        </w:tc>
        <w:tc>
          <w:tcPr>
            <w:tcW w:w="4535" w:type="dxa"/>
            <w:tcBorders>
              <w:left w:val="single" w:sz="4" w:space="0" w:color="1E2330"/>
              <w:bottom w:val="single" w:sz="4" w:space="0" w:color="2A3045"/>
              <w:right w:val="single" w:sz="4" w:space="0" w:color="1E2330"/>
            </w:tcBorders>
            <w:shd w:val="clear" w:color="auto" w:fill="161B27"/>
          </w:tcPr>
          <w:p w14:paraId="72C37584" w14:textId="77777777" w:rsidR="00467066" w:rsidRDefault="00000000">
            <w:pPr>
              <w:spacing w:before="60" w:after="60"/>
            </w:pPr>
            <w:r>
              <w:rPr>
                <w:sz w:val="18"/>
              </w:rPr>
              <w:t>Markov transition matrix with first-passage times</w:t>
            </w:r>
          </w:p>
        </w:tc>
        <w:tc>
          <w:tcPr>
            <w:tcW w:w="1474" w:type="dxa"/>
            <w:tcBorders>
              <w:left w:val="single" w:sz="4" w:space="0" w:color="1E2330"/>
              <w:bottom w:val="single" w:sz="4" w:space="0" w:color="2A3045"/>
              <w:right w:val="single" w:sz="4" w:space="0" w:color="1E2330"/>
            </w:tcBorders>
            <w:shd w:val="clear" w:color="auto" w:fill="161B27"/>
          </w:tcPr>
          <w:p w14:paraId="4F803B5E" w14:textId="77777777" w:rsidR="00467066" w:rsidRDefault="00000000">
            <w:pPr>
              <w:spacing w:before="60" w:after="60"/>
            </w:pPr>
            <w:r>
              <w:rPr>
                <w:sz w:val="18"/>
              </w:rPr>
              <w:t>High</w:t>
            </w:r>
          </w:p>
        </w:tc>
      </w:tr>
      <w:tr w:rsidR="00467066" w14:paraId="0B29CFA0" w14:textId="77777777">
        <w:tc>
          <w:tcPr>
            <w:tcW w:w="3118" w:type="dxa"/>
            <w:tcBorders>
              <w:left w:val="single" w:sz="4" w:space="0" w:color="1E2330"/>
              <w:bottom w:val="single" w:sz="4" w:space="0" w:color="2A3045"/>
              <w:right w:val="single" w:sz="4" w:space="0" w:color="1E2330"/>
            </w:tcBorders>
          </w:tcPr>
          <w:p w14:paraId="11CF4946" w14:textId="77777777" w:rsidR="00467066" w:rsidRDefault="00000000">
            <w:pPr>
              <w:spacing w:before="60" w:after="60"/>
            </w:pPr>
            <w:r>
              <w:rPr>
                <w:sz w:val="18"/>
              </w:rPr>
              <w:t>AI summarisation only</w:t>
            </w:r>
          </w:p>
        </w:tc>
        <w:tc>
          <w:tcPr>
            <w:tcW w:w="4535" w:type="dxa"/>
            <w:tcBorders>
              <w:left w:val="single" w:sz="4" w:space="0" w:color="1E2330"/>
              <w:bottom w:val="single" w:sz="4" w:space="0" w:color="2A3045"/>
              <w:right w:val="single" w:sz="4" w:space="0" w:color="1E2330"/>
            </w:tcBorders>
          </w:tcPr>
          <w:p w14:paraId="583AADF6" w14:textId="77777777" w:rsidR="00467066" w:rsidRDefault="00000000">
            <w:pPr>
              <w:spacing w:before="60" w:after="60"/>
            </w:pPr>
            <w:r>
              <w:rPr>
                <w:sz w:val="18"/>
              </w:rPr>
              <w:t>7-agent dependency-ordered synthesis pipeline</w:t>
            </w:r>
          </w:p>
        </w:tc>
        <w:tc>
          <w:tcPr>
            <w:tcW w:w="1474" w:type="dxa"/>
            <w:tcBorders>
              <w:left w:val="single" w:sz="4" w:space="0" w:color="1E2330"/>
              <w:bottom w:val="single" w:sz="4" w:space="0" w:color="2A3045"/>
              <w:right w:val="single" w:sz="4" w:space="0" w:color="1E2330"/>
            </w:tcBorders>
          </w:tcPr>
          <w:p w14:paraId="5E30A4A9" w14:textId="77777777" w:rsidR="00467066" w:rsidRDefault="00000000">
            <w:pPr>
              <w:spacing w:before="60" w:after="60"/>
            </w:pPr>
            <w:r>
              <w:rPr>
                <w:sz w:val="18"/>
              </w:rPr>
              <w:t>High</w:t>
            </w:r>
          </w:p>
        </w:tc>
      </w:tr>
      <w:tr w:rsidR="00467066" w14:paraId="684BBB87" w14:textId="77777777">
        <w:tc>
          <w:tcPr>
            <w:tcW w:w="3118" w:type="dxa"/>
            <w:tcBorders>
              <w:left w:val="single" w:sz="4" w:space="0" w:color="1E2330"/>
              <w:bottom w:val="single" w:sz="4" w:space="0" w:color="2A3045"/>
              <w:right w:val="single" w:sz="4" w:space="0" w:color="1E2330"/>
            </w:tcBorders>
            <w:shd w:val="clear" w:color="auto" w:fill="161B27"/>
          </w:tcPr>
          <w:p w14:paraId="5E0ED3A3" w14:textId="77777777" w:rsidR="00467066" w:rsidRDefault="00000000">
            <w:pPr>
              <w:spacing w:before="60" w:after="60"/>
            </w:pPr>
            <w:r>
              <w:rPr>
                <w:sz w:val="18"/>
              </w:rPr>
              <w:t>No geo-market forensics</w:t>
            </w:r>
          </w:p>
        </w:tc>
        <w:tc>
          <w:tcPr>
            <w:tcW w:w="4535" w:type="dxa"/>
            <w:tcBorders>
              <w:left w:val="single" w:sz="4" w:space="0" w:color="1E2330"/>
              <w:bottom w:val="single" w:sz="4" w:space="0" w:color="2A3045"/>
              <w:right w:val="single" w:sz="4" w:space="0" w:color="1E2330"/>
            </w:tcBorders>
            <w:shd w:val="clear" w:color="auto" w:fill="161B27"/>
          </w:tcPr>
          <w:p w14:paraId="79D9FBFD" w14:textId="77777777" w:rsidR="00467066" w:rsidRDefault="00000000">
            <w:pPr>
              <w:spacing w:before="60" w:after="60"/>
            </w:pPr>
            <w:r>
              <w:rPr>
                <w:sz w:val="18"/>
              </w:rPr>
              <w:t>13-event window analysis with regime attribution</w:t>
            </w:r>
          </w:p>
        </w:tc>
        <w:tc>
          <w:tcPr>
            <w:tcW w:w="1474" w:type="dxa"/>
            <w:tcBorders>
              <w:left w:val="single" w:sz="4" w:space="0" w:color="1E2330"/>
              <w:bottom w:val="single" w:sz="4" w:space="0" w:color="2A3045"/>
              <w:right w:val="single" w:sz="4" w:space="0" w:color="1E2330"/>
            </w:tcBorders>
            <w:shd w:val="clear" w:color="auto" w:fill="161B27"/>
          </w:tcPr>
          <w:p w14:paraId="3AA508B4" w14:textId="77777777" w:rsidR="00467066" w:rsidRDefault="00000000">
            <w:pPr>
              <w:spacing w:before="60" w:after="60"/>
            </w:pPr>
            <w:r>
              <w:rPr>
                <w:sz w:val="18"/>
              </w:rPr>
              <w:t>Medium</w:t>
            </w:r>
          </w:p>
        </w:tc>
      </w:tr>
      <w:tr w:rsidR="00467066" w14:paraId="65E04457" w14:textId="77777777">
        <w:tc>
          <w:tcPr>
            <w:tcW w:w="3118" w:type="dxa"/>
            <w:tcBorders>
              <w:left w:val="single" w:sz="4" w:space="0" w:color="1E2330"/>
              <w:bottom w:val="single" w:sz="4" w:space="0" w:color="2A3045"/>
              <w:right w:val="single" w:sz="4" w:space="0" w:color="1E2330"/>
            </w:tcBorders>
          </w:tcPr>
          <w:p w14:paraId="3C661797" w14:textId="77777777" w:rsidR="00467066" w:rsidRDefault="00000000">
            <w:pPr>
              <w:spacing w:before="60" w:after="60"/>
            </w:pPr>
            <w:r>
              <w:rPr>
                <w:sz w:val="18"/>
              </w:rPr>
              <w:t>No scenario propagation</w:t>
            </w:r>
          </w:p>
        </w:tc>
        <w:tc>
          <w:tcPr>
            <w:tcW w:w="4535" w:type="dxa"/>
            <w:tcBorders>
              <w:left w:val="single" w:sz="4" w:space="0" w:color="1E2330"/>
              <w:bottom w:val="single" w:sz="4" w:space="0" w:color="2A3045"/>
              <w:right w:val="single" w:sz="4" w:space="0" w:color="1E2330"/>
            </w:tcBorders>
          </w:tcPr>
          <w:p w14:paraId="33A3C4C3" w14:textId="77777777" w:rsidR="00467066" w:rsidRDefault="00000000">
            <w:pPr>
              <w:spacing w:before="60" w:after="60"/>
            </w:pPr>
            <w:r>
              <w:rPr>
                <w:sz w:val="18"/>
              </w:rPr>
              <w:t>6-channel parametric shock engine with live betas</w:t>
            </w:r>
          </w:p>
        </w:tc>
        <w:tc>
          <w:tcPr>
            <w:tcW w:w="1474" w:type="dxa"/>
            <w:tcBorders>
              <w:left w:val="single" w:sz="4" w:space="0" w:color="1E2330"/>
              <w:bottom w:val="single" w:sz="4" w:space="0" w:color="2A3045"/>
              <w:right w:val="single" w:sz="4" w:space="0" w:color="1E2330"/>
            </w:tcBorders>
          </w:tcPr>
          <w:p w14:paraId="2CC03C91" w14:textId="77777777" w:rsidR="00467066" w:rsidRDefault="00000000">
            <w:pPr>
              <w:spacing w:before="60" w:after="60"/>
            </w:pPr>
            <w:r>
              <w:rPr>
                <w:sz w:val="18"/>
              </w:rPr>
              <w:t>High</w:t>
            </w:r>
          </w:p>
        </w:tc>
      </w:tr>
    </w:tbl>
    <w:p w14:paraId="67AAAA40" w14:textId="77777777" w:rsidR="00467066" w:rsidRDefault="00467066">
      <w:pPr>
        <w:spacing w:after="0"/>
      </w:pPr>
    </w:p>
    <w:p w14:paraId="195241A1" w14:textId="77777777" w:rsidR="00467066" w:rsidRDefault="00000000">
      <w:r>
        <w:br w:type="page"/>
      </w:r>
    </w:p>
    <w:p w14:paraId="03AC71F1" w14:textId="77777777" w:rsidR="00467066" w:rsidRDefault="00000000">
      <w:pPr>
        <w:keepNext/>
        <w:spacing w:before="240" w:after="20"/>
      </w:pPr>
      <w:r>
        <w:rPr>
          <w:color w:val="C9A84C"/>
          <w:sz w:val="15"/>
        </w:rPr>
        <w:lastRenderedPageBreak/>
        <w:t>SECTION 3</w:t>
      </w:r>
    </w:p>
    <w:p w14:paraId="099BE3BA" w14:textId="77777777" w:rsidR="00467066" w:rsidRDefault="00000000">
      <w:pPr>
        <w:keepNext/>
        <w:pBdr>
          <w:bottom w:val="single" w:sz="10" w:space="4" w:color="C9A84C"/>
        </w:pBdr>
        <w:spacing w:after="60"/>
      </w:pPr>
      <w:r>
        <w:rPr>
          <w:b/>
          <w:color w:val="FFFFFF"/>
          <w:sz w:val="28"/>
        </w:rPr>
        <w:t>Project Definition and Scope</w:t>
      </w:r>
    </w:p>
    <w:p w14:paraId="3C7BFA63" w14:textId="77777777" w:rsidR="00467066" w:rsidRDefault="00000000">
      <w:pPr>
        <w:spacing w:before="40" w:after="160"/>
        <w:jc w:val="both"/>
      </w:pPr>
      <w:r>
        <w:rPr>
          <w:i/>
          <w:color w:val="8890A1"/>
          <w:sz w:val="18"/>
        </w:rPr>
        <w:t>Formal statement of the problem, system objectives, coverage universe, analytical architecture, and scope boundaries.</w:t>
      </w:r>
    </w:p>
    <w:p w14:paraId="7B417B0F" w14:textId="77777777" w:rsidR="00467066" w:rsidRDefault="00467066">
      <w:pPr>
        <w:spacing w:after="0"/>
      </w:pPr>
    </w:p>
    <w:p w14:paraId="1A1AD926" w14:textId="77777777" w:rsidR="00467066" w:rsidRDefault="00000000">
      <w:pPr>
        <w:keepNext/>
        <w:pBdr>
          <w:bottom w:val="single" w:sz="6" w:space="4" w:color="2A3045"/>
        </w:pBdr>
        <w:spacing w:before="200" w:after="40"/>
      </w:pPr>
      <w:r>
        <w:rPr>
          <w:b/>
          <w:color w:val="C9A84C"/>
          <w:sz w:val="22"/>
        </w:rPr>
        <w:t>3.1  Problem Statement</w:t>
      </w:r>
    </w:p>
    <w:tbl>
      <w:tblPr>
        <w:tblW w:w="0" w:type="auto"/>
        <w:tblLook w:val="04A0" w:firstRow="1" w:lastRow="0" w:firstColumn="1" w:lastColumn="0" w:noHBand="0" w:noVBand="1"/>
      </w:tblPr>
      <w:tblGrid>
        <w:gridCol w:w="8784"/>
      </w:tblGrid>
      <w:tr w:rsidR="00467066" w14:paraId="383D72AB"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13095376" w14:textId="77777777" w:rsidR="00467066" w:rsidRDefault="00000000">
            <w:pPr>
              <w:spacing w:before="80" w:after="40"/>
            </w:pPr>
            <w:r>
              <w:rPr>
                <w:b/>
                <w:color w:val="C9A84C"/>
                <w:sz w:val="16"/>
              </w:rPr>
              <w:t>PROBLEM STATEMENT</w:t>
            </w:r>
          </w:p>
          <w:p w14:paraId="67D3825F" w14:textId="77777777" w:rsidR="00467066" w:rsidRDefault="00000000">
            <w:pPr>
              <w:spacing w:after="80"/>
              <w:jc w:val="both"/>
            </w:pPr>
            <w:r>
              <w:rPr>
                <w:sz w:val="19"/>
              </w:rPr>
              <w:t>Portfolio managers, risk analysts, and researchers require a unified, real-time view of cross-asset stress transmission dynamics — integrating correlation regime detection, directional spillover identification, geopolitical event monitoring, macro intelligence, and AI-synthesised trade ideas — at a cost accessible beyond institutional terminal licensing. No such platform currently exists in the open-source or low-cost commercial landscape.</w:t>
            </w:r>
          </w:p>
        </w:tc>
      </w:tr>
    </w:tbl>
    <w:p w14:paraId="2864E323" w14:textId="77777777" w:rsidR="00467066" w:rsidRDefault="00467066">
      <w:pPr>
        <w:spacing w:after="0"/>
      </w:pPr>
    </w:p>
    <w:p w14:paraId="416A8776" w14:textId="77777777" w:rsidR="00467066" w:rsidRDefault="00000000">
      <w:pPr>
        <w:keepNext/>
        <w:pBdr>
          <w:bottom w:val="single" w:sz="6" w:space="4" w:color="2A3045"/>
        </w:pBdr>
        <w:spacing w:before="200" w:after="40"/>
      </w:pPr>
      <w:r>
        <w:rPr>
          <w:b/>
          <w:color w:val="C9A84C"/>
          <w:sz w:val="22"/>
        </w:rPr>
        <w:t>3.2  Objectives</w:t>
      </w:r>
    </w:p>
    <w:p w14:paraId="2EDB9A3A" w14:textId="77777777" w:rsidR="00467066" w:rsidRDefault="00000000">
      <w:pPr>
        <w:spacing w:after="80"/>
        <w:jc w:val="both"/>
      </w:pPr>
      <w:r>
        <w:t>The Equity-Commodities Spillover Monitor is designed to achieve the following primary objectives:</w:t>
      </w:r>
    </w:p>
    <w:p w14:paraId="39B86D2D" w14:textId="77777777" w:rsidR="00467066" w:rsidRDefault="00000000">
      <w:pPr>
        <w:pStyle w:val="ListBullet"/>
        <w:spacing w:after="60"/>
      </w:pPr>
      <w:r>
        <w:rPr>
          <w:sz w:val="19"/>
        </w:rPr>
        <w:t>Provide real-time correlation regime classification (four states: Decorrelated, Normal, Elevated, Crisis) with Markov-based forward transition probability forecasts.</w:t>
      </w:r>
    </w:p>
    <w:p w14:paraId="73412379" w14:textId="77777777" w:rsidR="00467066" w:rsidRDefault="00000000">
      <w:pPr>
        <w:pStyle w:val="ListBullet"/>
        <w:spacing w:after="60"/>
      </w:pPr>
      <w:r>
        <w:rPr>
          <w:sz w:val="19"/>
        </w:rPr>
        <w:t>Implement institutional-grade spillover methods — Granger causality, transfer entropy, Diebold-Yilmaz FEVD — in an accessible, interactive interface.</w:t>
      </w:r>
    </w:p>
    <w:p w14:paraId="24FAC7C7" w14:textId="77777777" w:rsidR="00467066" w:rsidRDefault="00000000">
      <w:pPr>
        <w:pStyle w:val="ListBullet"/>
        <w:spacing w:after="60"/>
      </w:pPr>
      <w:r>
        <w:rPr>
          <w:sz w:val="19"/>
        </w:rPr>
        <w:t>Enable parametric scenario analysis via multi-channel shock propagation using live OLS betas, with VaR and ES tail risk quantification.</w:t>
      </w:r>
    </w:p>
    <w:p w14:paraId="43CEE9A5" w14:textId="77777777" w:rsidR="00467066" w:rsidRDefault="00000000">
      <w:pPr>
        <w:pStyle w:val="ListBullet"/>
        <w:spacing w:after="60"/>
      </w:pPr>
      <w:r>
        <w:rPr>
          <w:sz w:val="19"/>
        </w:rPr>
        <w:t>Provide forensic event-window analysis across thirteen tracked geopolitical shocks since the Global Financial Crisis.</w:t>
      </w:r>
    </w:p>
    <w:p w14:paraId="73E63C4D" w14:textId="77777777" w:rsidR="00467066" w:rsidRDefault="00000000">
      <w:pPr>
        <w:pStyle w:val="ListBullet"/>
        <w:spacing w:after="60"/>
      </w:pPr>
      <w:r>
        <w:rPr>
          <w:sz w:val="19"/>
        </w:rPr>
        <w:t>Deploy a seven-agent AI orchestration pipeline synthesising macro, geopolitical, commodity, risk, stress, and trade intelligence in a structured dependency graph.</w:t>
      </w:r>
    </w:p>
    <w:p w14:paraId="62A43C3F" w14:textId="77777777" w:rsidR="00467066" w:rsidRDefault="00000000">
      <w:pPr>
        <w:pStyle w:val="ListBullet"/>
        <w:spacing w:after="60"/>
      </w:pPr>
      <w:r>
        <w:rPr>
          <w:sz w:val="19"/>
        </w:rPr>
        <w:t>Generate a composite Early Warning System (EWS) score identifying conditions that historically precede correlation regime transitions.</w:t>
      </w:r>
    </w:p>
    <w:p w14:paraId="51A83AD7" w14:textId="77777777" w:rsidR="00467066" w:rsidRDefault="00000000">
      <w:pPr>
        <w:pStyle w:val="ListBullet"/>
        <w:spacing w:after="60"/>
      </w:pPr>
      <w:r>
        <w:rPr>
          <w:sz w:val="19"/>
        </w:rPr>
        <w:t>Serve as an open-source, educationally accessible alternative to institutional-grade cross-asset analytics platforms.</w:t>
      </w:r>
    </w:p>
    <w:p w14:paraId="3DE630E8" w14:textId="77777777" w:rsidR="00467066" w:rsidRDefault="00467066">
      <w:pPr>
        <w:spacing w:after="0"/>
      </w:pPr>
    </w:p>
    <w:p w14:paraId="651EAA20" w14:textId="77777777" w:rsidR="008D22A8" w:rsidRDefault="008D22A8">
      <w:pPr>
        <w:spacing w:after="200"/>
        <w:rPr>
          <w:b/>
          <w:color w:val="C9A84C"/>
          <w:sz w:val="22"/>
        </w:rPr>
      </w:pPr>
      <w:r>
        <w:rPr>
          <w:b/>
          <w:color w:val="C9A84C"/>
          <w:sz w:val="22"/>
        </w:rPr>
        <w:br w:type="page"/>
      </w:r>
    </w:p>
    <w:p w14:paraId="42EF1636" w14:textId="397F564D" w:rsidR="00467066" w:rsidRDefault="00000000">
      <w:pPr>
        <w:keepNext/>
        <w:pBdr>
          <w:bottom w:val="single" w:sz="6" w:space="4" w:color="2A3045"/>
        </w:pBdr>
        <w:spacing w:before="200" w:after="40"/>
      </w:pPr>
      <w:r>
        <w:rPr>
          <w:b/>
          <w:color w:val="C9A84C"/>
          <w:sz w:val="22"/>
        </w:rPr>
        <w:lastRenderedPageBreak/>
        <w:t>3.3  Coverage Universe</w:t>
      </w:r>
    </w:p>
    <w:p w14:paraId="6933FEF7" w14:textId="77777777" w:rsidR="00467066" w:rsidRDefault="00467066">
      <w:pPr>
        <w:spacing w:after="0"/>
      </w:pPr>
    </w:p>
    <w:p w14:paraId="0AC93269" w14:textId="77777777" w:rsidR="00467066" w:rsidRDefault="00000000">
      <w:pPr>
        <w:keepNext/>
        <w:spacing w:before="120" w:after="60"/>
      </w:pPr>
      <w:r>
        <w:rPr>
          <w:b/>
          <w:color w:val="8890A1"/>
          <w:sz w:val="18"/>
        </w:rPr>
        <w:t>Table 3.1 — Coverage Universe</w:t>
      </w:r>
    </w:p>
    <w:tbl>
      <w:tblPr>
        <w:tblStyle w:val="TableGrid"/>
        <w:tblW w:w="0" w:type="auto"/>
        <w:tblLook w:val="04A0" w:firstRow="1" w:lastRow="0" w:firstColumn="1" w:lastColumn="0" w:noHBand="0" w:noVBand="1"/>
      </w:tblPr>
      <w:tblGrid>
        <w:gridCol w:w="2112"/>
        <w:gridCol w:w="777"/>
        <w:gridCol w:w="6399"/>
      </w:tblGrid>
      <w:tr w:rsidR="00467066" w14:paraId="6780A9F4" w14:textId="77777777">
        <w:trPr>
          <w:tblHeader/>
        </w:trPr>
        <w:tc>
          <w:tcPr>
            <w:tcW w:w="2268"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639F901A" w14:textId="77777777" w:rsidR="00467066" w:rsidRDefault="00000000">
            <w:pPr>
              <w:spacing w:before="60" w:after="60"/>
            </w:pPr>
            <w:r>
              <w:rPr>
                <w:b/>
                <w:color w:val="FFFFFF"/>
                <w:sz w:val="18"/>
              </w:rPr>
              <w:t>Asset Class</w:t>
            </w:r>
          </w:p>
        </w:tc>
        <w:tc>
          <w:tcPr>
            <w:tcW w:w="794"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7B682ADB" w14:textId="77777777" w:rsidR="00467066" w:rsidRDefault="00000000">
            <w:pPr>
              <w:spacing w:before="60" w:after="60"/>
            </w:pPr>
            <w:r>
              <w:rPr>
                <w:b/>
                <w:color w:val="FFFFFF"/>
                <w:sz w:val="18"/>
              </w:rPr>
              <w:t>Count</w:t>
            </w:r>
          </w:p>
        </w:tc>
        <w:tc>
          <w:tcPr>
            <w:tcW w:w="720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66410599" w14:textId="77777777" w:rsidR="00467066" w:rsidRDefault="00000000">
            <w:pPr>
              <w:spacing w:before="60" w:after="60"/>
            </w:pPr>
            <w:r>
              <w:rPr>
                <w:b/>
                <w:color w:val="FFFFFF"/>
                <w:sz w:val="18"/>
              </w:rPr>
              <w:t>Instruments</w:t>
            </w:r>
          </w:p>
        </w:tc>
      </w:tr>
      <w:tr w:rsidR="00467066" w14:paraId="50290F37" w14:textId="77777777">
        <w:tc>
          <w:tcPr>
            <w:tcW w:w="2268" w:type="dxa"/>
            <w:tcBorders>
              <w:left w:val="single" w:sz="4" w:space="0" w:color="1E2330"/>
              <w:bottom w:val="single" w:sz="4" w:space="0" w:color="2A3045"/>
              <w:right w:val="single" w:sz="4" w:space="0" w:color="1E2330"/>
            </w:tcBorders>
          </w:tcPr>
          <w:p w14:paraId="4E04DAA5" w14:textId="77777777" w:rsidR="00467066" w:rsidRDefault="00000000">
            <w:pPr>
              <w:spacing w:before="60" w:after="60"/>
            </w:pPr>
            <w:r>
              <w:rPr>
                <w:sz w:val="18"/>
              </w:rPr>
              <w:t>Global Equity Indices</w:t>
            </w:r>
          </w:p>
        </w:tc>
        <w:tc>
          <w:tcPr>
            <w:tcW w:w="794" w:type="dxa"/>
            <w:tcBorders>
              <w:left w:val="single" w:sz="4" w:space="0" w:color="1E2330"/>
              <w:bottom w:val="single" w:sz="4" w:space="0" w:color="2A3045"/>
              <w:right w:val="single" w:sz="4" w:space="0" w:color="1E2330"/>
            </w:tcBorders>
          </w:tcPr>
          <w:p w14:paraId="2B44C016" w14:textId="77777777" w:rsidR="00467066" w:rsidRDefault="00000000">
            <w:pPr>
              <w:spacing w:before="60" w:after="60"/>
            </w:pPr>
            <w:r>
              <w:rPr>
                <w:sz w:val="18"/>
              </w:rPr>
              <w:t>15</w:t>
            </w:r>
          </w:p>
        </w:tc>
        <w:tc>
          <w:tcPr>
            <w:tcW w:w="7200" w:type="dxa"/>
            <w:tcBorders>
              <w:left w:val="single" w:sz="4" w:space="0" w:color="1E2330"/>
              <w:bottom w:val="single" w:sz="4" w:space="0" w:color="2A3045"/>
              <w:right w:val="single" w:sz="4" w:space="0" w:color="1E2330"/>
            </w:tcBorders>
          </w:tcPr>
          <w:p w14:paraId="0789E529" w14:textId="77777777" w:rsidR="00467066" w:rsidRDefault="00000000">
            <w:pPr>
              <w:spacing w:before="60" w:after="60"/>
            </w:pPr>
            <w:r>
              <w:rPr>
                <w:sz w:val="18"/>
              </w:rPr>
              <w:t>S&amp;P 500, Nasdaq 100, DJIA, Russell 2000 (USA); Eurostoxx 50, DAX, CAC 40, FTSE 100 (Europe); Nikkei 225, TOPIX (Japan); Hang Seng, Shanghai Composite, CSI 300 (China); Sensex, Nifty 50 (India)</w:t>
            </w:r>
          </w:p>
        </w:tc>
      </w:tr>
      <w:tr w:rsidR="00467066" w14:paraId="5CFBCD09" w14:textId="77777777">
        <w:tc>
          <w:tcPr>
            <w:tcW w:w="2268" w:type="dxa"/>
            <w:tcBorders>
              <w:left w:val="single" w:sz="4" w:space="0" w:color="1E2330"/>
              <w:bottom w:val="single" w:sz="4" w:space="0" w:color="2A3045"/>
              <w:right w:val="single" w:sz="4" w:space="0" w:color="1E2330"/>
            </w:tcBorders>
            <w:shd w:val="clear" w:color="auto" w:fill="161B27"/>
          </w:tcPr>
          <w:p w14:paraId="52398918" w14:textId="77777777" w:rsidR="00467066" w:rsidRDefault="00000000">
            <w:pPr>
              <w:spacing w:before="60" w:after="60"/>
            </w:pPr>
            <w:r>
              <w:rPr>
                <w:sz w:val="18"/>
              </w:rPr>
              <w:t>Commodity Futures</w:t>
            </w:r>
          </w:p>
        </w:tc>
        <w:tc>
          <w:tcPr>
            <w:tcW w:w="794" w:type="dxa"/>
            <w:tcBorders>
              <w:left w:val="single" w:sz="4" w:space="0" w:color="1E2330"/>
              <w:bottom w:val="single" w:sz="4" w:space="0" w:color="2A3045"/>
              <w:right w:val="single" w:sz="4" w:space="0" w:color="1E2330"/>
            </w:tcBorders>
            <w:shd w:val="clear" w:color="auto" w:fill="161B27"/>
          </w:tcPr>
          <w:p w14:paraId="044D4EF0" w14:textId="77777777" w:rsidR="00467066" w:rsidRDefault="00000000">
            <w:pPr>
              <w:spacing w:before="60" w:after="60"/>
            </w:pPr>
            <w:r>
              <w:rPr>
                <w:sz w:val="18"/>
              </w:rPr>
              <w:t>17</w:t>
            </w:r>
          </w:p>
        </w:tc>
        <w:tc>
          <w:tcPr>
            <w:tcW w:w="7200" w:type="dxa"/>
            <w:tcBorders>
              <w:left w:val="single" w:sz="4" w:space="0" w:color="1E2330"/>
              <w:bottom w:val="single" w:sz="4" w:space="0" w:color="2A3045"/>
              <w:right w:val="single" w:sz="4" w:space="0" w:color="1E2330"/>
            </w:tcBorders>
            <w:shd w:val="clear" w:color="auto" w:fill="161B27"/>
          </w:tcPr>
          <w:p w14:paraId="24DA1246" w14:textId="77777777" w:rsidR="00467066" w:rsidRDefault="00000000">
            <w:pPr>
              <w:spacing w:before="60" w:after="60"/>
            </w:pPr>
            <w:r>
              <w:rPr>
                <w:sz w:val="18"/>
              </w:rPr>
              <w:t>WTI Crude, Brent Crude, Natural Gas, RBOB Gasoline, Heating Oil (Energy); Gold, Silver, Platinum (Precious Metals); Copper, Aluminum, Nickel (Industrial); Wheat, Corn, Soybeans, Sugar #11, Coffee, Cotton (Agriculture)</w:t>
            </w:r>
          </w:p>
        </w:tc>
      </w:tr>
      <w:tr w:rsidR="00467066" w14:paraId="2716D567" w14:textId="77777777">
        <w:tc>
          <w:tcPr>
            <w:tcW w:w="2268" w:type="dxa"/>
            <w:tcBorders>
              <w:left w:val="single" w:sz="4" w:space="0" w:color="1E2330"/>
              <w:bottom w:val="single" w:sz="4" w:space="0" w:color="2A3045"/>
              <w:right w:val="single" w:sz="4" w:space="0" w:color="1E2330"/>
            </w:tcBorders>
          </w:tcPr>
          <w:p w14:paraId="42F5C8A8" w14:textId="77777777" w:rsidR="00467066" w:rsidRDefault="00000000">
            <w:pPr>
              <w:spacing w:before="60" w:after="60"/>
            </w:pPr>
            <w:r>
              <w:rPr>
                <w:sz w:val="18"/>
              </w:rPr>
              <w:t>Fixed Income ETFs</w:t>
            </w:r>
          </w:p>
        </w:tc>
        <w:tc>
          <w:tcPr>
            <w:tcW w:w="794" w:type="dxa"/>
            <w:tcBorders>
              <w:left w:val="single" w:sz="4" w:space="0" w:color="1E2330"/>
              <w:bottom w:val="single" w:sz="4" w:space="0" w:color="2A3045"/>
              <w:right w:val="single" w:sz="4" w:space="0" w:color="1E2330"/>
            </w:tcBorders>
          </w:tcPr>
          <w:p w14:paraId="6A1FAE91" w14:textId="77777777" w:rsidR="00467066" w:rsidRDefault="00000000">
            <w:pPr>
              <w:spacing w:before="60" w:after="60"/>
            </w:pPr>
            <w:r>
              <w:rPr>
                <w:sz w:val="18"/>
              </w:rPr>
              <w:t>6</w:t>
            </w:r>
          </w:p>
        </w:tc>
        <w:tc>
          <w:tcPr>
            <w:tcW w:w="7200" w:type="dxa"/>
            <w:tcBorders>
              <w:left w:val="single" w:sz="4" w:space="0" w:color="1E2330"/>
              <w:bottom w:val="single" w:sz="4" w:space="0" w:color="2A3045"/>
              <w:right w:val="single" w:sz="4" w:space="0" w:color="1E2330"/>
            </w:tcBorders>
          </w:tcPr>
          <w:p w14:paraId="5C78F333" w14:textId="77777777" w:rsidR="00467066" w:rsidRDefault="00000000">
            <w:pPr>
              <w:spacing w:before="60" w:after="60"/>
            </w:pPr>
            <w:r>
              <w:rPr>
                <w:sz w:val="18"/>
              </w:rPr>
              <w:t>TLT (20Y+ Treasury), LQD (IG Corporate), HYG (HY Corporate), EMB (EM USD Bonds), SHY (Short Treasury), TIP (TIPS)</w:t>
            </w:r>
          </w:p>
        </w:tc>
      </w:tr>
      <w:tr w:rsidR="00467066" w14:paraId="68884B67" w14:textId="77777777">
        <w:tc>
          <w:tcPr>
            <w:tcW w:w="2268" w:type="dxa"/>
            <w:tcBorders>
              <w:left w:val="single" w:sz="4" w:space="0" w:color="1E2330"/>
              <w:bottom w:val="single" w:sz="4" w:space="0" w:color="2A3045"/>
              <w:right w:val="single" w:sz="4" w:space="0" w:color="1E2330"/>
            </w:tcBorders>
            <w:shd w:val="clear" w:color="auto" w:fill="161B27"/>
          </w:tcPr>
          <w:p w14:paraId="32059D25" w14:textId="77777777" w:rsidR="00467066" w:rsidRDefault="00000000">
            <w:pPr>
              <w:spacing w:before="60" w:after="60"/>
            </w:pPr>
            <w:r>
              <w:rPr>
                <w:sz w:val="18"/>
              </w:rPr>
              <w:t>FX Pairs</w:t>
            </w:r>
          </w:p>
        </w:tc>
        <w:tc>
          <w:tcPr>
            <w:tcW w:w="794" w:type="dxa"/>
            <w:tcBorders>
              <w:left w:val="single" w:sz="4" w:space="0" w:color="1E2330"/>
              <w:bottom w:val="single" w:sz="4" w:space="0" w:color="2A3045"/>
              <w:right w:val="single" w:sz="4" w:space="0" w:color="1E2330"/>
            </w:tcBorders>
            <w:shd w:val="clear" w:color="auto" w:fill="161B27"/>
          </w:tcPr>
          <w:p w14:paraId="1C6A6E48" w14:textId="77777777" w:rsidR="00467066" w:rsidRDefault="00000000">
            <w:pPr>
              <w:spacing w:before="60" w:after="60"/>
            </w:pPr>
            <w:r>
              <w:rPr>
                <w:sz w:val="18"/>
              </w:rPr>
              <w:t>6</w:t>
            </w:r>
          </w:p>
        </w:tc>
        <w:tc>
          <w:tcPr>
            <w:tcW w:w="7200" w:type="dxa"/>
            <w:tcBorders>
              <w:left w:val="single" w:sz="4" w:space="0" w:color="1E2330"/>
              <w:bottom w:val="single" w:sz="4" w:space="0" w:color="2A3045"/>
              <w:right w:val="single" w:sz="4" w:space="0" w:color="1E2330"/>
            </w:tcBorders>
            <w:shd w:val="clear" w:color="auto" w:fill="161B27"/>
          </w:tcPr>
          <w:p w14:paraId="3A1591D4" w14:textId="77777777" w:rsidR="00467066" w:rsidRDefault="00000000">
            <w:pPr>
              <w:spacing w:before="60" w:after="60"/>
            </w:pPr>
            <w:r>
              <w:rPr>
                <w:sz w:val="18"/>
              </w:rPr>
              <w:t>DXY Dollar Index, EUR/USD, GBP/USD, USD/JPY, USD/CNY, USD/INR</w:t>
            </w:r>
          </w:p>
        </w:tc>
      </w:tr>
      <w:tr w:rsidR="00467066" w14:paraId="173A4D48" w14:textId="77777777">
        <w:tc>
          <w:tcPr>
            <w:tcW w:w="2268" w:type="dxa"/>
            <w:tcBorders>
              <w:left w:val="single" w:sz="4" w:space="0" w:color="1E2330"/>
              <w:bottom w:val="single" w:sz="4" w:space="0" w:color="2A3045"/>
              <w:right w:val="single" w:sz="4" w:space="0" w:color="1E2330"/>
            </w:tcBorders>
          </w:tcPr>
          <w:p w14:paraId="4FC1A301" w14:textId="77777777" w:rsidR="00467066" w:rsidRDefault="00000000">
            <w:pPr>
              <w:spacing w:before="60" w:after="60"/>
            </w:pPr>
            <w:r>
              <w:rPr>
                <w:sz w:val="18"/>
              </w:rPr>
              <w:t>Implied Volatility</w:t>
            </w:r>
          </w:p>
        </w:tc>
        <w:tc>
          <w:tcPr>
            <w:tcW w:w="794" w:type="dxa"/>
            <w:tcBorders>
              <w:left w:val="single" w:sz="4" w:space="0" w:color="1E2330"/>
              <w:bottom w:val="single" w:sz="4" w:space="0" w:color="2A3045"/>
              <w:right w:val="single" w:sz="4" w:space="0" w:color="1E2330"/>
            </w:tcBorders>
          </w:tcPr>
          <w:p w14:paraId="52974F7A" w14:textId="77777777" w:rsidR="00467066" w:rsidRDefault="00000000">
            <w:pPr>
              <w:spacing w:before="60" w:after="60"/>
            </w:pPr>
            <w:r>
              <w:rPr>
                <w:sz w:val="18"/>
              </w:rPr>
              <w:t>4</w:t>
            </w:r>
          </w:p>
        </w:tc>
        <w:tc>
          <w:tcPr>
            <w:tcW w:w="7200" w:type="dxa"/>
            <w:tcBorders>
              <w:left w:val="single" w:sz="4" w:space="0" w:color="1E2330"/>
              <w:bottom w:val="single" w:sz="4" w:space="0" w:color="2A3045"/>
              <w:right w:val="single" w:sz="4" w:space="0" w:color="1E2330"/>
            </w:tcBorders>
          </w:tcPr>
          <w:p w14:paraId="11D0EDAA" w14:textId="77777777" w:rsidR="00467066" w:rsidRDefault="00000000">
            <w:pPr>
              <w:spacing w:before="60" w:after="60"/>
            </w:pPr>
            <w:r>
              <w:rPr>
                <w:sz w:val="18"/>
              </w:rPr>
              <w:t>VIX (CBOE Equity), OVX (CBOE Oil), GVZ (CBOE Gold), VVIX (Volatility of VIX)</w:t>
            </w:r>
          </w:p>
        </w:tc>
      </w:tr>
      <w:tr w:rsidR="00467066" w14:paraId="7DB8DE5D" w14:textId="77777777">
        <w:tc>
          <w:tcPr>
            <w:tcW w:w="2268" w:type="dxa"/>
            <w:tcBorders>
              <w:left w:val="single" w:sz="4" w:space="0" w:color="1E2330"/>
              <w:bottom w:val="single" w:sz="4" w:space="0" w:color="2A3045"/>
              <w:right w:val="single" w:sz="4" w:space="0" w:color="1E2330"/>
            </w:tcBorders>
            <w:shd w:val="clear" w:color="auto" w:fill="161B27"/>
          </w:tcPr>
          <w:p w14:paraId="32B37150" w14:textId="77777777" w:rsidR="00467066" w:rsidRDefault="00000000">
            <w:pPr>
              <w:spacing w:before="60" w:after="60"/>
            </w:pPr>
            <w:r>
              <w:rPr>
                <w:sz w:val="18"/>
              </w:rPr>
              <w:t>Geopolitical Events</w:t>
            </w:r>
          </w:p>
        </w:tc>
        <w:tc>
          <w:tcPr>
            <w:tcW w:w="794" w:type="dxa"/>
            <w:tcBorders>
              <w:left w:val="single" w:sz="4" w:space="0" w:color="1E2330"/>
              <w:bottom w:val="single" w:sz="4" w:space="0" w:color="2A3045"/>
              <w:right w:val="single" w:sz="4" w:space="0" w:color="1E2330"/>
            </w:tcBorders>
            <w:shd w:val="clear" w:color="auto" w:fill="161B27"/>
          </w:tcPr>
          <w:p w14:paraId="290EDFB5" w14:textId="77777777" w:rsidR="00467066" w:rsidRDefault="00000000">
            <w:pPr>
              <w:spacing w:before="60" w:after="60"/>
            </w:pPr>
            <w:r>
              <w:rPr>
                <w:sz w:val="18"/>
              </w:rPr>
              <w:t>13</w:t>
            </w:r>
          </w:p>
        </w:tc>
        <w:tc>
          <w:tcPr>
            <w:tcW w:w="7200" w:type="dxa"/>
            <w:tcBorders>
              <w:left w:val="single" w:sz="4" w:space="0" w:color="1E2330"/>
              <w:bottom w:val="single" w:sz="4" w:space="0" w:color="2A3045"/>
              <w:right w:val="single" w:sz="4" w:space="0" w:color="1E2330"/>
            </w:tcBorders>
            <w:shd w:val="clear" w:color="auto" w:fill="161B27"/>
          </w:tcPr>
          <w:p w14:paraId="3AA8EDD5" w14:textId="77777777" w:rsidR="00467066" w:rsidRDefault="00000000">
            <w:pPr>
              <w:spacing w:before="60" w:after="60"/>
            </w:pPr>
            <w:r>
              <w:rPr>
                <w:sz w:val="18"/>
              </w:rPr>
              <w:t>GFC (2008), Arab Spring (2011), US-China Trade War (2018), Aramco Attack (2019), COVID-19 (2020), WTI Negative (2020), Ukraine War (2022), LME Nickel (2022), Fed Hike Cycle (2022), SVB Crisis (2023), Israel-Hamas (2023), India-Pakistan (2025), Iran-Hormuz (2025)</w:t>
            </w:r>
          </w:p>
        </w:tc>
      </w:tr>
    </w:tbl>
    <w:p w14:paraId="38379BC2" w14:textId="77777777" w:rsidR="00467066" w:rsidRDefault="00467066">
      <w:pPr>
        <w:spacing w:after="0"/>
      </w:pPr>
    </w:p>
    <w:p w14:paraId="485F32A0" w14:textId="77777777" w:rsidR="00467066" w:rsidRDefault="00000000">
      <w:pPr>
        <w:keepNext/>
        <w:pBdr>
          <w:bottom w:val="single" w:sz="6" w:space="4" w:color="2A3045"/>
        </w:pBdr>
        <w:spacing w:before="200" w:after="40"/>
      </w:pPr>
      <w:r>
        <w:rPr>
          <w:b/>
          <w:color w:val="C9A84C"/>
          <w:sz w:val="22"/>
        </w:rPr>
        <w:t>3.4  Scope Boundaries</w:t>
      </w:r>
    </w:p>
    <w:p w14:paraId="0725F31A" w14:textId="77777777" w:rsidR="00467066" w:rsidRDefault="00000000">
      <w:pPr>
        <w:spacing w:after="60"/>
        <w:jc w:val="both"/>
      </w:pPr>
      <w:r>
        <w:rPr>
          <w:b/>
          <w:sz w:val="19"/>
        </w:rPr>
        <w:t>In scope:</w:t>
      </w:r>
    </w:p>
    <w:p w14:paraId="55EBF127" w14:textId="77777777" w:rsidR="00467066" w:rsidRDefault="00000000">
      <w:pPr>
        <w:pStyle w:val="ListBullet"/>
        <w:spacing w:after="60"/>
      </w:pPr>
      <w:r>
        <w:rPr>
          <w:sz w:val="19"/>
        </w:rPr>
        <w:t>Daily close price data for all equity, commodity, fixed income, and FX instruments</w:t>
      </w:r>
    </w:p>
    <w:p w14:paraId="578F54A9" w14:textId="77777777" w:rsidR="00467066" w:rsidRDefault="00000000">
      <w:pPr>
        <w:pStyle w:val="ListBullet"/>
        <w:spacing w:after="60"/>
      </w:pPr>
      <w:r>
        <w:rPr>
          <w:sz w:val="19"/>
        </w:rPr>
        <w:t>Live macro data via FRED API (yield curve, CPI, Fed Funds Rate, GDP, PMI)</w:t>
      </w:r>
    </w:p>
    <w:p w14:paraId="30AFBC06" w14:textId="77777777" w:rsidR="00467066" w:rsidRDefault="00000000">
      <w:pPr>
        <w:pStyle w:val="ListBullet"/>
        <w:spacing w:after="60"/>
      </w:pPr>
      <w:r>
        <w:rPr>
          <w:sz w:val="19"/>
        </w:rPr>
        <w:t>RSS-based automated geopolitical headline ingestion and severity scoring</w:t>
      </w:r>
    </w:p>
    <w:p w14:paraId="60CD09D8" w14:textId="77777777" w:rsidR="00467066" w:rsidRDefault="00000000">
      <w:pPr>
        <w:pStyle w:val="ListBullet"/>
        <w:spacing w:after="60"/>
      </w:pPr>
      <w:r>
        <w:rPr>
          <w:sz w:val="19"/>
        </w:rPr>
        <w:t>Correlation regime detection, DCC-GARCH, and Markov regime forecasting</w:t>
      </w:r>
    </w:p>
    <w:p w14:paraId="34FF913D" w14:textId="77777777" w:rsidR="00467066" w:rsidRDefault="00000000">
      <w:pPr>
        <w:pStyle w:val="ListBullet"/>
        <w:spacing w:after="60"/>
      </w:pPr>
      <w:r>
        <w:rPr>
          <w:sz w:val="19"/>
        </w:rPr>
        <w:t>Granger causality, transfer entropy, and Diebold-Yilmaz FEVD spillover analytics</w:t>
      </w:r>
    </w:p>
    <w:p w14:paraId="4B73AEF8" w14:textId="77777777" w:rsidR="00467066" w:rsidRDefault="00000000">
      <w:pPr>
        <w:pStyle w:val="ListBullet"/>
        <w:spacing w:after="60"/>
      </w:pPr>
      <w:r>
        <w:rPr>
          <w:sz w:val="19"/>
        </w:rPr>
        <w:t>Parametric scenario propagation using live OLS betas</w:t>
      </w:r>
    </w:p>
    <w:p w14:paraId="300C49D2" w14:textId="77777777" w:rsidR="00467066" w:rsidRDefault="00000000">
      <w:pPr>
        <w:pStyle w:val="ListBullet"/>
        <w:spacing w:after="60"/>
      </w:pPr>
      <w:r>
        <w:rPr>
          <w:sz w:val="19"/>
        </w:rPr>
        <w:t>Historical portfolio stress testing against all thirteen tracked events</w:t>
      </w:r>
    </w:p>
    <w:p w14:paraId="6278BC14" w14:textId="77777777" w:rsidR="00467066" w:rsidRDefault="00000000">
      <w:pPr>
        <w:pStyle w:val="ListBullet"/>
        <w:spacing w:after="60"/>
      </w:pPr>
      <w:r>
        <w:rPr>
          <w:sz w:val="19"/>
        </w:rPr>
        <w:t>Seven-agent AI orchestration pipeline with dependency-ordered peer context sharing</w:t>
      </w:r>
    </w:p>
    <w:p w14:paraId="4CD42D59" w14:textId="77777777" w:rsidR="00467066" w:rsidRDefault="00000000">
      <w:pPr>
        <w:pStyle w:val="ListBullet"/>
        <w:spacing w:after="60"/>
      </w:pPr>
      <w:r>
        <w:rPr>
          <w:sz w:val="19"/>
        </w:rPr>
        <w:t>Maritime chokepoint disruption monitoring for six critical straits</w:t>
      </w:r>
    </w:p>
    <w:p w14:paraId="02DC8042" w14:textId="77777777" w:rsidR="00467066" w:rsidRDefault="00467066">
      <w:pPr>
        <w:spacing w:after="0"/>
      </w:pPr>
    </w:p>
    <w:p w14:paraId="60311E0B" w14:textId="77777777" w:rsidR="00467066" w:rsidRDefault="00000000">
      <w:pPr>
        <w:spacing w:after="60"/>
        <w:jc w:val="both"/>
      </w:pPr>
      <w:r>
        <w:rPr>
          <w:b/>
          <w:sz w:val="19"/>
        </w:rPr>
        <w:t>Out of scope:</w:t>
      </w:r>
    </w:p>
    <w:p w14:paraId="575A836F" w14:textId="77777777" w:rsidR="00467066" w:rsidRDefault="00000000">
      <w:pPr>
        <w:pStyle w:val="ListBullet"/>
        <w:spacing w:after="60"/>
      </w:pPr>
      <w:r>
        <w:rPr>
          <w:sz w:val="19"/>
        </w:rPr>
        <w:t>Order execution or trading infrastructure of any kind</w:t>
      </w:r>
    </w:p>
    <w:p w14:paraId="46711855" w14:textId="77777777" w:rsidR="00467066" w:rsidRDefault="00000000">
      <w:pPr>
        <w:pStyle w:val="ListBullet"/>
        <w:spacing w:after="60"/>
      </w:pPr>
      <w:r>
        <w:rPr>
          <w:sz w:val="19"/>
        </w:rPr>
        <w:t>Real-time tick data at sub-daily resolution</w:t>
      </w:r>
    </w:p>
    <w:p w14:paraId="7BBF5B01" w14:textId="77777777" w:rsidR="00467066" w:rsidRDefault="00000000">
      <w:pPr>
        <w:pStyle w:val="ListBullet"/>
        <w:spacing w:after="60"/>
      </w:pPr>
      <w:r>
        <w:rPr>
          <w:sz w:val="19"/>
        </w:rPr>
        <w:t>Options pricing, Greeks, or volatility surface analytics</w:t>
      </w:r>
    </w:p>
    <w:p w14:paraId="7713254E" w14:textId="77777777" w:rsidR="00467066" w:rsidRDefault="00000000">
      <w:pPr>
        <w:pStyle w:val="ListBullet"/>
        <w:spacing w:after="60"/>
      </w:pPr>
      <w:r>
        <w:rPr>
          <w:sz w:val="19"/>
        </w:rPr>
        <w:t>Fundamental analysis, earnings models, or company-level financial data</w:t>
      </w:r>
    </w:p>
    <w:p w14:paraId="348B096A" w14:textId="77777777" w:rsidR="00467066" w:rsidRDefault="00000000">
      <w:pPr>
        <w:pStyle w:val="ListBullet"/>
        <w:spacing w:after="60"/>
      </w:pPr>
      <w:r>
        <w:rPr>
          <w:sz w:val="19"/>
        </w:rPr>
        <w:t>Credit default swap pricing or single-name credit analytics</w:t>
      </w:r>
    </w:p>
    <w:p w14:paraId="54F4E686" w14:textId="77777777" w:rsidR="00467066" w:rsidRDefault="00000000">
      <w:pPr>
        <w:pStyle w:val="ListBullet"/>
        <w:spacing w:after="60"/>
      </w:pPr>
      <w:r>
        <w:rPr>
          <w:sz w:val="19"/>
        </w:rPr>
        <w:t>Regulatory reporting or compliance workflows</w:t>
      </w:r>
    </w:p>
    <w:p w14:paraId="523C734D" w14:textId="77777777" w:rsidR="00467066" w:rsidRDefault="00000000">
      <w:r>
        <w:br w:type="page"/>
      </w:r>
    </w:p>
    <w:p w14:paraId="74203BE4" w14:textId="77777777" w:rsidR="00467066" w:rsidRDefault="00000000">
      <w:pPr>
        <w:keepNext/>
        <w:spacing w:before="240" w:after="20"/>
      </w:pPr>
      <w:r>
        <w:rPr>
          <w:color w:val="C9A84C"/>
          <w:sz w:val="15"/>
        </w:rPr>
        <w:lastRenderedPageBreak/>
        <w:t>SECTION 4</w:t>
      </w:r>
    </w:p>
    <w:p w14:paraId="13A6A1C0" w14:textId="77777777" w:rsidR="00467066" w:rsidRDefault="00000000">
      <w:pPr>
        <w:keepNext/>
        <w:pBdr>
          <w:bottom w:val="single" w:sz="10" w:space="4" w:color="C9A84C"/>
        </w:pBdr>
        <w:spacing w:after="60"/>
      </w:pPr>
      <w:r>
        <w:rPr>
          <w:b/>
          <w:color w:val="FFFFFF"/>
          <w:sz w:val="28"/>
        </w:rPr>
        <w:t>Technology Choices and Justification</w:t>
      </w:r>
    </w:p>
    <w:p w14:paraId="7A980941" w14:textId="77777777" w:rsidR="00467066" w:rsidRDefault="00000000">
      <w:pPr>
        <w:spacing w:before="40" w:after="160"/>
        <w:jc w:val="both"/>
      </w:pPr>
      <w:r>
        <w:rPr>
          <w:i/>
          <w:color w:val="8890A1"/>
          <w:sz w:val="18"/>
        </w:rPr>
        <w:t>Full-stack technology selection rationale across data, analytics, AI, and deployment layers.</w:t>
      </w:r>
    </w:p>
    <w:p w14:paraId="35A7FFE5" w14:textId="77777777" w:rsidR="00467066" w:rsidRDefault="00467066">
      <w:pPr>
        <w:spacing w:after="0"/>
      </w:pPr>
    </w:p>
    <w:p w14:paraId="0910C2A5" w14:textId="77777777" w:rsidR="00467066" w:rsidRDefault="00000000">
      <w:pPr>
        <w:keepNext/>
        <w:pBdr>
          <w:bottom w:val="single" w:sz="6" w:space="4" w:color="2A3045"/>
        </w:pBdr>
        <w:spacing w:before="200" w:after="40"/>
      </w:pPr>
      <w:r>
        <w:rPr>
          <w:b/>
          <w:color w:val="C9A84C"/>
          <w:sz w:val="22"/>
        </w:rPr>
        <w:t>4.1  Technology Stack Overview</w:t>
      </w:r>
    </w:p>
    <w:p w14:paraId="6307EE3C" w14:textId="77777777" w:rsidR="00467066" w:rsidRDefault="00467066">
      <w:pPr>
        <w:spacing w:after="0"/>
      </w:pPr>
    </w:p>
    <w:p w14:paraId="424B59C6" w14:textId="77777777" w:rsidR="00467066" w:rsidRDefault="00000000">
      <w:pPr>
        <w:keepNext/>
        <w:spacing w:before="120" w:after="60"/>
      </w:pPr>
      <w:r>
        <w:rPr>
          <w:b/>
          <w:color w:val="8890A1"/>
          <w:sz w:val="18"/>
        </w:rPr>
        <w:t>Table 4.1 — Full Technology Stack</w:t>
      </w:r>
    </w:p>
    <w:tbl>
      <w:tblPr>
        <w:tblStyle w:val="TableGrid"/>
        <w:tblW w:w="0" w:type="auto"/>
        <w:tblLook w:val="04A0" w:firstRow="1" w:lastRow="0" w:firstColumn="1" w:lastColumn="0" w:noHBand="0" w:noVBand="1"/>
      </w:tblPr>
      <w:tblGrid>
        <w:gridCol w:w="1525"/>
        <w:gridCol w:w="1603"/>
        <w:gridCol w:w="1077"/>
        <w:gridCol w:w="5083"/>
      </w:tblGrid>
      <w:tr w:rsidR="00467066" w14:paraId="0296DFC1" w14:textId="77777777">
        <w:trPr>
          <w:tblHeader/>
        </w:trPr>
        <w:tc>
          <w:tcPr>
            <w:tcW w:w="1587"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5FBFE2EF" w14:textId="77777777" w:rsidR="00467066" w:rsidRDefault="00000000">
            <w:pPr>
              <w:spacing w:before="60" w:after="60"/>
            </w:pPr>
            <w:r>
              <w:rPr>
                <w:b/>
                <w:color w:val="FFFFFF"/>
                <w:sz w:val="18"/>
              </w:rPr>
              <w:t>Layer</w:t>
            </w:r>
          </w:p>
        </w:tc>
        <w:tc>
          <w:tcPr>
            <w:tcW w:w="170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5F71DB24" w14:textId="77777777" w:rsidR="00467066" w:rsidRDefault="00000000">
            <w:pPr>
              <w:spacing w:before="60" w:after="60"/>
            </w:pPr>
            <w:r>
              <w:rPr>
                <w:b/>
                <w:color w:val="FFFFFF"/>
                <w:sz w:val="18"/>
              </w:rPr>
              <w:t>Library / Service</w:t>
            </w:r>
          </w:p>
        </w:tc>
        <w:tc>
          <w:tcPr>
            <w:tcW w:w="1134"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2DF0D8A2" w14:textId="77777777" w:rsidR="00467066" w:rsidRDefault="00000000">
            <w:pPr>
              <w:spacing w:before="60" w:after="60"/>
            </w:pPr>
            <w:r>
              <w:rPr>
                <w:b/>
                <w:color w:val="FFFFFF"/>
                <w:sz w:val="18"/>
              </w:rPr>
              <w:t>Version</w:t>
            </w:r>
          </w:p>
        </w:tc>
        <w:tc>
          <w:tcPr>
            <w:tcW w:w="5839"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0BB38F8E" w14:textId="77777777" w:rsidR="00467066" w:rsidRDefault="00000000">
            <w:pPr>
              <w:spacing w:before="60" w:after="60"/>
            </w:pPr>
            <w:r>
              <w:rPr>
                <w:b/>
                <w:color w:val="FFFFFF"/>
                <w:sz w:val="18"/>
              </w:rPr>
              <w:t>Primary Role</w:t>
            </w:r>
          </w:p>
        </w:tc>
      </w:tr>
      <w:tr w:rsidR="00467066" w14:paraId="44ABA11A" w14:textId="77777777">
        <w:tc>
          <w:tcPr>
            <w:tcW w:w="1587" w:type="dxa"/>
            <w:tcBorders>
              <w:left w:val="single" w:sz="4" w:space="0" w:color="1E2330"/>
              <w:bottom w:val="single" w:sz="4" w:space="0" w:color="2A3045"/>
              <w:right w:val="single" w:sz="4" w:space="0" w:color="1E2330"/>
            </w:tcBorders>
          </w:tcPr>
          <w:p w14:paraId="7112A62F" w14:textId="77777777" w:rsidR="00467066" w:rsidRDefault="00000000">
            <w:pPr>
              <w:spacing w:before="60" w:after="60"/>
            </w:pPr>
            <w:r>
              <w:rPr>
                <w:sz w:val="18"/>
              </w:rPr>
              <w:t>UI Framework</w:t>
            </w:r>
          </w:p>
        </w:tc>
        <w:tc>
          <w:tcPr>
            <w:tcW w:w="1701" w:type="dxa"/>
            <w:tcBorders>
              <w:left w:val="single" w:sz="4" w:space="0" w:color="1E2330"/>
              <w:bottom w:val="single" w:sz="4" w:space="0" w:color="2A3045"/>
              <w:right w:val="single" w:sz="4" w:space="0" w:color="1E2330"/>
            </w:tcBorders>
          </w:tcPr>
          <w:p w14:paraId="737E4652" w14:textId="77777777" w:rsidR="00467066" w:rsidRDefault="00000000">
            <w:pPr>
              <w:spacing w:before="60" w:after="60"/>
            </w:pPr>
            <w:r>
              <w:rPr>
                <w:sz w:val="18"/>
              </w:rPr>
              <w:t>Streamlit</w:t>
            </w:r>
          </w:p>
        </w:tc>
        <w:tc>
          <w:tcPr>
            <w:tcW w:w="1134" w:type="dxa"/>
            <w:tcBorders>
              <w:left w:val="single" w:sz="4" w:space="0" w:color="1E2330"/>
              <w:bottom w:val="single" w:sz="4" w:space="0" w:color="2A3045"/>
              <w:right w:val="single" w:sz="4" w:space="0" w:color="1E2330"/>
            </w:tcBorders>
          </w:tcPr>
          <w:p w14:paraId="4E5CA21D" w14:textId="77777777" w:rsidR="00467066" w:rsidRDefault="00000000">
            <w:pPr>
              <w:spacing w:before="60" w:after="60"/>
            </w:pPr>
            <w:r>
              <w:rPr>
                <w:sz w:val="18"/>
              </w:rPr>
              <w:t>1.x</w:t>
            </w:r>
          </w:p>
        </w:tc>
        <w:tc>
          <w:tcPr>
            <w:tcW w:w="5839" w:type="dxa"/>
            <w:tcBorders>
              <w:left w:val="single" w:sz="4" w:space="0" w:color="1E2330"/>
              <w:bottom w:val="single" w:sz="4" w:space="0" w:color="2A3045"/>
              <w:right w:val="single" w:sz="4" w:space="0" w:color="1E2330"/>
            </w:tcBorders>
          </w:tcPr>
          <w:p w14:paraId="52C402C8" w14:textId="77777777" w:rsidR="00467066" w:rsidRDefault="00000000">
            <w:pPr>
              <w:spacing w:before="60" w:after="60"/>
            </w:pPr>
            <w:r>
              <w:rPr>
                <w:sz w:val="18"/>
              </w:rPr>
              <w:t>Multi-page web application, interactive widgets, data caching</w:t>
            </w:r>
          </w:p>
        </w:tc>
      </w:tr>
      <w:tr w:rsidR="00467066" w14:paraId="6E8629D9" w14:textId="77777777">
        <w:tc>
          <w:tcPr>
            <w:tcW w:w="1587" w:type="dxa"/>
            <w:tcBorders>
              <w:left w:val="single" w:sz="4" w:space="0" w:color="1E2330"/>
              <w:bottom w:val="single" w:sz="4" w:space="0" w:color="2A3045"/>
              <w:right w:val="single" w:sz="4" w:space="0" w:color="1E2330"/>
            </w:tcBorders>
            <w:shd w:val="clear" w:color="auto" w:fill="161B27"/>
          </w:tcPr>
          <w:p w14:paraId="0750323F" w14:textId="77777777" w:rsidR="00467066" w:rsidRDefault="00000000">
            <w:pPr>
              <w:spacing w:before="60" w:after="60"/>
            </w:pPr>
            <w:r>
              <w:rPr>
                <w:sz w:val="18"/>
              </w:rPr>
              <w:t>Visualisation</w:t>
            </w:r>
          </w:p>
        </w:tc>
        <w:tc>
          <w:tcPr>
            <w:tcW w:w="1701" w:type="dxa"/>
            <w:tcBorders>
              <w:left w:val="single" w:sz="4" w:space="0" w:color="1E2330"/>
              <w:bottom w:val="single" w:sz="4" w:space="0" w:color="2A3045"/>
              <w:right w:val="single" w:sz="4" w:space="0" w:color="1E2330"/>
            </w:tcBorders>
            <w:shd w:val="clear" w:color="auto" w:fill="161B27"/>
          </w:tcPr>
          <w:p w14:paraId="2AA45F86" w14:textId="77777777" w:rsidR="00467066" w:rsidRDefault="00000000">
            <w:pPr>
              <w:spacing w:before="60" w:after="60"/>
            </w:pPr>
            <w:r>
              <w:rPr>
                <w:sz w:val="18"/>
              </w:rPr>
              <w:t>Plotly</w:t>
            </w:r>
          </w:p>
        </w:tc>
        <w:tc>
          <w:tcPr>
            <w:tcW w:w="1134" w:type="dxa"/>
            <w:tcBorders>
              <w:left w:val="single" w:sz="4" w:space="0" w:color="1E2330"/>
              <w:bottom w:val="single" w:sz="4" w:space="0" w:color="2A3045"/>
              <w:right w:val="single" w:sz="4" w:space="0" w:color="1E2330"/>
            </w:tcBorders>
            <w:shd w:val="clear" w:color="auto" w:fill="161B27"/>
          </w:tcPr>
          <w:p w14:paraId="7EF159D6" w14:textId="77777777" w:rsidR="00467066" w:rsidRDefault="00000000">
            <w:pPr>
              <w:spacing w:before="60" w:after="60"/>
            </w:pPr>
            <w:r>
              <w:rPr>
                <w:sz w:val="18"/>
              </w:rPr>
              <w:t>5.x</w:t>
            </w:r>
          </w:p>
        </w:tc>
        <w:tc>
          <w:tcPr>
            <w:tcW w:w="5839" w:type="dxa"/>
            <w:tcBorders>
              <w:left w:val="single" w:sz="4" w:space="0" w:color="1E2330"/>
              <w:bottom w:val="single" w:sz="4" w:space="0" w:color="2A3045"/>
              <w:right w:val="single" w:sz="4" w:space="0" w:color="1E2330"/>
            </w:tcBorders>
            <w:shd w:val="clear" w:color="auto" w:fill="161B27"/>
          </w:tcPr>
          <w:p w14:paraId="0C1075DC" w14:textId="77777777" w:rsidR="00467066" w:rsidRDefault="00000000">
            <w:pPr>
              <w:spacing w:before="60" w:after="60"/>
            </w:pPr>
            <w:r>
              <w:rPr>
                <w:sz w:val="18"/>
              </w:rPr>
              <w:t>Interactive charts, heatmaps, network graphs, choropleths</w:t>
            </w:r>
          </w:p>
        </w:tc>
      </w:tr>
      <w:tr w:rsidR="00467066" w14:paraId="2DED149E" w14:textId="77777777">
        <w:tc>
          <w:tcPr>
            <w:tcW w:w="1587" w:type="dxa"/>
            <w:tcBorders>
              <w:left w:val="single" w:sz="4" w:space="0" w:color="1E2330"/>
              <w:bottom w:val="single" w:sz="4" w:space="0" w:color="2A3045"/>
              <w:right w:val="single" w:sz="4" w:space="0" w:color="1E2330"/>
            </w:tcBorders>
          </w:tcPr>
          <w:p w14:paraId="2C005B20" w14:textId="77777777" w:rsidR="00467066" w:rsidRDefault="00000000">
            <w:pPr>
              <w:spacing w:before="60" w:after="60"/>
            </w:pPr>
            <w:r>
              <w:rPr>
                <w:sz w:val="18"/>
              </w:rPr>
              <w:t>Market Data</w:t>
            </w:r>
          </w:p>
        </w:tc>
        <w:tc>
          <w:tcPr>
            <w:tcW w:w="1701" w:type="dxa"/>
            <w:tcBorders>
              <w:left w:val="single" w:sz="4" w:space="0" w:color="1E2330"/>
              <w:bottom w:val="single" w:sz="4" w:space="0" w:color="2A3045"/>
              <w:right w:val="single" w:sz="4" w:space="0" w:color="1E2330"/>
            </w:tcBorders>
          </w:tcPr>
          <w:p w14:paraId="24B4A6AE" w14:textId="77777777" w:rsidR="00467066" w:rsidRDefault="00000000">
            <w:pPr>
              <w:spacing w:before="60" w:after="60"/>
            </w:pPr>
            <w:r>
              <w:rPr>
                <w:sz w:val="18"/>
              </w:rPr>
              <w:t>yfinance</w:t>
            </w:r>
          </w:p>
        </w:tc>
        <w:tc>
          <w:tcPr>
            <w:tcW w:w="1134" w:type="dxa"/>
            <w:tcBorders>
              <w:left w:val="single" w:sz="4" w:space="0" w:color="1E2330"/>
              <w:bottom w:val="single" w:sz="4" w:space="0" w:color="2A3045"/>
              <w:right w:val="single" w:sz="4" w:space="0" w:color="1E2330"/>
            </w:tcBorders>
          </w:tcPr>
          <w:p w14:paraId="416B22B3" w14:textId="77777777" w:rsidR="00467066" w:rsidRDefault="00000000">
            <w:pPr>
              <w:spacing w:before="60" w:after="60"/>
            </w:pPr>
            <w:r>
              <w:rPr>
                <w:sz w:val="18"/>
              </w:rPr>
              <w:t>0.2.x</w:t>
            </w:r>
          </w:p>
        </w:tc>
        <w:tc>
          <w:tcPr>
            <w:tcW w:w="5839" w:type="dxa"/>
            <w:tcBorders>
              <w:left w:val="single" w:sz="4" w:space="0" w:color="1E2330"/>
              <w:bottom w:val="single" w:sz="4" w:space="0" w:color="2A3045"/>
              <w:right w:val="single" w:sz="4" w:space="0" w:color="1E2330"/>
            </w:tcBorders>
          </w:tcPr>
          <w:p w14:paraId="461EFD6D" w14:textId="77777777" w:rsidR="00467066" w:rsidRDefault="00000000">
            <w:pPr>
              <w:spacing w:before="60" w:after="60"/>
            </w:pPr>
            <w:r>
              <w:rPr>
                <w:sz w:val="18"/>
              </w:rPr>
              <w:t>Historical and live equity, commodity, ETF, and FX data</w:t>
            </w:r>
          </w:p>
        </w:tc>
      </w:tr>
      <w:tr w:rsidR="00467066" w14:paraId="1F8E8077" w14:textId="77777777">
        <w:tc>
          <w:tcPr>
            <w:tcW w:w="1587" w:type="dxa"/>
            <w:tcBorders>
              <w:left w:val="single" w:sz="4" w:space="0" w:color="1E2330"/>
              <w:bottom w:val="single" w:sz="4" w:space="0" w:color="2A3045"/>
              <w:right w:val="single" w:sz="4" w:space="0" w:color="1E2330"/>
            </w:tcBorders>
            <w:shd w:val="clear" w:color="auto" w:fill="161B27"/>
          </w:tcPr>
          <w:p w14:paraId="7B3CB8F4" w14:textId="77777777" w:rsidR="00467066" w:rsidRDefault="00000000">
            <w:pPr>
              <w:spacing w:before="60" w:after="60"/>
            </w:pPr>
            <w:r>
              <w:rPr>
                <w:sz w:val="18"/>
              </w:rPr>
              <w:t>Macro Data</w:t>
            </w:r>
          </w:p>
        </w:tc>
        <w:tc>
          <w:tcPr>
            <w:tcW w:w="1701" w:type="dxa"/>
            <w:tcBorders>
              <w:left w:val="single" w:sz="4" w:space="0" w:color="1E2330"/>
              <w:bottom w:val="single" w:sz="4" w:space="0" w:color="2A3045"/>
              <w:right w:val="single" w:sz="4" w:space="0" w:color="1E2330"/>
            </w:tcBorders>
            <w:shd w:val="clear" w:color="auto" w:fill="161B27"/>
          </w:tcPr>
          <w:p w14:paraId="63905463" w14:textId="77777777" w:rsidR="00467066" w:rsidRDefault="00000000">
            <w:pPr>
              <w:spacing w:before="60" w:after="60"/>
            </w:pPr>
            <w:r>
              <w:rPr>
                <w:sz w:val="18"/>
              </w:rPr>
              <w:t>fredapi</w:t>
            </w:r>
          </w:p>
        </w:tc>
        <w:tc>
          <w:tcPr>
            <w:tcW w:w="1134" w:type="dxa"/>
            <w:tcBorders>
              <w:left w:val="single" w:sz="4" w:space="0" w:color="1E2330"/>
              <w:bottom w:val="single" w:sz="4" w:space="0" w:color="2A3045"/>
              <w:right w:val="single" w:sz="4" w:space="0" w:color="1E2330"/>
            </w:tcBorders>
            <w:shd w:val="clear" w:color="auto" w:fill="161B27"/>
          </w:tcPr>
          <w:p w14:paraId="33023B73" w14:textId="77777777" w:rsidR="00467066" w:rsidRDefault="00000000">
            <w:pPr>
              <w:spacing w:before="60" w:after="60"/>
            </w:pPr>
            <w:r>
              <w:rPr>
                <w:sz w:val="18"/>
              </w:rPr>
              <w:t>0.5.x</w:t>
            </w:r>
          </w:p>
        </w:tc>
        <w:tc>
          <w:tcPr>
            <w:tcW w:w="5839" w:type="dxa"/>
            <w:tcBorders>
              <w:left w:val="single" w:sz="4" w:space="0" w:color="1E2330"/>
              <w:bottom w:val="single" w:sz="4" w:space="0" w:color="2A3045"/>
              <w:right w:val="single" w:sz="4" w:space="0" w:color="1E2330"/>
            </w:tcBorders>
            <w:shd w:val="clear" w:color="auto" w:fill="161B27"/>
          </w:tcPr>
          <w:p w14:paraId="77AF6A50" w14:textId="77777777" w:rsidR="00467066" w:rsidRDefault="00000000">
            <w:pPr>
              <w:spacing w:before="60" w:after="60"/>
            </w:pPr>
            <w:r>
              <w:rPr>
                <w:sz w:val="18"/>
              </w:rPr>
              <w:t>FRED macro series: yield curve, CPI, GDP, PMI, Fed Funds Rate</w:t>
            </w:r>
          </w:p>
        </w:tc>
      </w:tr>
      <w:tr w:rsidR="00467066" w14:paraId="0AFD9CC7" w14:textId="77777777">
        <w:tc>
          <w:tcPr>
            <w:tcW w:w="1587" w:type="dxa"/>
            <w:tcBorders>
              <w:left w:val="single" w:sz="4" w:space="0" w:color="1E2330"/>
              <w:bottom w:val="single" w:sz="4" w:space="0" w:color="2A3045"/>
              <w:right w:val="single" w:sz="4" w:space="0" w:color="1E2330"/>
            </w:tcBorders>
          </w:tcPr>
          <w:p w14:paraId="38E32362" w14:textId="77777777" w:rsidR="00467066" w:rsidRDefault="00000000">
            <w:pPr>
              <w:spacing w:before="60" w:after="60"/>
            </w:pPr>
            <w:r>
              <w:rPr>
                <w:sz w:val="18"/>
              </w:rPr>
              <w:t>News / RSS</w:t>
            </w:r>
          </w:p>
        </w:tc>
        <w:tc>
          <w:tcPr>
            <w:tcW w:w="1701" w:type="dxa"/>
            <w:tcBorders>
              <w:left w:val="single" w:sz="4" w:space="0" w:color="1E2330"/>
              <w:bottom w:val="single" w:sz="4" w:space="0" w:color="2A3045"/>
              <w:right w:val="single" w:sz="4" w:space="0" w:color="1E2330"/>
            </w:tcBorders>
          </w:tcPr>
          <w:p w14:paraId="7CD12B62" w14:textId="77777777" w:rsidR="00467066" w:rsidRDefault="00000000">
            <w:pPr>
              <w:spacing w:before="60" w:after="60"/>
            </w:pPr>
            <w:r>
              <w:rPr>
                <w:sz w:val="18"/>
              </w:rPr>
              <w:t>feedparser</w:t>
            </w:r>
          </w:p>
        </w:tc>
        <w:tc>
          <w:tcPr>
            <w:tcW w:w="1134" w:type="dxa"/>
            <w:tcBorders>
              <w:left w:val="single" w:sz="4" w:space="0" w:color="1E2330"/>
              <w:bottom w:val="single" w:sz="4" w:space="0" w:color="2A3045"/>
              <w:right w:val="single" w:sz="4" w:space="0" w:color="1E2330"/>
            </w:tcBorders>
          </w:tcPr>
          <w:p w14:paraId="7F7A450F" w14:textId="77777777" w:rsidR="00467066" w:rsidRDefault="00000000">
            <w:pPr>
              <w:spacing w:before="60" w:after="60"/>
            </w:pPr>
            <w:r>
              <w:rPr>
                <w:sz w:val="18"/>
              </w:rPr>
              <w:t>6.x</w:t>
            </w:r>
          </w:p>
        </w:tc>
        <w:tc>
          <w:tcPr>
            <w:tcW w:w="5839" w:type="dxa"/>
            <w:tcBorders>
              <w:left w:val="single" w:sz="4" w:space="0" w:color="1E2330"/>
              <w:bottom w:val="single" w:sz="4" w:space="0" w:color="2A3045"/>
              <w:right w:val="single" w:sz="4" w:space="0" w:color="1E2330"/>
            </w:tcBorders>
          </w:tcPr>
          <w:p w14:paraId="10B85766" w14:textId="77777777" w:rsidR="00467066" w:rsidRDefault="00000000">
            <w:pPr>
              <w:spacing w:before="60" w:after="60"/>
            </w:pPr>
            <w:r>
              <w:rPr>
                <w:sz w:val="18"/>
              </w:rPr>
              <w:t>Automated geopolitical RSS ingestion from 7 major sources</w:t>
            </w:r>
          </w:p>
        </w:tc>
      </w:tr>
      <w:tr w:rsidR="00467066" w14:paraId="17CF695D" w14:textId="77777777">
        <w:tc>
          <w:tcPr>
            <w:tcW w:w="1587" w:type="dxa"/>
            <w:tcBorders>
              <w:left w:val="single" w:sz="4" w:space="0" w:color="1E2330"/>
              <w:bottom w:val="single" w:sz="4" w:space="0" w:color="2A3045"/>
              <w:right w:val="single" w:sz="4" w:space="0" w:color="1E2330"/>
            </w:tcBorders>
            <w:shd w:val="clear" w:color="auto" w:fill="161B27"/>
          </w:tcPr>
          <w:p w14:paraId="3E744507" w14:textId="77777777" w:rsidR="00467066" w:rsidRDefault="00000000">
            <w:pPr>
              <w:spacing w:before="60" w:after="60"/>
            </w:pPr>
            <w:r>
              <w:rPr>
                <w:sz w:val="18"/>
              </w:rPr>
              <w:t>Time Series</w:t>
            </w:r>
          </w:p>
        </w:tc>
        <w:tc>
          <w:tcPr>
            <w:tcW w:w="1701" w:type="dxa"/>
            <w:tcBorders>
              <w:left w:val="single" w:sz="4" w:space="0" w:color="1E2330"/>
              <w:bottom w:val="single" w:sz="4" w:space="0" w:color="2A3045"/>
              <w:right w:val="single" w:sz="4" w:space="0" w:color="1E2330"/>
            </w:tcBorders>
            <w:shd w:val="clear" w:color="auto" w:fill="161B27"/>
          </w:tcPr>
          <w:p w14:paraId="0D88E301" w14:textId="77777777" w:rsidR="00467066" w:rsidRDefault="00000000">
            <w:pPr>
              <w:spacing w:before="60" w:after="60"/>
            </w:pPr>
            <w:r>
              <w:rPr>
                <w:sz w:val="18"/>
              </w:rPr>
              <w:t>pandas / numpy</w:t>
            </w:r>
          </w:p>
        </w:tc>
        <w:tc>
          <w:tcPr>
            <w:tcW w:w="1134" w:type="dxa"/>
            <w:tcBorders>
              <w:left w:val="single" w:sz="4" w:space="0" w:color="1E2330"/>
              <w:bottom w:val="single" w:sz="4" w:space="0" w:color="2A3045"/>
              <w:right w:val="single" w:sz="4" w:space="0" w:color="1E2330"/>
            </w:tcBorders>
            <w:shd w:val="clear" w:color="auto" w:fill="161B27"/>
          </w:tcPr>
          <w:p w14:paraId="57795F73" w14:textId="77777777" w:rsidR="00467066" w:rsidRDefault="00000000">
            <w:pPr>
              <w:spacing w:before="60" w:after="60"/>
            </w:pPr>
            <w:r>
              <w:rPr>
                <w:sz w:val="18"/>
              </w:rPr>
              <w:t>2.x / 1.x</w:t>
            </w:r>
          </w:p>
        </w:tc>
        <w:tc>
          <w:tcPr>
            <w:tcW w:w="5839" w:type="dxa"/>
            <w:tcBorders>
              <w:left w:val="single" w:sz="4" w:space="0" w:color="1E2330"/>
              <w:bottom w:val="single" w:sz="4" w:space="0" w:color="2A3045"/>
              <w:right w:val="single" w:sz="4" w:space="0" w:color="1E2330"/>
            </w:tcBorders>
            <w:shd w:val="clear" w:color="auto" w:fill="161B27"/>
          </w:tcPr>
          <w:p w14:paraId="664FA08F" w14:textId="77777777" w:rsidR="00467066" w:rsidRDefault="00000000">
            <w:pPr>
              <w:spacing w:before="60" w:after="60"/>
            </w:pPr>
            <w:r>
              <w:rPr>
                <w:sz w:val="18"/>
              </w:rPr>
              <w:t>Data wrangling, rolling statistics, return computation</w:t>
            </w:r>
          </w:p>
        </w:tc>
      </w:tr>
      <w:tr w:rsidR="00467066" w14:paraId="7E46E00B" w14:textId="77777777">
        <w:tc>
          <w:tcPr>
            <w:tcW w:w="1587" w:type="dxa"/>
            <w:tcBorders>
              <w:left w:val="single" w:sz="4" w:space="0" w:color="1E2330"/>
              <w:bottom w:val="single" w:sz="4" w:space="0" w:color="2A3045"/>
              <w:right w:val="single" w:sz="4" w:space="0" w:color="1E2330"/>
            </w:tcBorders>
          </w:tcPr>
          <w:p w14:paraId="0B09DF58" w14:textId="77777777" w:rsidR="00467066" w:rsidRDefault="00000000">
            <w:pPr>
              <w:spacing w:before="60" w:after="60"/>
            </w:pPr>
            <w:r>
              <w:rPr>
                <w:sz w:val="18"/>
              </w:rPr>
              <w:t>Econometrics</w:t>
            </w:r>
          </w:p>
        </w:tc>
        <w:tc>
          <w:tcPr>
            <w:tcW w:w="1701" w:type="dxa"/>
            <w:tcBorders>
              <w:left w:val="single" w:sz="4" w:space="0" w:color="1E2330"/>
              <w:bottom w:val="single" w:sz="4" w:space="0" w:color="2A3045"/>
              <w:right w:val="single" w:sz="4" w:space="0" w:color="1E2330"/>
            </w:tcBorders>
          </w:tcPr>
          <w:p w14:paraId="14C9DC2F" w14:textId="77777777" w:rsidR="00467066" w:rsidRDefault="00000000">
            <w:pPr>
              <w:spacing w:before="60" w:after="60"/>
            </w:pPr>
            <w:r>
              <w:rPr>
                <w:sz w:val="18"/>
              </w:rPr>
              <w:t>statsmodels</w:t>
            </w:r>
          </w:p>
        </w:tc>
        <w:tc>
          <w:tcPr>
            <w:tcW w:w="1134" w:type="dxa"/>
            <w:tcBorders>
              <w:left w:val="single" w:sz="4" w:space="0" w:color="1E2330"/>
              <w:bottom w:val="single" w:sz="4" w:space="0" w:color="2A3045"/>
              <w:right w:val="single" w:sz="4" w:space="0" w:color="1E2330"/>
            </w:tcBorders>
          </w:tcPr>
          <w:p w14:paraId="1F10A6CE" w14:textId="77777777" w:rsidR="00467066" w:rsidRDefault="00000000">
            <w:pPr>
              <w:spacing w:before="60" w:after="60"/>
            </w:pPr>
            <w:r>
              <w:rPr>
                <w:sz w:val="18"/>
              </w:rPr>
              <w:t>0.14.x</w:t>
            </w:r>
          </w:p>
        </w:tc>
        <w:tc>
          <w:tcPr>
            <w:tcW w:w="5839" w:type="dxa"/>
            <w:tcBorders>
              <w:left w:val="single" w:sz="4" w:space="0" w:color="1E2330"/>
              <w:bottom w:val="single" w:sz="4" w:space="0" w:color="2A3045"/>
              <w:right w:val="single" w:sz="4" w:space="0" w:color="1E2330"/>
            </w:tcBorders>
          </w:tcPr>
          <w:p w14:paraId="5CDBFB5C" w14:textId="77777777" w:rsidR="00467066" w:rsidRDefault="00000000">
            <w:pPr>
              <w:spacing w:before="60" w:after="60"/>
            </w:pPr>
            <w:r>
              <w:rPr>
                <w:sz w:val="18"/>
              </w:rPr>
              <w:t>Granger causality, VAR, OLS regression, regime statistics</w:t>
            </w:r>
          </w:p>
        </w:tc>
      </w:tr>
      <w:tr w:rsidR="00467066" w14:paraId="3F6B105B" w14:textId="77777777">
        <w:tc>
          <w:tcPr>
            <w:tcW w:w="1587" w:type="dxa"/>
            <w:tcBorders>
              <w:left w:val="single" w:sz="4" w:space="0" w:color="1E2330"/>
              <w:bottom w:val="single" w:sz="4" w:space="0" w:color="2A3045"/>
              <w:right w:val="single" w:sz="4" w:space="0" w:color="1E2330"/>
            </w:tcBorders>
            <w:shd w:val="clear" w:color="auto" w:fill="161B27"/>
          </w:tcPr>
          <w:p w14:paraId="000E0E38" w14:textId="77777777" w:rsidR="00467066" w:rsidRDefault="00000000">
            <w:pPr>
              <w:spacing w:before="60" w:after="60"/>
            </w:pPr>
            <w:r>
              <w:rPr>
                <w:sz w:val="18"/>
              </w:rPr>
              <w:t>GARCH Models</w:t>
            </w:r>
          </w:p>
        </w:tc>
        <w:tc>
          <w:tcPr>
            <w:tcW w:w="1701" w:type="dxa"/>
            <w:tcBorders>
              <w:left w:val="single" w:sz="4" w:space="0" w:color="1E2330"/>
              <w:bottom w:val="single" w:sz="4" w:space="0" w:color="2A3045"/>
              <w:right w:val="single" w:sz="4" w:space="0" w:color="1E2330"/>
            </w:tcBorders>
            <w:shd w:val="clear" w:color="auto" w:fill="161B27"/>
          </w:tcPr>
          <w:p w14:paraId="3644365D" w14:textId="77777777" w:rsidR="00467066" w:rsidRDefault="00000000">
            <w:pPr>
              <w:spacing w:before="60" w:after="60"/>
            </w:pPr>
            <w:r>
              <w:rPr>
                <w:sz w:val="18"/>
              </w:rPr>
              <w:t>arch</w:t>
            </w:r>
          </w:p>
        </w:tc>
        <w:tc>
          <w:tcPr>
            <w:tcW w:w="1134" w:type="dxa"/>
            <w:tcBorders>
              <w:left w:val="single" w:sz="4" w:space="0" w:color="1E2330"/>
              <w:bottom w:val="single" w:sz="4" w:space="0" w:color="2A3045"/>
              <w:right w:val="single" w:sz="4" w:space="0" w:color="1E2330"/>
            </w:tcBorders>
            <w:shd w:val="clear" w:color="auto" w:fill="161B27"/>
          </w:tcPr>
          <w:p w14:paraId="71E65437" w14:textId="77777777" w:rsidR="00467066" w:rsidRDefault="00000000">
            <w:pPr>
              <w:spacing w:before="60" w:after="60"/>
            </w:pPr>
            <w:r>
              <w:rPr>
                <w:sz w:val="18"/>
              </w:rPr>
              <w:t>6.x</w:t>
            </w:r>
          </w:p>
        </w:tc>
        <w:tc>
          <w:tcPr>
            <w:tcW w:w="5839" w:type="dxa"/>
            <w:tcBorders>
              <w:left w:val="single" w:sz="4" w:space="0" w:color="1E2330"/>
              <w:bottom w:val="single" w:sz="4" w:space="0" w:color="2A3045"/>
              <w:right w:val="single" w:sz="4" w:space="0" w:color="1E2330"/>
            </w:tcBorders>
            <w:shd w:val="clear" w:color="auto" w:fill="161B27"/>
          </w:tcPr>
          <w:p w14:paraId="2C39C5EE" w14:textId="77777777" w:rsidR="00467066" w:rsidRDefault="00000000">
            <w:pPr>
              <w:spacing w:before="60" w:after="60"/>
            </w:pPr>
            <w:r>
              <w:rPr>
                <w:sz w:val="18"/>
              </w:rPr>
              <w:t>DCC-GARCH dynamic conditional correlation estimation</w:t>
            </w:r>
          </w:p>
        </w:tc>
      </w:tr>
      <w:tr w:rsidR="00467066" w14:paraId="141BF978" w14:textId="77777777">
        <w:tc>
          <w:tcPr>
            <w:tcW w:w="1587" w:type="dxa"/>
            <w:tcBorders>
              <w:left w:val="single" w:sz="4" w:space="0" w:color="1E2330"/>
              <w:bottom w:val="single" w:sz="4" w:space="0" w:color="2A3045"/>
              <w:right w:val="single" w:sz="4" w:space="0" w:color="1E2330"/>
            </w:tcBorders>
          </w:tcPr>
          <w:p w14:paraId="095F452F" w14:textId="77777777" w:rsidR="00467066" w:rsidRDefault="00000000">
            <w:pPr>
              <w:spacing w:before="60" w:after="60"/>
            </w:pPr>
            <w:r>
              <w:rPr>
                <w:sz w:val="18"/>
              </w:rPr>
              <w:t>ML / Validation</w:t>
            </w:r>
          </w:p>
        </w:tc>
        <w:tc>
          <w:tcPr>
            <w:tcW w:w="1701" w:type="dxa"/>
            <w:tcBorders>
              <w:left w:val="single" w:sz="4" w:space="0" w:color="1E2330"/>
              <w:bottom w:val="single" w:sz="4" w:space="0" w:color="2A3045"/>
              <w:right w:val="single" w:sz="4" w:space="0" w:color="1E2330"/>
            </w:tcBorders>
          </w:tcPr>
          <w:p w14:paraId="26EDD28D" w14:textId="77777777" w:rsidR="00467066" w:rsidRDefault="00000000">
            <w:pPr>
              <w:spacing w:before="60" w:after="60"/>
            </w:pPr>
            <w:r>
              <w:rPr>
                <w:sz w:val="18"/>
              </w:rPr>
              <w:t>scikit-learn</w:t>
            </w:r>
          </w:p>
        </w:tc>
        <w:tc>
          <w:tcPr>
            <w:tcW w:w="1134" w:type="dxa"/>
            <w:tcBorders>
              <w:left w:val="single" w:sz="4" w:space="0" w:color="1E2330"/>
              <w:bottom w:val="single" w:sz="4" w:space="0" w:color="2A3045"/>
              <w:right w:val="single" w:sz="4" w:space="0" w:color="1E2330"/>
            </w:tcBorders>
          </w:tcPr>
          <w:p w14:paraId="0CB320BA" w14:textId="77777777" w:rsidR="00467066" w:rsidRDefault="00000000">
            <w:pPr>
              <w:spacing w:before="60" w:after="60"/>
            </w:pPr>
            <w:r>
              <w:rPr>
                <w:sz w:val="18"/>
              </w:rPr>
              <w:t>1.x</w:t>
            </w:r>
          </w:p>
        </w:tc>
        <w:tc>
          <w:tcPr>
            <w:tcW w:w="5839" w:type="dxa"/>
            <w:tcBorders>
              <w:left w:val="single" w:sz="4" w:space="0" w:color="1E2330"/>
              <w:bottom w:val="single" w:sz="4" w:space="0" w:color="2A3045"/>
              <w:right w:val="single" w:sz="4" w:space="0" w:color="1E2330"/>
            </w:tcBorders>
          </w:tcPr>
          <w:p w14:paraId="4EFB2735" w14:textId="77777777" w:rsidR="00467066" w:rsidRDefault="00000000">
            <w:pPr>
              <w:spacing w:before="60" w:after="60"/>
            </w:pPr>
            <w:r>
              <w:rPr>
                <w:sz w:val="18"/>
              </w:rPr>
              <w:t>Regime classification, walk-forward cross-validation</w:t>
            </w:r>
          </w:p>
        </w:tc>
      </w:tr>
      <w:tr w:rsidR="00467066" w14:paraId="1A422C04" w14:textId="77777777">
        <w:tc>
          <w:tcPr>
            <w:tcW w:w="1587" w:type="dxa"/>
            <w:tcBorders>
              <w:left w:val="single" w:sz="4" w:space="0" w:color="1E2330"/>
              <w:bottom w:val="single" w:sz="4" w:space="0" w:color="2A3045"/>
              <w:right w:val="single" w:sz="4" w:space="0" w:color="1E2330"/>
            </w:tcBorders>
            <w:shd w:val="clear" w:color="auto" w:fill="161B27"/>
          </w:tcPr>
          <w:p w14:paraId="103E2293" w14:textId="77777777" w:rsidR="00467066" w:rsidRDefault="00000000">
            <w:pPr>
              <w:spacing w:before="60" w:after="60"/>
            </w:pPr>
            <w:r>
              <w:rPr>
                <w:sz w:val="18"/>
              </w:rPr>
              <w:t>Scientific</w:t>
            </w:r>
          </w:p>
        </w:tc>
        <w:tc>
          <w:tcPr>
            <w:tcW w:w="1701" w:type="dxa"/>
            <w:tcBorders>
              <w:left w:val="single" w:sz="4" w:space="0" w:color="1E2330"/>
              <w:bottom w:val="single" w:sz="4" w:space="0" w:color="2A3045"/>
              <w:right w:val="single" w:sz="4" w:space="0" w:color="1E2330"/>
            </w:tcBorders>
            <w:shd w:val="clear" w:color="auto" w:fill="161B27"/>
          </w:tcPr>
          <w:p w14:paraId="3AC11ACC" w14:textId="77777777" w:rsidR="00467066" w:rsidRDefault="00000000">
            <w:pPr>
              <w:spacing w:before="60" w:after="60"/>
            </w:pPr>
            <w:r>
              <w:rPr>
                <w:sz w:val="18"/>
              </w:rPr>
              <w:t>scipy</w:t>
            </w:r>
          </w:p>
        </w:tc>
        <w:tc>
          <w:tcPr>
            <w:tcW w:w="1134" w:type="dxa"/>
            <w:tcBorders>
              <w:left w:val="single" w:sz="4" w:space="0" w:color="1E2330"/>
              <w:bottom w:val="single" w:sz="4" w:space="0" w:color="2A3045"/>
              <w:right w:val="single" w:sz="4" w:space="0" w:color="1E2330"/>
            </w:tcBorders>
            <w:shd w:val="clear" w:color="auto" w:fill="161B27"/>
          </w:tcPr>
          <w:p w14:paraId="1D2DE332" w14:textId="77777777" w:rsidR="00467066" w:rsidRDefault="00000000">
            <w:pPr>
              <w:spacing w:before="60" w:after="60"/>
            </w:pPr>
            <w:r>
              <w:rPr>
                <w:sz w:val="18"/>
              </w:rPr>
              <w:t>1.x</w:t>
            </w:r>
          </w:p>
        </w:tc>
        <w:tc>
          <w:tcPr>
            <w:tcW w:w="5839" w:type="dxa"/>
            <w:tcBorders>
              <w:left w:val="single" w:sz="4" w:space="0" w:color="1E2330"/>
              <w:bottom w:val="single" w:sz="4" w:space="0" w:color="2A3045"/>
              <w:right w:val="single" w:sz="4" w:space="0" w:color="1E2330"/>
            </w:tcBorders>
            <w:shd w:val="clear" w:color="auto" w:fill="161B27"/>
          </w:tcPr>
          <w:p w14:paraId="0471BBE6" w14:textId="77777777" w:rsidR="00467066" w:rsidRDefault="00000000">
            <w:pPr>
              <w:spacing w:before="60" w:after="60"/>
            </w:pPr>
            <w:r>
              <w:rPr>
                <w:sz w:val="18"/>
              </w:rPr>
              <w:t>Transfer entropy, statistical testing, signal processing</w:t>
            </w:r>
          </w:p>
        </w:tc>
      </w:tr>
      <w:tr w:rsidR="00467066" w14:paraId="3F4111D9" w14:textId="77777777">
        <w:tc>
          <w:tcPr>
            <w:tcW w:w="1587" w:type="dxa"/>
            <w:tcBorders>
              <w:left w:val="single" w:sz="4" w:space="0" w:color="1E2330"/>
              <w:bottom w:val="single" w:sz="4" w:space="0" w:color="2A3045"/>
              <w:right w:val="single" w:sz="4" w:space="0" w:color="1E2330"/>
            </w:tcBorders>
          </w:tcPr>
          <w:p w14:paraId="779F5789" w14:textId="77777777" w:rsidR="00467066" w:rsidRDefault="00000000">
            <w:pPr>
              <w:spacing w:before="60" w:after="60"/>
            </w:pPr>
            <w:r>
              <w:rPr>
                <w:sz w:val="18"/>
              </w:rPr>
              <w:t>Graph Analytics</w:t>
            </w:r>
          </w:p>
        </w:tc>
        <w:tc>
          <w:tcPr>
            <w:tcW w:w="1701" w:type="dxa"/>
            <w:tcBorders>
              <w:left w:val="single" w:sz="4" w:space="0" w:color="1E2330"/>
              <w:bottom w:val="single" w:sz="4" w:space="0" w:color="2A3045"/>
              <w:right w:val="single" w:sz="4" w:space="0" w:color="1E2330"/>
            </w:tcBorders>
          </w:tcPr>
          <w:p w14:paraId="36EE2AEA" w14:textId="77777777" w:rsidR="00467066" w:rsidRDefault="00000000">
            <w:pPr>
              <w:spacing w:before="60" w:after="60"/>
            </w:pPr>
            <w:r>
              <w:rPr>
                <w:sz w:val="18"/>
              </w:rPr>
              <w:t>networkx</w:t>
            </w:r>
          </w:p>
        </w:tc>
        <w:tc>
          <w:tcPr>
            <w:tcW w:w="1134" w:type="dxa"/>
            <w:tcBorders>
              <w:left w:val="single" w:sz="4" w:space="0" w:color="1E2330"/>
              <w:bottom w:val="single" w:sz="4" w:space="0" w:color="2A3045"/>
              <w:right w:val="single" w:sz="4" w:space="0" w:color="1E2330"/>
            </w:tcBorders>
          </w:tcPr>
          <w:p w14:paraId="69F12E7E" w14:textId="77777777" w:rsidR="00467066" w:rsidRDefault="00000000">
            <w:pPr>
              <w:spacing w:before="60" w:after="60"/>
            </w:pPr>
            <w:r>
              <w:rPr>
                <w:sz w:val="18"/>
              </w:rPr>
              <w:t>3.x</w:t>
            </w:r>
          </w:p>
        </w:tc>
        <w:tc>
          <w:tcPr>
            <w:tcW w:w="5839" w:type="dxa"/>
            <w:tcBorders>
              <w:left w:val="single" w:sz="4" w:space="0" w:color="1E2330"/>
              <w:bottom w:val="single" w:sz="4" w:space="0" w:color="2A3045"/>
              <w:right w:val="single" w:sz="4" w:space="0" w:color="1E2330"/>
            </w:tcBorders>
          </w:tcPr>
          <w:p w14:paraId="64918FA8" w14:textId="77777777" w:rsidR="00467066" w:rsidRDefault="00000000">
            <w:pPr>
              <w:spacing w:before="60" w:after="60"/>
            </w:pPr>
            <w:r>
              <w:rPr>
                <w:sz w:val="18"/>
              </w:rPr>
              <w:t>Spillover network construction and layout algorithms</w:t>
            </w:r>
          </w:p>
        </w:tc>
      </w:tr>
      <w:tr w:rsidR="00467066" w14:paraId="1868AE85" w14:textId="77777777">
        <w:tc>
          <w:tcPr>
            <w:tcW w:w="1587" w:type="dxa"/>
            <w:tcBorders>
              <w:left w:val="single" w:sz="4" w:space="0" w:color="1E2330"/>
              <w:bottom w:val="single" w:sz="4" w:space="0" w:color="2A3045"/>
              <w:right w:val="single" w:sz="4" w:space="0" w:color="1E2330"/>
            </w:tcBorders>
            <w:shd w:val="clear" w:color="auto" w:fill="161B27"/>
          </w:tcPr>
          <w:p w14:paraId="3E56884D" w14:textId="77777777" w:rsidR="00467066" w:rsidRDefault="00000000">
            <w:pPr>
              <w:spacing w:before="60" w:after="60"/>
            </w:pPr>
            <w:r>
              <w:rPr>
                <w:sz w:val="18"/>
              </w:rPr>
              <w:t>AI — Primary</w:t>
            </w:r>
          </w:p>
        </w:tc>
        <w:tc>
          <w:tcPr>
            <w:tcW w:w="1701" w:type="dxa"/>
            <w:tcBorders>
              <w:left w:val="single" w:sz="4" w:space="0" w:color="1E2330"/>
              <w:bottom w:val="single" w:sz="4" w:space="0" w:color="2A3045"/>
              <w:right w:val="single" w:sz="4" w:space="0" w:color="1E2330"/>
            </w:tcBorders>
            <w:shd w:val="clear" w:color="auto" w:fill="161B27"/>
          </w:tcPr>
          <w:p w14:paraId="18B7BCFB" w14:textId="77777777" w:rsidR="00467066" w:rsidRDefault="00000000">
            <w:pPr>
              <w:spacing w:before="60" w:after="60"/>
            </w:pPr>
            <w:r>
              <w:rPr>
                <w:sz w:val="18"/>
              </w:rPr>
              <w:t>anthropic</w:t>
            </w:r>
          </w:p>
        </w:tc>
        <w:tc>
          <w:tcPr>
            <w:tcW w:w="1134" w:type="dxa"/>
            <w:tcBorders>
              <w:left w:val="single" w:sz="4" w:space="0" w:color="1E2330"/>
              <w:bottom w:val="single" w:sz="4" w:space="0" w:color="2A3045"/>
              <w:right w:val="single" w:sz="4" w:space="0" w:color="1E2330"/>
            </w:tcBorders>
            <w:shd w:val="clear" w:color="auto" w:fill="161B27"/>
          </w:tcPr>
          <w:p w14:paraId="5BD995D7" w14:textId="77777777" w:rsidR="00467066" w:rsidRDefault="00000000">
            <w:pPr>
              <w:spacing w:before="60" w:after="60"/>
            </w:pPr>
            <w:r>
              <w:rPr>
                <w:sz w:val="18"/>
              </w:rPr>
              <w:t>0.x</w:t>
            </w:r>
          </w:p>
        </w:tc>
        <w:tc>
          <w:tcPr>
            <w:tcW w:w="5839" w:type="dxa"/>
            <w:tcBorders>
              <w:left w:val="single" w:sz="4" w:space="0" w:color="1E2330"/>
              <w:bottom w:val="single" w:sz="4" w:space="0" w:color="2A3045"/>
              <w:right w:val="single" w:sz="4" w:space="0" w:color="1E2330"/>
            </w:tcBorders>
            <w:shd w:val="clear" w:color="auto" w:fill="161B27"/>
          </w:tcPr>
          <w:p w14:paraId="45563CD6" w14:textId="77777777" w:rsidR="00467066" w:rsidRDefault="00000000">
            <w:pPr>
              <w:spacing w:before="60" w:after="60"/>
            </w:pPr>
            <w:r>
              <w:rPr>
                <w:sz w:val="18"/>
              </w:rPr>
              <w:t>Claude Sonnet: 7-agent orchestration pipeline and AI Analyst</w:t>
            </w:r>
          </w:p>
        </w:tc>
      </w:tr>
      <w:tr w:rsidR="00467066" w14:paraId="44822E90" w14:textId="77777777">
        <w:tc>
          <w:tcPr>
            <w:tcW w:w="1587" w:type="dxa"/>
            <w:tcBorders>
              <w:left w:val="single" w:sz="4" w:space="0" w:color="1E2330"/>
              <w:bottom w:val="single" w:sz="4" w:space="0" w:color="2A3045"/>
              <w:right w:val="single" w:sz="4" w:space="0" w:color="1E2330"/>
            </w:tcBorders>
          </w:tcPr>
          <w:p w14:paraId="02FBD074" w14:textId="77777777" w:rsidR="00467066" w:rsidRDefault="00000000">
            <w:pPr>
              <w:spacing w:before="60" w:after="60"/>
            </w:pPr>
            <w:r>
              <w:rPr>
                <w:sz w:val="18"/>
              </w:rPr>
              <w:t>AI — Fallback</w:t>
            </w:r>
          </w:p>
        </w:tc>
        <w:tc>
          <w:tcPr>
            <w:tcW w:w="1701" w:type="dxa"/>
            <w:tcBorders>
              <w:left w:val="single" w:sz="4" w:space="0" w:color="1E2330"/>
              <w:bottom w:val="single" w:sz="4" w:space="0" w:color="2A3045"/>
              <w:right w:val="single" w:sz="4" w:space="0" w:color="1E2330"/>
            </w:tcBorders>
          </w:tcPr>
          <w:p w14:paraId="1178A518" w14:textId="77777777" w:rsidR="00467066" w:rsidRDefault="00000000">
            <w:pPr>
              <w:spacing w:before="60" w:after="60"/>
            </w:pPr>
            <w:r>
              <w:rPr>
                <w:sz w:val="18"/>
              </w:rPr>
              <w:t>openai</w:t>
            </w:r>
          </w:p>
        </w:tc>
        <w:tc>
          <w:tcPr>
            <w:tcW w:w="1134" w:type="dxa"/>
            <w:tcBorders>
              <w:left w:val="single" w:sz="4" w:space="0" w:color="1E2330"/>
              <w:bottom w:val="single" w:sz="4" w:space="0" w:color="2A3045"/>
              <w:right w:val="single" w:sz="4" w:space="0" w:color="1E2330"/>
            </w:tcBorders>
          </w:tcPr>
          <w:p w14:paraId="5C6250FA" w14:textId="77777777" w:rsidR="00467066" w:rsidRDefault="00000000">
            <w:pPr>
              <w:spacing w:before="60" w:after="60"/>
            </w:pPr>
            <w:r>
              <w:rPr>
                <w:sz w:val="18"/>
              </w:rPr>
              <w:t>1.x</w:t>
            </w:r>
          </w:p>
        </w:tc>
        <w:tc>
          <w:tcPr>
            <w:tcW w:w="5839" w:type="dxa"/>
            <w:tcBorders>
              <w:left w:val="single" w:sz="4" w:space="0" w:color="1E2330"/>
              <w:bottom w:val="single" w:sz="4" w:space="0" w:color="2A3045"/>
              <w:right w:val="single" w:sz="4" w:space="0" w:color="1E2330"/>
            </w:tcBorders>
          </w:tcPr>
          <w:p w14:paraId="42C96DB2" w14:textId="77777777" w:rsidR="00467066" w:rsidRDefault="00000000">
            <w:pPr>
              <w:spacing w:before="60" w:after="60"/>
            </w:pPr>
            <w:r>
              <w:rPr>
                <w:sz w:val="18"/>
              </w:rPr>
              <w:t>GPT-4o: fallback provider for all AI agent functions</w:t>
            </w:r>
          </w:p>
        </w:tc>
      </w:tr>
      <w:tr w:rsidR="00467066" w14:paraId="5BEE63A0" w14:textId="77777777">
        <w:tc>
          <w:tcPr>
            <w:tcW w:w="1587" w:type="dxa"/>
            <w:tcBorders>
              <w:left w:val="single" w:sz="4" w:space="0" w:color="1E2330"/>
              <w:bottom w:val="single" w:sz="4" w:space="0" w:color="2A3045"/>
              <w:right w:val="single" w:sz="4" w:space="0" w:color="1E2330"/>
            </w:tcBorders>
            <w:shd w:val="clear" w:color="auto" w:fill="161B27"/>
          </w:tcPr>
          <w:p w14:paraId="51412F8A" w14:textId="77777777" w:rsidR="00467066" w:rsidRDefault="00000000">
            <w:pPr>
              <w:spacing w:before="60" w:after="60"/>
            </w:pPr>
            <w:r>
              <w:rPr>
                <w:sz w:val="18"/>
              </w:rPr>
              <w:t>PDF Generation</w:t>
            </w:r>
          </w:p>
        </w:tc>
        <w:tc>
          <w:tcPr>
            <w:tcW w:w="1701" w:type="dxa"/>
            <w:tcBorders>
              <w:left w:val="single" w:sz="4" w:space="0" w:color="1E2330"/>
              <w:bottom w:val="single" w:sz="4" w:space="0" w:color="2A3045"/>
              <w:right w:val="single" w:sz="4" w:space="0" w:color="1E2330"/>
            </w:tcBorders>
            <w:shd w:val="clear" w:color="auto" w:fill="161B27"/>
          </w:tcPr>
          <w:p w14:paraId="4CC9AA2F" w14:textId="77777777" w:rsidR="00467066" w:rsidRDefault="00000000">
            <w:pPr>
              <w:spacing w:before="60" w:after="60"/>
            </w:pPr>
            <w:r>
              <w:rPr>
                <w:sz w:val="18"/>
              </w:rPr>
              <w:t>reportlab</w:t>
            </w:r>
          </w:p>
        </w:tc>
        <w:tc>
          <w:tcPr>
            <w:tcW w:w="1134" w:type="dxa"/>
            <w:tcBorders>
              <w:left w:val="single" w:sz="4" w:space="0" w:color="1E2330"/>
              <w:bottom w:val="single" w:sz="4" w:space="0" w:color="2A3045"/>
              <w:right w:val="single" w:sz="4" w:space="0" w:color="1E2330"/>
            </w:tcBorders>
            <w:shd w:val="clear" w:color="auto" w:fill="161B27"/>
          </w:tcPr>
          <w:p w14:paraId="6F9299E0" w14:textId="77777777" w:rsidR="00467066" w:rsidRDefault="00000000">
            <w:pPr>
              <w:spacing w:before="60" w:after="60"/>
            </w:pPr>
            <w:r>
              <w:rPr>
                <w:sz w:val="18"/>
              </w:rPr>
              <w:t>4.x</w:t>
            </w:r>
          </w:p>
        </w:tc>
        <w:tc>
          <w:tcPr>
            <w:tcW w:w="5839" w:type="dxa"/>
            <w:tcBorders>
              <w:left w:val="single" w:sz="4" w:space="0" w:color="1E2330"/>
              <w:bottom w:val="single" w:sz="4" w:space="0" w:color="2A3045"/>
              <w:right w:val="single" w:sz="4" w:space="0" w:color="1E2330"/>
            </w:tcBorders>
            <w:shd w:val="clear" w:color="auto" w:fill="161B27"/>
          </w:tcPr>
          <w:p w14:paraId="6626072E" w14:textId="77777777" w:rsidR="00467066" w:rsidRDefault="00000000">
            <w:pPr>
              <w:spacing w:before="60" w:after="60"/>
            </w:pPr>
            <w:r>
              <w:rPr>
                <w:sz w:val="18"/>
              </w:rPr>
              <w:t>Automated PDF report export from Python</w:t>
            </w:r>
          </w:p>
        </w:tc>
      </w:tr>
      <w:tr w:rsidR="00467066" w14:paraId="2CD28BFC" w14:textId="77777777">
        <w:tc>
          <w:tcPr>
            <w:tcW w:w="1587" w:type="dxa"/>
            <w:tcBorders>
              <w:left w:val="single" w:sz="4" w:space="0" w:color="1E2330"/>
              <w:bottom w:val="single" w:sz="4" w:space="0" w:color="2A3045"/>
              <w:right w:val="single" w:sz="4" w:space="0" w:color="1E2330"/>
            </w:tcBorders>
          </w:tcPr>
          <w:p w14:paraId="6370CAE3" w14:textId="77777777" w:rsidR="00467066" w:rsidRDefault="00000000">
            <w:pPr>
              <w:spacing w:before="60" w:after="60"/>
            </w:pPr>
            <w:r>
              <w:rPr>
                <w:sz w:val="18"/>
              </w:rPr>
              <w:t>Image Processing</w:t>
            </w:r>
          </w:p>
        </w:tc>
        <w:tc>
          <w:tcPr>
            <w:tcW w:w="1701" w:type="dxa"/>
            <w:tcBorders>
              <w:left w:val="single" w:sz="4" w:space="0" w:color="1E2330"/>
              <w:bottom w:val="single" w:sz="4" w:space="0" w:color="2A3045"/>
              <w:right w:val="single" w:sz="4" w:space="0" w:color="1E2330"/>
            </w:tcBorders>
          </w:tcPr>
          <w:p w14:paraId="79245787" w14:textId="77777777" w:rsidR="00467066" w:rsidRDefault="00000000">
            <w:pPr>
              <w:spacing w:before="60" w:after="60"/>
            </w:pPr>
            <w:r>
              <w:rPr>
                <w:sz w:val="18"/>
              </w:rPr>
              <w:t>Pillow</w:t>
            </w:r>
          </w:p>
        </w:tc>
        <w:tc>
          <w:tcPr>
            <w:tcW w:w="1134" w:type="dxa"/>
            <w:tcBorders>
              <w:left w:val="single" w:sz="4" w:space="0" w:color="1E2330"/>
              <w:bottom w:val="single" w:sz="4" w:space="0" w:color="2A3045"/>
              <w:right w:val="single" w:sz="4" w:space="0" w:color="1E2330"/>
            </w:tcBorders>
          </w:tcPr>
          <w:p w14:paraId="023ED9EC" w14:textId="77777777" w:rsidR="00467066" w:rsidRDefault="00000000">
            <w:pPr>
              <w:spacing w:before="60" w:after="60"/>
            </w:pPr>
            <w:r>
              <w:rPr>
                <w:sz w:val="18"/>
              </w:rPr>
              <w:t>10.x</w:t>
            </w:r>
          </w:p>
        </w:tc>
        <w:tc>
          <w:tcPr>
            <w:tcW w:w="5839" w:type="dxa"/>
            <w:tcBorders>
              <w:left w:val="single" w:sz="4" w:space="0" w:color="1E2330"/>
              <w:bottom w:val="single" w:sz="4" w:space="0" w:color="2A3045"/>
              <w:right w:val="single" w:sz="4" w:space="0" w:color="1E2330"/>
            </w:tcBorders>
          </w:tcPr>
          <w:p w14:paraId="403ADA39" w14:textId="77777777" w:rsidR="00467066" w:rsidRDefault="00000000">
            <w:pPr>
              <w:spacing w:before="60" w:after="60"/>
            </w:pPr>
            <w:r>
              <w:rPr>
                <w:sz w:val="18"/>
              </w:rPr>
              <w:t>Image asset handling for generated reports</w:t>
            </w:r>
          </w:p>
        </w:tc>
      </w:tr>
      <w:tr w:rsidR="00467066" w14:paraId="74979116" w14:textId="77777777">
        <w:tc>
          <w:tcPr>
            <w:tcW w:w="1587" w:type="dxa"/>
            <w:tcBorders>
              <w:left w:val="single" w:sz="4" w:space="0" w:color="1E2330"/>
              <w:bottom w:val="single" w:sz="4" w:space="0" w:color="2A3045"/>
              <w:right w:val="single" w:sz="4" w:space="0" w:color="1E2330"/>
            </w:tcBorders>
            <w:shd w:val="clear" w:color="auto" w:fill="161B27"/>
          </w:tcPr>
          <w:p w14:paraId="245113C5" w14:textId="77777777" w:rsidR="00467066" w:rsidRDefault="00000000">
            <w:pPr>
              <w:spacing w:before="60" w:after="60"/>
            </w:pPr>
            <w:r>
              <w:rPr>
                <w:sz w:val="18"/>
              </w:rPr>
              <w:t>Deployment</w:t>
            </w:r>
          </w:p>
        </w:tc>
        <w:tc>
          <w:tcPr>
            <w:tcW w:w="1701" w:type="dxa"/>
            <w:tcBorders>
              <w:left w:val="single" w:sz="4" w:space="0" w:color="1E2330"/>
              <w:bottom w:val="single" w:sz="4" w:space="0" w:color="2A3045"/>
              <w:right w:val="single" w:sz="4" w:space="0" w:color="1E2330"/>
            </w:tcBorders>
            <w:shd w:val="clear" w:color="auto" w:fill="161B27"/>
          </w:tcPr>
          <w:p w14:paraId="55704282" w14:textId="77777777" w:rsidR="00467066" w:rsidRDefault="00000000">
            <w:pPr>
              <w:spacing w:before="60" w:after="60"/>
            </w:pPr>
            <w:r>
              <w:rPr>
                <w:sz w:val="18"/>
              </w:rPr>
              <w:t>Render</w:t>
            </w:r>
          </w:p>
        </w:tc>
        <w:tc>
          <w:tcPr>
            <w:tcW w:w="1134" w:type="dxa"/>
            <w:tcBorders>
              <w:left w:val="single" w:sz="4" w:space="0" w:color="1E2330"/>
              <w:bottom w:val="single" w:sz="4" w:space="0" w:color="2A3045"/>
              <w:right w:val="single" w:sz="4" w:space="0" w:color="1E2330"/>
            </w:tcBorders>
            <w:shd w:val="clear" w:color="auto" w:fill="161B27"/>
          </w:tcPr>
          <w:p w14:paraId="4EB45C2D" w14:textId="77777777" w:rsidR="00467066" w:rsidRDefault="00000000">
            <w:pPr>
              <w:spacing w:before="60" w:after="60"/>
            </w:pPr>
            <w:r>
              <w:rPr>
                <w:sz w:val="18"/>
              </w:rPr>
              <w:t>—</w:t>
            </w:r>
          </w:p>
        </w:tc>
        <w:tc>
          <w:tcPr>
            <w:tcW w:w="5839" w:type="dxa"/>
            <w:tcBorders>
              <w:left w:val="single" w:sz="4" w:space="0" w:color="1E2330"/>
              <w:bottom w:val="single" w:sz="4" w:space="0" w:color="2A3045"/>
              <w:right w:val="single" w:sz="4" w:space="0" w:color="1E2330"/>
            </w:tcBorders>
            <w:shd w:val="clear" w:color="auto" w:fill="161B27"/>
          </w:tcPr>
          <w:p w14:paraId="78411A36" w14:textId="77777777" w:rsidR="00467066" w:rsidRDefault="00000000">
            <w:pPr>
              <w:spacing w:before="60" w:after="60"/>
            </w:pPr>
            <w:r>
              <w:rPr>
                <w:sz w:val="18"/>
              </w:rPr>
              <w:t>Cloud hosting with Secret File support for Streamlit secrets</w:t>
            </w:r>
          </w:p>
        </w:tc>
      </w:tr>
    </w:tbl>
    <w:p w14:paraId="75A5E26A" w14:textId="77777777" w:rsidR="00467066" w:rsidRDefault="00467066">
      <w:pPr>
        <w:spacing w:after="0"/>
      </w:pPr>
    </w:p>
    <w:p w14:paraId="77EBEC39" w14:textId="77777777" w:rsidR="00467066" w:rsidRDefault="00000000">
      <w:pPr>
        <w:keepNext/>
        <w:pBdr>
          <w:bottom w:val="single" w:sz="6" w:space="4" w:color="2A3045"/>
        </w:pBdr>
        <w:spacing w:before="200" w:after="40"/>
      </w:pPr>
      <w:r>
        <w:rPr>
          <w:b/>
          <w:color w:val="C9A84C"/>
          <w:sz w:val="22"/>
        </w:rPr>
        <w:t>4.2  Justification by Layer</w:t>
      </w:r>
    </w:p>
    <w:p w14:paraId="30D24051" w14:textId="77777777" w:rsidR="00467066" w:rsidRDefault="00000000">
      <w:pPr>
        <w:spacing w:after="160"/>
        <w:jc w:val="both"/>
      </w:pPr>
      <w:r>
        <w:rPr>
          <w:b/>
          <w:color w:val="C9A84C"/>
          <w:sz w:val="19"/>
        </w:rPr>
        <w:t xml:space="preserve">Streamlit (UI Framework) — </w:t>
      </w:r>
      <w:r>
        <w:rPr>
          <w:sz w:val="19"/>
        </w:rPr>
        <w:t>Streamlit was selected over Flask, FastAPI, or Dash for three reasons: (1) it is Python-native, eliminating the need for JavaScript development; (2) its caching decorators (@st.cache_data, @st.cache_resource) provide built-in TTL-based data freshness management critical for a live dashboard; and (3) it supports free-tier cloud deployment with minimal configuration. The multi-page architecture and session state management are sufficient for the dashboard's complexity without introducing unnecessary framework overhead.</w:t>
      </w:r>
    </w:p>
    <w:p w14:paraId="0CFA35C7" w14:textId="77777777" w:rsidR="00467066" w:rsidRDefault="00000000">
      <w:pPr>
        <w:spacing w:after="160"/>
        <w:jc w:val="both"/>
      </w:pPr>
      <w:r>
        <w:rPr>
          <w:b/>
          <w:color w:val="C9A84C"/>
          <w:sz w:val="19"/>
        </w:rPr>
        <w:t xml:space="preserve">yfinance + fredapi (Data Layer) — </w:t>
      </w:r>
      <w:r>
        <w:rPr>
          <w:sz w:val="19"/>
        </w:rPr>
        <w:t>yfinance provides free, reliable access to Yahoo Finance historical and live data across equities, commodity ETFs, FX pairs, and volatility indices with no API key requirement for basic usage. The fredapi provides official Federal Reserve Economic Data access for all macro series. Together, these two libraries cover the full data universe without licensing costs. The primary limitation — absence of true commodity futures tick data — is acceptable given the daily-resolution analytical focus.</w:t>
      </w:r>
    </w:p>
    <w:p w14:paraId="75EDB84E" w14:textId="77777777" w:rsidR="00467066" w:rsidRDefault="00000000">
      <w:pPr>
        <w:spacing w:after="160"/>
        <w:jc w:val="both"/>
      </w:pPr>
      <w:r>
        <w:rPr>
          <w:b/>
          <w:color w:val="C9A84C"/>
          <w:sz w:val="19"/>
        </w:rPr>
        <w:t xml:space="preserve">statsmodels + arch (Econometric Layer) — </w:t>
      </w:r>
      <w:r>
        <w:rPr>
          <w:sz w:val="19"/>
        </w:rPr>
        <w:t>statsmodels is the standard Python implementation of econometric methods with peer-reviewed documentation and academic acceptance. It provides Granger causality tests, VAR, and OLS regression. The arch library is the canonical Python implementation of GARCH-family models, including DCC-GARCH as specified by Engle (2002). Both libraries are actively maintained and used in published academic research.</w:t>
      </w:r>
    </w:p>
    <w:p w14:paraId="3BC47E33" w14:textId="77777777" w:rsidR="00467066" w:rsidRDefault="00000000">
      <w:pPr>
        <w:spacing w:after="160"/>
        <w:jc w:val="both"/>
      </w:pPr>
      <w:r>
        <w:rPr>
          <w:b/>
          <w:color w:val="C9A84C"/>
          <w:sz w:val="19"/>
        </w:rPr>
        <w:lastRenderedPageBreak/>
        <w:t xml:space="preserve">anthropic / Claude Sonnet (AI Primary) — </w:t>
      </w:r>
      <w:r>
        <w:rPr>
          <w:sz w:val="19"/>
        </w:rPr>
        <w:t>Claude Sonnet was selected as the primary AI provider for three reasons: (1) the 200K-token context window supports full dashboard state injection into every agent query; (2) Claude's instruction-following and structured output quality is consistently superior for financial reasoning tasks; and (3) Anthropic's API pricing is competitive relative to GPT-4o for the volume of agent calls per session. OpenAI GPT-4o serves as a fallback provider.</w:t>
      </w:r>
    </w:p>
    <w:p w14:paraId="7C2A39B9" w14:textId="77777777" w:rsidR="00467066" w:rsidRDefault="00000000">
      <w:pPr>
        <w:spacing w:after="160"/>
        <w:jc w:val="both"/>
      </w:pPr>
      <w:r>
        <w:rPr>
          <w:b/>
          <w:color w:val="C9A84C"/>
          <w:sz w:val="19"/>
        </w:rPr>
        <w:t xml:space="preserve">Render (Deployment) — </w:t>
      </w:r>
      <w:r>
        <w:rPr>
          <w:sz w:val="19"/>
        </w:rPr>
        <w:t>Render was selected over Streamlit Community Cloud and Heroku because it supports Secret Files — a mechanism for placing actual files (including .streamlit/secrets.toml) on the server. Streamlit's st.secrets mechanism reads from the file system, not environment variables. Render's free tier is sufficient for demonstration and academic use.</w:t>
      </w:r>
    </w:p>
    <w:p w14:paraId="7AF56E2E" w14:textId="77777777" w:rsidR="00467066" w:rsidRDefault="00000000">
      <w:r>
        <w:br w:type="page"/>
      </w:r>
    </w:p>
    <w:p w14:paraId="3490E435" w14:textId="77777777" w:rsidR="00467066" w:rsidRDefault="00000000">
      <w:pPr>
        <w:spacing w:after="40"/>
      </w:pPr>
      <w:r>
        <w:rPr>
          <w:color w:val="C9A84C"/>
          <w:sz w:val="16"/>
        </w:rPr>
        <w:lastRenderedPageBreak/>
        <w:t>PART II</w:t>
      </w:r>
    </w:p>
    <w:p w14:paraId="358F84B8" w14:textId="77777777" w:rsidR="00467066" w:rsidRDefault="00000000">
      <w:pPr>
        <w:pBdr>
          <w:bottom w:val="single" w:sz="6" w:space="4" w:color="C9A84C"/>
        </w:pBdr>
        <w:spacing w:after="80"/>
      </w:pPr>
      <w:r>
        <w:rPr>
          <w:b/>
          <w:color w:val="FFFFFF"/>
          <w:sz w:val="36"/>
        </w:rPr>
        <w:t>User Manual</w:t>
      </w:r>
    </w:p>
    <w:p w14:paraId="5DE35AE9" w14:textId="77777777" w:rsidR="00467066" w:rsidRDefault="00467066">
      <w:pPr>
        <w:jc w:val="both"/>
      </w:pPr>
    </w:p>
    <w:p w14:paraId="76239533" w14:textId="77777777" w:rsidR="00467066" w:rsidRDefault="00000000">
      <w:pPr>
        <w:spacing w:after="160"/>
        <w:jc w:val="both"/>
      </w:pPr>
      <w:r>
        <w:t>This user manual provides comprehensive operating guidance for the Equity-Commodities Spillover Monitor. It covers system setup, navigation, a page-by-page operating guide, AI workforce reference, output interpretation, and troubleshooting.</w:t>
      </w:r>
    </w:p>
    <w:p w14:paraId="4E1FCFB2" w14:textId="77777777" w:rsidR="00467066" w:rsidRDefault="00000000">
      <w:pPr>
        <w:keepNext/>
        <w:spacing w:before="240" w:after="20"/>
      </w:pPr>
      <w:r>
        <w:rPr>
          <w:color w:val="C9A84C"/>
          <w:sz w:val="15"/>
        </w:rPr>
        <w:t>SECTION 5</w:t>
      </w:r>
    </w:p>
    <w:p w14:paraId="356FB768" w14:textId="77777777" w:rsidR="00467066" w:rsidRDefault="00000000">
      <w:pPr>
        <w:keepNext/>
        <w:pBdr>
          <w:bottom w:val="single" w:sz="10" w:space="4" w:color="C9A84C"/>
        </w:pBdr>
        <w:spacing w:after="60"/>
      </w:pPr>
      <w:r>
        <w:rPr>
          <w:b/>
          <w:color w:val="FFFFFF"/>
          <w:sz w:val="28"/>
        </w:rPr>
        <w:t>Getting Started</w:t>
      </w:r>
    </w:p>
    <w:p w14:paraId="19DBDF29" w14:textId="77777777" w:rsidR="00467066" w:rsidRDefault="00000000">
      <w:pPr>
        <w:spacing w:before="40" w:after="160"/>
        <w:jc w:val="both"/>
      </w:pPr>
      <w:r>
        <w:rPr>
          <w:i/>
          <w:color w:val="8890A1"/>
          <w:sz w:val="18"/>
        </w:rPr>
        <w:t>System requirements, installation, configuration, and navigation overview.</w:t>
      </w:r>
    </w:p>
    <w:p w14:paraId="230CDB39" w14:textId="77777777" w:rsidR="00467066" w:rsidRDefault="00467066">
      <w:pPr>
        <w:spacing w:after="0"/>
      </w:pPr>
    </w:p>
    <w:p w14:paraId="3F42DD71" w14:textId="77777777" w:rsidR="00467066" w:rsidRDefault="00000000">
      <w:pPr>
        <w:keepNext/>
        <w:pBdr>
          <w:bottom w:val="single" w:sz="6" w:space="4" w:color="2A3045"/>
        </w:pBdr>
        <w:spacing w:before="200" w:after="40"/>
      </w:pPr>
      <w:r>
        <w:rPr>
          <w:b/>
          <w:color w:val="C9A84C"/>
          <w:sz w:val="22"/>
        </w:rPr>
        <w:t>5.1  System Requirements and Installation</w:t>
      </w:r>
    </w:p>
    <w:p w14:paraId="033619B0" w14:textId="77777777" w:rsidR="00467066" w:rsidRDefault="00000000">
      <w:pPr>
        <w:spacing w:after="80"/>
        <w:jc w:val="both"/>
      </w:pPr>
      <w:r>
        <w:t>Requirements: Python 3.10 or later. All dependencies are listed in requirements.txt.</w:t>
      </w:r>
    </w:p>
    <w:p w14:paraId="4D841C0D" w14:textId="77777777" w:rsidR="00467066" w:rsidRDefault="00000000">
      <w:pPr>
        <w:pStyle w:val="ListBullet"/>
        <w:spacing w:after="60"/>
      </w:pPr>
      <w:r>
        <w:rPr>
          <w:sz w:val="19"/>
        </w:rPr>
        <w:t>Clone the repository: git clone https://github.com/HPATKAR/equity-commodities-spillover.git</w:t>
      </w:r>
    </w:p>
    <w:p w14:paraId="6034F185" w14:textId="77777777" w:rsidR="00467066" w:rsidRDefault="00000000">
      <w:pPr>
        <w:pStyle w:val="ListBullet"/>
        <w:spacing w:after="60"/>
      </w:pPr>
      <w:r>
        <w:rPr>
          <w:sz w:val="19"/>
        </w:rPr>
        <w:t>Navigate to the project directory: cd equity-commodities-spillover</w:t>
      </w:r>
    </w:p>
    <w:p w14:paraId="6A226124" w14:textId="77777777" w:rsidR="00467066" w:rsidRDefault="00000000">
      <w:pPr>
        <w:pStyle w:val="ListBullet"/>
        <w:spacing w:after="60"/>
      </w:pPr>
      <w:r>
        <w:rPr>
          <w:sz w:val="19"/>
        </w:rPr>
        <w:t>Install all dependencies: pip install -r requirements.txt</w:t>
      </w:r>
    </w:p>
    <w:p w14:paraId="43F59C83" w14:textId="77777777" w:rsidR="00467066" w:rsidRDefault="00000000">
      <w:pPr>
        <w:pStyle w:val="ListBullet"/>
        <w:spacing w:after="60"/>
      </w:pPr>
      <w:r>
        <w:rPr>
          <w:sz w:val="19"/>
        </w:rPr>
        <w:t>Launch the application: streamlit run app.py</w:t>
      </w:r>
    </w:p>
    <w:p w14:paraId="40821FC9" w14:textId="77777777" w:rsidR="00467066" w:rsidRDefault="00000000">
      <w:pPr>
        <w:pStyle w:val="ListBullet"/>
        <w:spacing w:after="60"/>
      </w:pPr>
      <w:r>
        <w:rPr>
          <w:sz w:val="19"/>
        </w:rPr>
        <w:t>Open a browser and navigate to http://localhost:8501</w:t>
      </w:r>
    </w:p>
    <w:p w14:paraId="5B0A45D3" w14:textId="77777777" w:rsidR="00467066" w:rsidRDefault="00467066">
      <w:pPr>
        <w:spacing w:after="0"/>
      </w:pPr>
    </w:p>
    <w:p w14:paraId="34258765" w14:textId="77777777" w:rsidR="00467066" w:rsidRDefault="00000000">
      <w:pPr>
        <w:jc w:val="both"/>
      </w:pPr>
      <w:r>
        <w:t>The application will load with live data on first run. Data is cached with TTL values ranging from 15 minutes (implied volatility) to 1 hour (correlation matrices, agent outputs). Initial load on a fresh environment may take 30–60 seconds as all data is fetched and models are computed.</w:t>
      </w:r>
    </w:p>
    <w:p w14:paraId="1EC7FC12" w14:textId="77777777" w:rsidR="00467066" w:rsidRDefault="00000000">
      <w:pPr>
        <w:keepNext/>
        <w:pBdr>
          <w:bottom w:val="single" w:sz="6" w:space="4" w:color="2A3045"/>
        </w:pBdr>
        <w:spacing w:before="200" w:after="40"/>
      </w:pPr>
      <w:r>
        <w:rPr>
          <w:b/>
          <w:color w:val="C9A84C"/>
          <w:sz w:val="22"/>
        </w:rPr>
        <w:t>5.2  Configuration (API Keys)</w:t>
      </w:r>
    </w:p>
    <w:p w14:paraId="791DF1DD" w14:textId="77777777" w:rsidR="00467066" w:rsidRDefault="00000000">
      <w:pPr>
        <w:jc w:val="both"/>
      </w:pPr>
      <w:r>
        <w:t>API keys are managed via .streamlit/secrets.toml (local) or Render Secret Files (deployed). The application functions without API keys but with reduced capability: AI agent outputs and FRED Macro Dashboard data will not be available.</w:t>
      </w:r>
    </w:p>
    <w:p w14:paraId="0CD49563" w14:textId="77777777" w:rsidR="00467066" w:rsidRDefault="00467066">
      <w:pPr>
        <w:spacing w:after="0"/>
      </w:pPr>
    </w:p>
    <w:p w14:paraId="5273B23B" w14:textId="77777777" w:rsidR="00467066" w:rsidRDefault="00000000">
      <w:pPr>
        <w:keepNext/>
        <w:spacing w:before="120" w:after="60"/>
      </w:pPr>
      <w:r>
        <w:rPr>
          <w:b/>
          <w:color w:val="8890A1"/>
          <w:sz w:val="18"/>
        </w:rPr>
        <w:t>Table 5.1 — API Key Configuration</w:t>
      </w:r>
    </w:p>
    <w:tbl>
      <w:tblPr>
        <w:tblStyle w:val="TableGrid"/>
        <w:tblW w:w="0" w:type="auto"/>
        <w:tblLook w:val="04A0" w:firstRow="1" w:lastRow="0" w:firstColumn="1" w:lastColumn="0" w:noHBand="0" w:noVBand="1"/>
      </w:tblPr>
      <w:tblGrid>
        <w:gridCol w:w="2011"/>
        <w:gridCol w:w="2266"/>
        <w:gridCol w:w="1352"/>
        <w:gridCol w:w="3659"/>
      </w:tblGrid>
      <w:tr w:rsidR="00467066" w14:paraId="16F4E9F7" w14:textId="77777777">
        <w:trPr>
          <w:tblHeader/>
        </w:trPr>
        <w:tc>
          <w:tcPr>
            <w:tcW w:w="2154"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3B897546" w14:textId="77777777" w:rsidR="00467066" w:rsidRDefault="00000000">
            <w:pPr>
              <w:spacing w:before="60" w:after="60"/>
            </w:pPr>
            <w:r>
              <w:rPr>
                <w:b/>
                <w:color w:val="FFFFFF"/>
                <w:sz w:val="18"/>
              </w:rPr>
              <w:t>Key</w:t>
            </w:r>
          </w:p>
        </w:tc>
        <w:tc>
          <w:tcPr>
            <w:tcW w:w="2268"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2364D13A" w14:textId="77777777" w:rsidR="00467066" w:rsidRDefault="00000000">
            <w:pPr>
              <w:spacing w:before="60" w:after="60"/>
            </w:pPr>
            <w:r>
              <w:rPr>
                <w:b/>
                <w:color w:val="FFFFFF"/>
                <w:sz w:val="18"/>
              </w:rPr>
              <w:t>Provider</w:t>
            </w:r>
          </w:p>
        </w:tc>
        <w:tc>
          <w:tcPr>
            <w:tcW w:w="136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6DBB6CE4" w14:textId="77777777" w:rsidR="00467066" w:rsidRDefault="00000000">
            <w:pPr>
              <w:spacing w:before="60" w:after="60"/>
            </w:pPr>
            <w:r>
              <w:rPr>
                <w:b/>
                <w:color w:val="FFFFFF"/>
                <w:sz w:val="18"/>
              </w:rPr>
              <w:t>Required</w:t>
            </w:r>
          </w:p>
        </w:tc>
        <w:tc>
          <w:tcPr>
            <w:tcW w:w="4535"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4A4D6A54" w14:textId="77777777" w:rsidR="00467066" w:rsidRDefault="00000000">
            <w:pPr>
              <w:spacing w:before="60" w:after="60"/>
            </w:pPr>
            <w:r>
              <w:rPr>
                <w:b/>
                <w:color w:val="FFFFFF"/>
                <w:sz w:val="18"/>
              </w:rPr>
              <w:t>Purpose</w:t>
            </w:r>
          </w:p>
        </w:tc>
      </w:tr>
      <w:tr w:rsidR="00467066" w14:paraId="2837E1BB" w14:textId="77777777">
        <w:tc>
          <w:tcPr>
            <w:tcW w:w="2154" w:type="dxa"/>
            <w:tcBorders>
              <w:left w:val="single" w:sz="4" w:space="0" w:color="1E2330"/>
              <w:bottom w:val="single" w:sz="4" w:space="0" w:color="2A3045"/>
              <w:right w:val="single" w:sz="4" w:space="0" w:color="1E2330"/>
            </w:tcBorders>
          </w:tcPr>
          <w:p w14:paraId="4CC06D37" w14:textId="77777777" w:rsidR="00467066" w:rsidRDefault="00000000">
            <w:pPr>
              <w:spacing w:before="60" w:after="60"/>
            </w:pPr>
            <w:r>
              <w:rPr>
                <w:sz w:val="18"/>
              </w:rPr>
              <w:t>anthropic_api_key</w:t>
            </w:r>
          </w:p>
        </w:tc>
        <w:tc>
          <w:tcPr>
            <w:tcW w:w="2268" w:type="dxa"/>
            <w:tcBorders>
              <w:left w:val="single" w:sz="4" w:space="0" w:color="1E2330"/>
              <w:bottom w:val="single" w:sz="4" w:space="0" w:color="2A3045"/>
              <w:right w:val="single" w:sz="4" w:space="0" w:color="1E2330"/>
            </w:tcBorders>
          </w:tcPr>
          <w:p w14:paraId="0D2AB192" w14:textId="77777777" w:rsidR="00467066" w:rsidRDefault="00000000">
            <w:pPr>
              <w:spacing w:before="60" w:after="60"/>
            </w:pPr>
            <w:r>
              <w:rPr>
                <w:sz w:val="18"/>
              </w:rPr>
              <w:t>console.anthropic.com</w:t>
            </w:r>
          </w:p>
        </w:tc>
        <w:tc>
          <w:tcPr>
            <w:tcW w:w="1361" w:type="dxa"/>
            <w:tcBorders>
              <w:left w:val="single" w:sz="4" w:space="0" w:color="1E2330"/>
              <w:bottom w:val="single" w:sz="4" w:space="0" w:color="2A3045"/>
              <w:right w:val="single" w:sz="4" w:space="0" w:color="1E2330"/>
            </w:tcBorders>
          </w:tcPr>
          <w:p w14:paraId="39EAF8AB" w14:textId="77777777" w:rsidR="00467066" w:rsidRDefault="00000000">
            <w:pPr>
              <w:spacing w:before="60" w:after="60"/>
            </w:pPr>
            <w:r>
              <w:rPr>
                <w:sz w:val="18"/>
              </w:rPr>
              <w:t>Recommended</w:t>
            </w:r>
          </w:p>
        </w:tc>
        <w:tc>
          <w:tcPr>
            <w:tcW w:w="4535" w:type="dxa"/>
            <w:tcBorders>
              <w:left w:val="single" w:sz="4" w:space="0" w:color="1E2330"/>
              <w:bottom w:val="single" w:sz="4" w:space="0" w:color="2A3045"/>
              <w:right w:val="single" w:sz="4" w:space="0" w:color="1E2330"/>
            </w:tcBorders>
          </w:tcPr>
          <w:p w14:paraId="06528EAB" w14:textId="77777777" w:rsidR="00467066" w:rsidRDefault="00000000">
            <w:pPr>
              <w:spacing w:before="60" w:after="60"/>
            </w:pPr>
            <w:r>
              <w:rPr>
                <w:sz w:val="18"/>
              </w:rPr>
              <w:t>All 7 AI agents + AI Analyst chatbot (preferred provider)</w:t>
            </w:r>
          </w:p>
        </w:tc>
      </w:tr>
      <w:tr w:rsidR="00467066" w14:paraId="192A9AC6" w14:textId="77777777">
        <w:tc>
          <w:tcPr>
            <w:tcW w:w="2154" w:type="dxa"/>
            <w:tcBorders>
              <w:left w:val="single" w:sz="4" w:space="0" w:color="1E2330"/>
              <w:bottom w:val="single" w:sz="4" w:space="0" w:color="2A3045"/>
              <w:right w:val="single" w:sz="4" w:space="0" w:color="1E2330"/>
            </w:tcBorders>
            <w:shd w:val="clear" w:color="auto" w:fill="161B27"/>
          </w:tcPr>
          <w:p w14:paraId="02DB91D6" w14:textId="77777777" w:rsidR="00467066" w:rsidRDefault="00000000">
            <w:pPr>
              <w:spacing w:before="60" w:after="60"/>
            </w:pPr>
            <w:r>
              <w:rPr>
                <w:sz w:val="18"/>
              </w:rPr>
              <w:t>openai_api_key</w:t>
            </w:r>
          </w:p>
        </w:tc>
        <w:tc>
          <w:tcPr>
            <w:tcW w:w="2268" w:type="dxa"/>
            <w:tcBorders>
              <w:left w:val="single" w:sz="4" w:space="0" w:color="1E2330"/>
              <w:bottom w:val="single" w:sz="4" w:space="0" w:color="2A3045"/>
              <w:right w:val="single" w:sz="4" w:space="0" w:color="1E2330"/>
            </w:tcBorders>
            <w:shd w:val="clear" w:color="auto" w:fill="161B27"/>
          </w:tcPr>
          <w:p w14:paraId="3C767C7C" w14:textId="77777777" w:rsidR="00467066" w:rsidRDefault="00000000">
            <w:pPr>
              <w:spacing w:before="60" w:after="60"/>
            </w:pPr>
            <w:r>
              <w:rPr>
                <w:sz w:val="18"/>
              </w:rPr>
              <w:t>platform.openai.com</w:t>
            </w:r>
          </w:p>
        </w:tc>
        <w:tc>
          <w:tcPr>
            <w:tcW w:w="1361" w:type="dxa"/>
            <w:tcBorders>
              <w:left w:val="single" w:sz="4" w:space="0" w:color="1E2330"/>
              <w:bottom w:val="single" w:sz="4" w:space="0" w:color="2A3045"/>
              <w:right w:val="single" w:sz="4" w:space="0" w:color="1E2330"/>
            </w:tcBorders>
            <w:shd w:val="clear" w:color="auto" w:fill="161B27"/>
          </w:tcPr>
          <w:p w14:paraId="28926E4D" w14:textId="77777777" w:rsidR="00467066" w:rsidRDefault="00000000">
            <w:pPr>
              <w:spacing w:before="60" w:after="60"/>
            </w:pPr>
            <w:r>
              <w:rPr>
                <w:sz w:val="18"/>
              </w:rPr>
              <w:t>Optional</w:t>
            </w:r>
          </w:p>
        </w:tc>
        <w:tc>
          <w:tcPr>
            <w:tcW w:w="4535" w:type="dxa"/>
            <w:tcBorders>
              <w:left w:val="single" w:sz="4" w:space="0" w:color="1E2330"/>
              <w:bottom w:val="single" w:sz="4" w:space="0" w:color="2A3045"/>
              <w:right w:val="single" w:sz="4" w:space="0" w:color="1E2330"/>
            </w:tcBorders>
            <w:shd w:val="clear" w:color="auto" w:fill="161B27"/>
          </w:tcPr>
          <w:p w14:paraId="149E54DF" w14:textId="77777777" w:rsidR="00467066" w:rsidRDefault="00000000">
            <w:pPr>
              <w:spacing w:before="60" w:after="60"/>
            </w:pPr>
            <w:r>
              <w:rPr>
                <w:sz w:val="18"/>
              </w:rPr>
              <w:t>Fallback provider for all AI agents and chatbot</w:t>
            </w:r>
          </w:p>
        </w:tc>
      </w:tr>
      <w:tr w:rsidR="00467066" w14:paraId="05F9435E" w14:textId="77777777">
        <w:tc>
          <w:tcPr>
            <w:tcW w:w="2154" w:type="dxa"/>
            <w:tcBorders>
              <w:left w:val="single" w:sz="4" w:space="0" w:color="1E2330"/>
              <w:bottom w:val="single" w:sz="4" w:space="0" w:color="2A3045"/>
              <w:right w:val="single" w:sz="4" w:space="0" w:color="1E2330"/>
            </w:tcBorders>
          </w:tcPr>
          <w:p w14:paraId="12805468" w14:textId="77777777" w:rsidR="00467066" w:rsidRDefault="00000000">
            <w:pPr>
              <w:spacing w:before="60" w:after="60"/>
            </w:pPr>
            <w:r>
              <w:rPr>
                <w:sz w:val="18"/>
              </w:rPr>
              <w:t>fred_api_key</w:t>
            </w:r>
          </w:p>
        </w:tc>
        <w:tc>
          <w:tcPr>
            <w:tcW w:w="2268" w:type="dxa"/>
            <w:tcBorders>
              <w:left w:val="single" w:sz="4" w:space="0" w:color="1E2330"/>
              <w:bottom w:val="single" w:sz="4" w:space="0" w:color="2A3045"/>
              <w:right w:val="single" w:sz="4" w:space="0" w:color="1E2330"/>
            </w:tcBorders>
          </w:tcPr>
          <w:p w14:paraId="6032CF47" w14:textId="77777777" w:rsidR="00467066" w:rsidRDefault="00000000">
            <w:pPr>
              <w:spacing w:before="60" w:after="60"/>
            </w:pPr>
            <w:r>
              <w:rPr>
                <w:sz w:val="18"/>
              </w:rPr>
              <w:t>fred.stlouisfed.org/docs/api</w:t>
            </w:r>
          </w:p>
        </w:tc>
        <w:tc>
          <w:tcPr>
            <w:tcW w:w="1361" w:type="dxa"/>
            <w:tcBorders>
              <w:left w:val="single" w:sz="4" w:space="0" w:color="1E2330"/>
              <w:bottom w:val="single" w:sz="4" w:space="0" w:color="2A3045"/>
              <w:right w:val="single" w:sz="4" w:space="0" w:color="1E2330"/>
            </w:tcBorders>
          </w:tcPr>
          <w:p w14:paraId="1846CB29" w14:textId="77777777" w:rsidR="00467066" w:rsidRDefault="00000000">
            <w:pPr>
              <w:spacing w:before="60" w:after="60"/>
            </w:pPr>
            <w:r>
              <w:rPr>
                <w:sz w:val="18"/>
              </w:rPr>
              <w:t>Optional</w:t>
            </w:r>
          </w:p>
        </w:tc>
        <w:tc>
          <w:tcPr>
            <w:tcW w:w="4535" w:type="dxa"/>
            <w:tcBorders>
              <w:left w:val="single" w:sz="4" w:space="0" w:color="1E2330"/>
              <w:bottom w:val="single" w:sz="4" w:space="0" w:color="2A3045"/>
              <w:right w:val="single" w:sz="4" w:space="0" w:color="1E2330"/>
            </w:tcBorders>
          </w:tcPr>
          <w:p w14:paraId="6EEC9ABD" w14:textId="77777777" w:rsidR="00467066" w:rsidRDefault="00000000">
            <w:pPr>
              <w:spacing w:before="60" w:after="60"/>
            </w:pPr>
            <w:r>
              <w:rPr>
                <w:sz w:val="18"/>
              </w:rPr>
              <w:t>Macro Dashboard yield curve, CPI, GDP, and PMI data</w:t>
            </w:r>
          </w:p>
        </w:tc>
      </w:tr>
    </w:tbl>
    <w:p w14:paraId="469A269E" w14:textId="27E99831" w:rsidR="00A006EF" w:rsidRDefault="00A006EF">
      <w:pPr>
        <w:spacing w:after="0"/>
      </w:pPr>
    </w:p>
    <w:p w14:paraId="478057A8" w14:textId="77777777" w:rsidR="00A006EF" w:rsidRDefault="00A006EF">
      <w:pPr>
        <w:spacing w:after="200"/>
      </w:pPr>
      <w:r>
        <w:br w:type="page"/>
      </w:r>
    </w:p>
    <w:p w14:paraId="5C3993D7" w14:textId="77777777" w:rsidR="00467066" w:rsidRDefault="00467066">
      <w:pPr>
        <w:spacing w:after="0"/>
      </w:pPr>
    </w:p>
    <w:tbl>
      <w:tblPr>
        <w:tblW w:w="0" w:type="auto"/>
        <w:tblLook w:val="04A0" w:firstRow="1" w:lastRow="0" w:firstColumn="1" w:lastColumn="0" w:noHBand="0" w:noVBand="1"/>
      </w:tblPr>
      <w:tblGrid>
        <w:gridCol w:w="8784"/>
      </w:tblGrid>
      <w:tr w:rsidR="00467066" w14:paraId="0C65EEF3" w14:textId="77777777">
        <w:tc>
          <w:tcPr>
            <w:tcW w:w="8784" w:type="dxa"/>
            <w:tcBorders>
              <w:top w:val="single" w:sz="6" w:space="0" w:color="3A9B68"/>
              <w:left w:val="single" w:sz="24" w:space="0" w:color="3A9B68"/>
              <w:bottom w:val="single" w:sz="6" w:space="0" w:color="3A9B68"/>
              <w:right w:val="single" w:sz="6" w:space="0" w:color="1E2330"/>
            </w:tcBorders>
            <w:shd w:val="clear" w:color="auto" w:fill="1E2330"/>
          </w:tcPr>
          <w:p w14:paraId="22C86174" w14:textId="77777777" w:rsidR="00467066" w:rsidRDefault="00000000">
            <w:pPr>
              <w:spacing w:before="80" w:after="40"/>
            </w:pPr>
            <w:r>
              <w:rPr>
                <w:b/>
                <w:color w:val="C9A84C"/>
                <w:sz w:val="16"/>
              </w:rPr>
              <w:t>SECRETS.TOML FORMAT</w:t>
            </w:r>
          </w:p>
          <w:p w14:paraId="7C4F61C0" w14:textId="77777777" w:rsidR="00467066" w:rsidRDefault="00000000">
            <w:pPr>
              <w:spacing w:after="80"/>
              <w:jc w:val="both"/>
            </w:pPr>
            <w:r>
              <w:rPr>
                <w:sz w:val="19"/>
              </w:rPr>
              <w:t>[keys]</w:t>
            </w:r>
            <w:r>
              <w:rPr>
                <w:sz w:val="19"/>
              </w:rPr>
              <w:br/>
              <w:t>anthropic_api_key = "sk-ant-..."</w:t>
            </w:r>
            <w:r>
              <w:rPr>
                <w:sz w:val="19"/>
              </w:rPr>
              <w:br/>
              <w:t>openai_api_key    = "sk-proj-..."</w:t>
            </w:r>
            <w:r>
              <w:rPr>
                <w:sz w:val="19"/>
              </w:rPr>
              <w:br/>
              <w:t>fred_api_key      = "your_fred_key"</w:t>
            </w:r>
            <w:r>
              <w:rPr>
                <w:sz w:val="19"/>
              </w:rPr>
              <w:br/>
            </w:r>
            <w:r>
              <w:rPr>
                <w:sz w:val="19"/>
              </w:rPr>
              <w:br/>
              <w:t>[config]</w:t>
            </w:r>
            <w:r>
              <w:rPr>
                <w:sz w:val="19"/>
              </w:rPr>
              <w:br/>
              <w:t>enable_auth      = false</w:t>
            </w:r>
            <w:r>
              <w:rPr>
                <w:sz w:val="19"/>
              </w:rPr>
              <w:br/>
              <w:t>refresh_interval = 300</w:t>
            </w:r>
          </w:p>
        </w:tc>
      </w:tr>
    </w:tbl>
    <w:p w14:paraId="3D8C9ED8" w14:textId="77777777" w:rsidR="00467066" w:rsidRDefault="00467066">
      <w:pPr>
        <w:spacing w:after="0"/>
      </w:pPr>
    </w:p>
    <w:p w14:paraId="56B691A5" w14:textId="77777777" w:rsidR="00467066" w:rsidRDefault="00000000">
      <w:pPr>
        <w:jc w:val="both"/>
      </w:pPr>
      <w:r>
        <w:rPr>
          <w:i/>
          <w:color w:val="8890A1"/>
          <w:sz w:val="18"/>
        </w:rPr>
        <w:t>Important — Render deployment: API keys must be added as a Secret File at path .streamlit/secrets.toml, not as Environment Variables. Streamlit's st.secrets mechanism reads from the file system, not environment variables.</w:t>
      </w:r>
    </w:p>
    <w:p w14:paraId="34FE443A" w14:textId="77777777" w:rsidR="00467066" w:rsidRDefault="00000000">
      <w:pPr>
        <w:keepNext/>
        <w:pBdr>
          <w:bottom w:val="single" w:sz="6" w:space="4" w:color="2A3045"/>
        </w:pBdr>
        <w:spacing w:before="200" w:after="40"/>
      </w:pPr>
      <w:r>
        <w:rPr>
          <w:b/>
          <w:color w:val="C9A84C"/>
          <w:sz w:val="22"/>
        </w:rPr>
        <w:t>5.3  Navigation Overview</w:t>
      </w:r>
    </w:p>
    <w:p w14:paraId="198C4462" w14:textId="77777777" w:rsidR="00467066" w:rsidRDefault="00467066">
      <w:pPr>
        <w:spacing w:after="0"/>
      </w:pPr>
    </w:p>
    <w:p w14:paraId="352818E0" w14:textId="77777777" w:rsidR="00467066" w:rsidRDefault="00000000">
      <w:pPr>
        <w:keepNext/>
        <w:spacing w:before="120" w:after="60"/>
      </w:pPr>
      <w:r>
        <w:rPr>
          <w:b/>
          <w:color w:val="8890A1"/>
          <w:sz w:val="18"/>
        </w:rPr>
        <w:t>Table 5.2 — Navigation Structure</w:t>
      </w:r>
    </w:p>
    <w:tbl>
      <w:tblPr>
        <w:tblStyle w:val="TableGrid"/>
        <w:tblW w:w="0" w:type="auto"/>
        <w:tblLook w:val="04A0" w:firstRow="1" w:lastRow="0" w:firstColumn="1" w:lastColumn="0" w:noHBand="0" w:noVBand="1"/>
      </w:tblPr>
      <w:tblGrid>
        <w:gridCol w:w="2367"/>
        <w:gridCol w:w="6921"/>
      </w:tblGrid>
      <w:tr w:rsidR="00467066" w14:paraId="76A0D3DB" w14:textId="77777777">
        <w:trPr>
          <w:tblHeader/>
        </w:trPr>
        <w:tc>
          <w:tcPr>
            <w:tcW w:w="255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5E4F28D5" w14:textId="77777777" w:rsidR="00467066" w:rsidRDefault="00000000">
            <w:pPr>
              <w:spacing w:before="60" w:after="60"/>
            </w:pPr>
            <w:r>
              <w:rPr>
                <w:b/>
                <w:color w:val="FFFFFF"/>
                <w:sz w:val="18"/>
              </w:rPr>
              <w:t>Navigation Group</w:t>
            </w:r>
          </w:p>
        </w:tc>
        <w:tc>
          <w:tcPr>
            <w:tcW w:w="771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1DDE5CF5" w14:textId="77777777" w:rsidR="00467066" w:rsidRDefault="00000000">
            <w:pPr>
              <w:spacing w:before="60" w:after="60"/>
            </w:pPr>
            <w:r>
              <w:rPr>
                <w:b/>
                <w:color w:val="FFFFFF"/>
                <w:sz w:val="18"/>
              </w:rPr>
              <w:t>Pages Included</w:t>
            </w:r>
          </w:p>
        </w:tc>
      </w:tr>
      <w:tr w:rsidR="00467066" w14:paraId="66D66CC6" w14:textId="77777777">
        <w:tc>
          <w:tcPr>
            <w:tcW w:w="2551" w:type="dxa"/>
            <w:tcBorders>
              <w:left w:val="single" w:sz="4" w:space="0" w:color="1E2330"/>
              <w:bottom w:val="single" w:sz="4" w:space="0" w:color="2A3045"/>
              <w:right w:val="single" w:sz="4" w:space="0" w:color="1E2330"/>
            </w:tcBorders>
          </w:tcPr>
          <w:p w14:paraId="12EC62E3" w14:textId="77777777" w:rsidR="00467066" w:rsidRDefault="00000000">
            <w:pPr>
              <w:spacing w:before="60" w:after="60"/>
            </w:pPr>
            <w:r>
              <w:rPr>
                <w:sz w:val="18"/>
              </w:rPr>
              <w:t>(Landing)</w:t>
            </w:r>
          </w:p>
        </w:tc>
        <w:tc>
          <w:tcPr>
            <w:tcW w:w="7710" w:type="dxa"/>
            <w:tcBorders>
              <w:left w:val="single" w:sz="4" w:space="0" w:color="1E2330"/>
              <w:bottom w:val="single" w:sz="4" w:space="0" w:color="2A3045"/>
              <w:right w:val="single" w:sz="4" w:space="0" w:color="1E2330"/>
            </w:tcBorders>
          </w:tcPr>
          <w:p w14:paraId="119A485A" w14:textId="77777777" w:rsidR="00467066" w:rsidRDefault="00000000">
            <w:pPr>
              <w:spacing w:before="60" w:after="60"/>
            </w:pPr>
            <w:r>
              <w:rPr>
                <w:sz w:val="18"/>
              </w:rPr>
              <w:t>Overview</w:t>
            </w:r>
          </w:p>
        </w:tc>
      </w:tr>
      <w:tr w:rsidR="00467066" w14:paraId="147D7C39" w14:textId="77777777">
        <w:tc>
          <w:tcPr>
            <w:tcW w:w="2551" w:type="dxa"/>
            <w:tcBorders>
              <w:left w:val="single" w:sz="4" w:space="0" w:color="1E2330"/>
              <w:bottom w:val="single" w:sz="4" w:space="0" w:color="2A3045"/>
              <w:right w:val="single" w:sz="4" w:space="0" w:color="1E2330"/>
            </w:tcBorders>
            <w:shd w:val="clear" w:color="auto" w:fill="161B27"/>
          </w:tcPr>
          <w:p w14:paraId="4B17DE17" w14:textId="77777777" w:rsidR="00467066" w:rsidRDefault="00000000">
            <w:pPr>
              <w:spacing w:before="60" w:after="60"/>
            </w:pPr>
            <w:r>
              <w:rPr>
                <w:sz w:val="18"/>
              </w:rPr>
              <w:t>Macro</w:t>
            </w:r>
          </w:p>
        </w:tc>
        <w:tc>
          <w:tcPr>
            <w:tcW w:w="7710" w:type="dxa"/>
            <w:tcBorders>
              <w:left w:val="single" w:sz="4" w:space="0" w:color="1E2330"/>
              <w:bottom w:val="single" w:sz="4" w:space="0" w:color="2A3045"/>
              <w:right w:val="single" w:sz="4" w:space="0" w:color="1E2330"/>
            </w:tcBorders>
            <w:shd w:val="clear" w:color="auto" w:fill="161B27"/>
          </w:tcPr>
          <w:p w14:paraId="6DB0035A" w14:textId="77777777" w:rsidR="00467066" w:rsidRDefault="00000000">
            <w:pPr>
              <w:spacing w:before="60" w:after="60"/>
            </w:pPr>
            <w:r>
              <w:rPr>
                <w:sz w:val="18"/>
              </w:rPr>
              <w:t>Macro Intelligence Dashboard</w:t>
            </w:r>
          </w:p>
        </w:tc>
      </w:tr>
      <w:tr w:rsidR="00467066" w14:paraId="62D238E8" w14:textId="77777777">
        <w:tc>
          <w:tcPr>
            <w:tcW w:w="2551" w:type="dxa"/>
            <w:tcBorders>
              <w:left w:val="single" w:sz="4" w:space="0" w:color="1E2330"/>
              <w:bottom w:val="single" w:sz="4" w:space="0" w:color="2A3045"/>
              <w:right w:val="single" w:sz="4" w:space="0" w:color="1E2330"/>
            </w:tcBorders>
          </w:tcPr>
          <w:p w14:paraId="2D13592B" w14:textId="77777777" w:rsidR="00467066" w:rsidRDefault="00000000">
            <w:pPr>
              <w:spacing w:before="60" w:after="60"/>
            </w:pPr>
            <w:r>
              <w:rPr>
                <w:sz w:val="18"/>
              </w:rPr>
              <w:t>Analysis</w:t>
            </w:r>
          </w:p>
        </w:tc>
        <w:tc>
          <w:tcPr>
            <w:tcW w:w="7710" w:type="dxa"/>
            <w:tcBorders>
              <w:left w:val="single" w:sz="4" w:space="0" w:color="1E2330"/>
              <w:bottom w:val="single" w:sz="4" w:space="0" w:color="2A3045"/>
              <w:right w:val="single" w:sz="4" w:space="0" w:color="1E2330"/>
            </w:tcBorders>
          </w:tcPr>
          <w:p w14:paraId="5A50A4E1" w14:textId="77777777" w:rsidR="00467066" w:rsidRDefault="00000000">
            <w:pPr>
              <w:spacing w:before="60" w:after="60"/>
            </w:pPr>
            <w:r>
              <w:rPr>
                <w:sz w:val="18"/>
              </w:rPr>
              <w:t>War Impact Map  ·  Geopolitical Triggers  ·  Correlation Analysis  ·  Spillover Analytics</w:t>
            </w:r>
          </w:p>
        </w:tc>
      </w:tr>
      <w:tr w:rsidR="00467066" w14:paraId="2D886BCE" w14:textId="77777777">
        <w:tc>
          <w:tcPr>
            <w:tcW w:w="2551" w:type="dxa"/>
            <w:tcBorders>
              <w:left w:val="single" w:sz="4" w:space="0" w:color="1E2330"/>
              <w:bottom w:val="single" w:sz="4" w:space="0" w:color="2A3045"/>
              <w:right w:val="single" w:sz="4" w:space="0" w:color="1E2330"/>
            </w:tcBorders>
            <w:shd w:val="clear" w:color="auto" w:fill="161B27"/>
          </w:tcPr>
          <w:p w14:paraId="35DE0F13" w14:textId="77777777" w:rsidR="00467066" w:rsidRDefault="00000000">
            <w:pPr>
              <w:spacing w:before="60" w:after="60"/>
            </w:pPr>
            <w:r>
              <w:rPr>
                <w:sz w:val="18"/>
              </w:rPr>
              <w:t>Strategy</w:t>
            </w:r>
          </w:p>
        </w:tc>
        <w:tc>
          <w:tcPr>
            <w:tcW w:w="7710" w:type="dxa"/>
            <w:tcBorders>
              <w:left w:val="single" w:sz="4" w:space="0" w:color="1E2330"/>
              <w:bottom w:val="single" w:sz="4" w:space="0" w:color="2A3045"/>
              <w:right w:val="single" w:sz="4" w:space="0" w:color="1E2330"/>
            </w:tcBorders>
            <w:shd w:val="clear" w:color="auto" w:fill="161B27"/>
          </w:tcPr>
          <w:p w14:paraId="22F509DF" w14:textId="77777777" w:rsidR="00467066" w:rsidRDefault="00000000">
            <w:pPr>
              <w:spacing w:before="60" w:after="60"/>
            </w:pPr>
            <w:r>
              <w:rPr>
                <w:sz w:val="18"/>
              </w:rPr>
              <w:t>Trade Ideas  ·  Portfolio Stress Test  ·  Scenario Engine</w:t>
            </w:r>
          </w:p>
        </w:tc>
      </w:tr>
      <w:tr w:rsidR="00467066" w14:paraId="11AE9B8D" w14:textId="77777777">
        <w:tc>
          <w:tcPr>
            <w:tcW w:w="2551" w:type="dxa"/>
            <w:tcBorders>
              <w:left w:val="single" w:sz="4" w:space="0" w:color="1E2330"/>
              <w:bottom w:val="single" w:sz="4" w:space="0" w:color="2A3045"/>
              <w:right w:val="single" w:sz="4" w:space="0" w:color="1E2330"/>
            </w:tcBorders>
          </w:tcPr>
          <w:p w14:paraId="659C95BA" w14:textId="77777777" w:rsidR="00467066" w:rsidRDefault="00000000">
            <w:pPr>
              <w:spacing w:before="60" w:after="60"/>
            </w:pPr>
            <w:r>
              <w:rPr>
                <w:sz w:val="18"/>
              </w:rPr>
              <w:t>Monitor</w:t>
            </w:r>
          </w:p>
        </w:tc>
        <w:tc>
          <w:tcPr>
            <w:tcW w:w="7710" w:type="dxa"/>
            <w:tcBorders>
              <w:left w:val="single" w:sz="4" w:space="0" w:color="1E2330"/>
              <w:bottom w:val="single" w:sz="4" w:space="0" w:color="2A3045"/>
              <w:right w:val="single" w:sz="4" w:space="0" w:color="1E2330"/>
            </w:tcBorders>
          </w:tcPr>
          <w:p w14:paraId="4328DCE2" w14:textId="77777777" w:rsidR="00467066" w:rsidRDefault="00000000">
            <w:pPr>
              <w:spacing w:before="60" w:after="60"/>
            </w:pPr>
            <w:r>
              <w:rPr>
                <w:sz w:val="18"/>
              </w:rPr>
              <w:t>Commodities to Watch  ·  Strait Watch</w:t>
            </w:r>
          </w:p>
        </w:tc>
      </w:tr>
      <w:tr w:rsidR="00467066" w14:paraId="18EAA0AD" w14:textId="77777777">
        <w:tc>
          <w:tcPr>
            <w:tcW w:w="2551" w:type="dxa"/>
            <w:tcBorders>
              <w:left w:val="single" w:sz="4" w:space="0" w:color="1E2330"/>
              <w:bottom w:val="single" w:sz="4" w:space="0" w:color="2A3045"/>
              <w:right w:val="single" w:sz="4" w:space="0" w:color="1E2330"/>
            </w:tcBorders>
            <w:shd w:val="clear" w:color="auto" w:fill="161B27"/>
          </w:tcPr>
          <w:p w14:paraId="729234B4" w14:textId="77777777" w:rsidR="00467066" w:rsidRDefault="00000000">
            <w:pPr>
              <w:spacing w:before="60" w:after="60"/>
            </w:pPr>
            <w:r>
              <w:rPr>
                <w:sz w:val="18"/>
              </w:rPr>
              <w:t>Research</w:t>
            </w:r>
          </w:p>
        </w:tc>
        <w:tc>
          <w:tcPr>
            <w:tcW w:w="7710" w:type="dxa"/>
            <w:tcBorders>
              <w:left w:val="single" w:sz="4" w:space="0" w:color="1E2330"/>
              <w:bottom w:val="single" w:sz="4" w:space="0" w:color="2A3045"/>
              <w:right w:val="single" w:sz="4" w:space="0" w:color="1E2330"/>
            </w:tcBorders>
            <w:shd w:val="clear" w:color="auto" w:fill="161B27"/>
          </w:tcPr>
          <w:p w14:paraId="6DFCDE57" w14:textId="77777777" w:rsidR="00467066" w:rsidRDefault="00000000">
            <w:pPr>
              <w:spacing w:before="60" w:after="60"/>
            </w:pPr>
            <w:r>
              <w:rPr>
                <w:sz w:val="18"/>
              </w:rPr>
              <w:t>Performance Review  ·  AI Analyst</w:t>
            </w:r>
          </w:p>
        </w:tc>
      </w:tr>
      <w:tr w:rsidR="00467066" w14:paraId="1BC88394" w14:textId="77777777">
        <w:tc>
          <w:tcPr>
            <w:tcW w:w="2551" w:type="dxa"/>
            <w:tcBorders>
              <w:left w:val="single" w:sz="4" w:space="0" w:color="1E2330"/>
              <w:bottom w:val="single" w:sz="4" w:space="0" w:color="2A3045"/>
              <w:right w:val="single" w:sz="4" w:space="0" w:color="1E2330"/>
            </w:tcBorders>
          </w:tcPr>
          <w:p w14:paraId="7C22C411" w14:textId="77777777" w:rsidR="00467066" w:rsidRDefault="00000000">
            <w:pPr>
              <w:spacing w:before="60" w:after="60"/>
            </w:pPr>
            <w:r>
              <w:rPr>
                <w:sz w:val="18"/>
              </w:rPr>
              <w:t>Insights</w:t>
            </w:r>
          </w:p>
        </w:tc>
        <w:tc>
          <w:tcPr>
            <w:tcW w:w="7710" w:type="dxa"/>
            <w:tcBorders>
              <w:left w:val="single" w:sz="4" w:space="0" w:color="1E2330"/>
              <w:bottom w:val="single" w:sz="4" w:space="0" w:color="2A3045"/>
              <w:right w:val="single" w:sz="4" w:space="0" w:color="1E2330"/>
            </w:tcBorders>
          </w:tcPr>
          <w:p w14:paraId="5CC8BB5B" w14:textId="77777777" w:rsidR="00467066" w:rsidRDefault="00000000">
            <w:pPr>
              <w:spacing w:before="60" w:after="60"/>
            </w:pPr>
            <w:r>
              <w:rPr>
                <w:sz w:val="18"/>
              </w:rPr>
              <w:t>Insights</w:t>
            </w:r>
          </w:p>
        </w:tc>
      </w:tr>
      <w:tr w:rsidR="00467066" w14:paraId="3E28073E" w14:textId="77777777">
        <w:tc>
          <w:tcPr>
            <w:tcW w:w="2551" w:type="dxa"/>
            <w:tcBorders>
              <w:left w:val="single" w:sz="4" w:space="0" w:color="1E2330"/>
              <w:bottom w:val="single" w:sz="4" w:space="0" w:color="2A3045"/>
              <w:right w:val="single" w:sz="4" w:space="0" w:color="1E2330"/>
            </w:tcBorders>
            <w:shd w:val="clear" w:color="auto" w:fill="161B27"/>
          </w:tcPr>
          <w:p w14:paraId="766C7F5B" w14:textId="77777777" w:rsidR="00467066" w:rsidRDefault="00000000">
            <w:pPr>
              <w:spacing w:before="60" w:after="60"/>
            </w:pPr>
            <w:r>
              <w:rPr>
                <w:sz w:val="18"/>
              </w:rPr>
              <w:t>About</w:t>
            </w:r>
          </w:p>
        </w:tc>
        <w:tc>
          <w:tcPr>
            <w:tcW w:w="7710" w:type="dxa"/>
            <w:tcBorders>
              <w:left w:val="single" w:sz="4" w:space="0" w:color="1E2330"/>
              <w:bottom w:val="single" w:sz="4" w:space="0" w:color="2A3045"/>
              <w:right w:val="single" w:sz="4" w:space="0" w:color="1E2330"/>
            </w:tcBorders>
            <w:shd w:val="clear" w:color="auto" w:fill="161B27"/>
          </w:tcPr>
          <w:p w14:paraId="3B5EC7E9" w14:textId="77777777" w:rsidR="00467066" w:rsidRDefault="00000000">
            <w:pPr>
              <w:spacing w:before="60" w:after="60"/>
            </w:pPr>
            <w:r>
              <w:rPr>
                <w:sz w:val="18"/>
              </w:rPr>
              <w:t>Heramb S. Patkar  ·  Jiahe Miao  ·  Ilian Zalomai</w:t>
            </w:r>
          </w:p>
        </w:tc>
      </w:tr>
    </w:tbl>
    <w:p w14:paraId="20AAA7F2" w14:textId="77777777" w:rsidR="00467066" w:rsidRDefault="00467066">
      <w:pPr>
        <w:spacing w:after="0"/>
      </w:pPr>
    </w:p>
    <w:p w14:paraId="4DF9C142" w14:textId="77777777" w:rsidR="00467066" w:rsidRDefault="00000000">
      <w:r>
        <w:br w:type="page"/>
      </w:r>
    </w:p>
    <w:p w14:paraId="0177F2B9" w14:textId="77777777" w:rsidR="00467066" w:rsidRDefault="00000000">
      <w:pPr>
        <w:keepNext/>
        <w:spacing w:before="240" w:after="20"/>
      </w:pPr>
      <w:r>
        <w:rPr>
          <w:color w:val="C9A84C"/>
          <w:sz w:val="15"/>
        </w:rPr>
        <w:lastRenderedPageBreak/>
        <w:t>SECTION 6</w:t>
      </w:r>
    </w:p>
    <w:p w14:paraId="71A74C57" w14:textId="77777777" w:rsidR="00467066" w:rsidRDefault="00000000">
      <w:pPr>
        <w:keepNext/>
        <w:pBdr>
          <w:bottom w:val="single" w:sz="10" w:space="4" w:color="C9A84C"/>
        </w:pBdr>
        <w:spacing w:after="60"/>
      </w:pPr>
      <w:r>
        <w:rPr>
          <w:b/>
          <w:color w:val="FFFFFF"/>
          <w:sz w:val="28"/>
        </w:rPr>
        <w:t>Page-by-Page Operating Guide</w:t>
      </w:r>
    </w:p>
    <w:p w14:paraId="3A289B18" w14:textId="77777777" w:rsidR="00467066" w:rsidRDefault="00000000">
      <w:pPr>
        <w:spacing w:before="40" w:after="160"/>
        <w:jc w:val="both"/>
      </w:pPr>
      <w:r>
        <w:rPr>
          <w:i/>
          <w:color w:val="8890A1"/>
          <w:sz w:val="18"/>
        </w:rPr>
        <w:t>Detailed description of each page: purpose, key components, controls, and interpretation guidance.</w:t>
      </w:r>
    </w:p>
    <w:p w14:paraId="42D2C5E7" w14:textId="77777777" w:rsidR="00467066" w:rsidRDefault="00467066">
      <w:pPr>
        <w:spacing w:after="0"/>
      </w:pPr>
    </w:p>
    <w:p w14:paraId="2AFF151F" w14:textId="77777777" w:rsidR="00467066" w:rsidRDefault="00000000">
      <w:pPr>
        <w:keepNext/>
        <w:spacing w:before="160" w:after="40"/>
      </w:pPr>
      <w:r>
        <w:rPr>
          <w:b/>
          <w:color w:val="FFFFFF"/>
        </w:rPr>
        <w:t>Overview</w:t>
      </w:r>
    </w:p>
    <w:p w14:paraId="16DA16D0" w14:textId="77777777" w:rsidR="00467066" w:rsidRDefault="00000000">
      <w:pPr>
        <w:spacing w:after="80"/>
        <w:jc w:val="both"/>
      </w:pPr>
      <w:r>
        <w:rPr>
          <w:i/>
          <w:color w:val="8890A1"/>
          <w:sz w:val="19"/>
        </w:rPr>
        <w:t>The primary dashboard landing page. Provides a complete cross-asset market state summary in a single view.</w:t>
      </w:r>
    </w:p>
    <w:tbl>
      <w:tblPr>
        <w:tblStyle w:val="TableGrid"/>
        <w:tblW w:w="0" w:type="auto"/>
        <w:tblLook w:val="04A0" w:firstRow="1" w:lastRow="0" w:firstColumn="1" w:lastColumn="0" w:noHBand="0" w:noVBand="1"/>
      </w:tblPr>
      <w:tblGrid>
        <w:gridCol w:w="2222"/>
        <w:gridCol w:w="7066"/>
      </w:tblGrid>
      <w:tr w:rsidR="00467066" w14:paraId="45FB52F7"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47A9E727"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5C15A8D8" w14:textId="77777777" w:rsidR="00467066" w:rsidRDefault="00000000">
            <w:pPr>
              <w:spacing w:before="60" w:after="60"/>
            </w:pPr>
            <w:r>
              <w:rPr>
                <w:b/>
                <w:color w:val="FFFFFF"/>
                <w:sz w:val="18"/>
              </w:rPr>
              <w:t>Description</w:t>
            </w:r>
          </w:p>
        </w:tc>
      </w:tr>
      <w:tr w:rsidR="00467066" w14:paraId="68AA37A1" w14:textId="77777777">
        <w:tc>
          <w:tcPr>
            <w:tcW w:w="2381" w:type="dxa"/>
            <w:tcBorders>
              <w:left w:val="single" w:sz="4" w:space="0" w:color="1E2330"/>
              <w:bottom w:val="single" w:sz="4" w:space="0" w:color="2A3045"/>
              <w:right w:val="single" w:sz="4" w:space="0" w:color="1E2330"/>
            </w:tcBorders>
          </w:tcPr>
          <w:p w14:paraId="55AAA82B" w14:textId="77777777" w:rsidR="00467066" w:rsidRDefault="00000000">
            <w:pPr>
              <w:spacing w:before="60" w:after="60"/>
            </w:pPr>
            <w:r>
              <w:rPr>
                <w:sz w:val="18"/>
              </w:rPr>
              <w:t>KPI Strip</w:t>
            </w:r>
          </w:p>
        </w:tc>
        <w:tc>
          <w:tcPr>
            <w:tcW w:w="7880" w:type="dxa"/>
            <w:tcBorders>
              <w:left w:val="single" w:sz="4" w:space="0" w:color="1E2330"/>
              <w:bottom w:val="single" w:sz="4" w:space="0" w:color="2A3045"/>
              <w:right w:val="single" w:sz="4" w:space="0" w:color="1E2330"/>
            </w:tcBorders>
          </w:tcPr>
          <w:p w14:paraId="0F025CAE" w14:textId="77777777" w:rsidR="00467066" w:rsidRDefault="00000000">
            <w:pPr>
              <w:spacing w:before="60" w:after="60"/>
            </w:pPr>
            <w:r>
              <w:rPr>
                <w:sz w:val="18"/>
              </w:rPr>
              <w:t>Five live metrics: Correlation Regime (color-coded), 60-day average cross-asset correlation with 1-month delta, Best Equity (1M return), Worst Equity (1M), Best Commodity (1M).</w:t>
            </w:r>
          </w:p>
        </w:tc>
      </w:tr>
      <w:tr w:rsidR="00467066" w14:paraId="39D6666C" w14:textId="77777777">
        <w:tc>
          <w:tcPr>
            <w:tcW w:w="2381" w:type="dxa"/>
            <w:tcBorders>
              <w:left w:val="single" w:sz="4" w:space="0" w:color="1E2330"/>
              <w:bottom w:val="single" w:sz="4" w:space="0" w:color="2A3045"/>
              <w:right w:val="single" w:sz="4" w:space="0" w:color="1E2330"/>
            </w:tcBorders>
            <w:shd w:val="clear" w:color="auto" w:fill="161B27"/>
          </w:tcPr>
          <w:p w14:paraId="65251312" w14:textId="77777777" w:rsidR="00467066" w:rsidRDefault="00000000">
            <w:pPr>
              <w:spacing w:before="60" w:after="60"/>
            </w:pPr>
            <w:r>
              <w:rPr>
                <w:sz w:val="18"/>
              </w:rPr>
              <w:t>FI/FX Context Strip</w:t>
            </w:r>
          </w:p>
        </w:tc>
        <w:tc>
          <w:tcPr>
            <w:tcW w:w="7880" w:type="dxa"/>
            <w:tcBorders>
              <w:left w:val="single" w:sz="4" w:space="0" w:color="1E2330"/>
              <w:bottom w:val="single" w:sz="4" w:space="0" w:color="2A3045"/>
              <w:right w:val="single" w:sz="4" w:space="0" w:color="1E2330"/>
            </w:tcBorders>
            <w:shd w:val="clear" w:color="auto" w:fill="161B27"/>
          </w:tcPr>
          <w:p w14:paraId="5A5995D8" w14:textId="77777777" w:rsidR="00467066" w:rsidRDefault="00000000">
            <w:pPr>
              <w:spacing w:before="60" w:after="60"/>
            </w:pPr>
            <w:r>
              <w:rPr>
                <w:sz w:val="18"/>
              </w:rPr>
              <w:t>Five fixed income and FX signals: TLT 30-day return (duration), HYG vs. LQD spread (credit stress), S&amp;P 500 vs. TLT 60-day correlation (hedge effectiveness), DXY 30-day change, duration slope (TLT vs. SHY).</w:t>
            </w:r>
          </w:p>
        </w:tc>
      </w:tr>
      <w:tr w:rsidR="00467066" w14:paraId="7E6A85A0" w14:textId="77777777">
        <w:tc>
          <w:tcPr>
            <w:tcW w:w="2381" w:type="dxa"/>
            <w:tcBorders>
              <w:left w:val="single" w:sz="4" w:space="0" w:color="1E2330"/>
              <w:bottom w:val="single" w:sz="4" w:space="0" w:color="2A3045"/>
              <w:right w:val="single" w:sz="4" w:space="0" w:color="1E2330"/>
            </w:tcBorders>
          </w:tcPr>
          <w:p w14:paraId="712406BD" w14:textId="77777777" w:rsidR="00467066" w:rsidRDefault="00000000">
            <w:pPr>
              <w:spacing w:before="60" w:after="60"/>
            </w:pPr>
            <w:r>
              <w:rPr>
                <w:sz w:val="18"/>
              </w:rPr>
              <w:t>Implied Volatility Panel</w:t>
            </w:r>
          </w:p>
        </w:tc>
        <w:tc>
          <w:tcPr>
            <w:tcW w:w="7880" w:type="dxa"/>
            <w:tcBorders>
              <w:left w:val="single" w:sz="4" w:space="0" w:color="1E2330"/>
              <w:bottom w:val="single" w:sz="4" w:space="0" w:color="2A3045"/>
              <w:right w:val="single" w:sz="4" w:space="0" w:color="1E2330"/>
            </w:tcBorders>
          </w:tcPr>
          <w:p w14:paraId="0E2361C5" w14:textId="77777777" w:rsidR="00467066" w:rsidRDefault="00000000">
            <w:pPr>
              <w:spacing w:before="60" w:after="60"/>
            </w:pPr>
            <w:r>
              <w:rPr>
                <w:sz w:val="18"/>
              </w:rPr>
              <w:t>Expandable section showing live OVX (oil vol), GVZ (gold vol), VIX (equity vol), VVIX (vol-of-vol) with freshness indicators and historical charts.</w:t>
            </w:r>
          </w:p>
        </w:tc>
      </w:tr>
      <w:tr w:rsidR="00467066" w14:paraId="778C4BFD" w14:textId="77777777">
        <w:tc>
          <w:tcPr>
            <w:tcW w:w="2381" w:type="dxa"/>
            <w:tcBorders>
              <w:left w:val="single" w:sz="4" w:space="0" w:color="1E2330"/>
              <w:bottom w:val="single" w:sz="4" w:space="0" w:color="2A3045"/>
              <w:right w:val="single" w:sz="4" w:space="0" w:color="1E2330"/>
            </w:tcBorders>
            <w:shd w:val="clear" w:color="auto" w:fill="161B27"/>
          </w:tcPr>
          <w:p w14:paraId="57953AC4" w14:textId="77777777" w:rsidR="00467066" w:rsidRDefault="00000000">
            <w:pPr>
              <w:spacing w:before="60" w:after="60"/>
            </w:pPr>
            <w:r>
              <w:rPr>
                <w:sz w:val="18"/>
              </w:rPr>
              <w:t>Risk Gauge</w:t>
            </w:r>
          </w:p>
        </w:tc>
        <w:tc>
          <w:tcPr>
            <w:tcW w:w="7880" w:type="dxa"/>
            <w:tcBorders>
              <w:left w:val="single" w:sz="4" w:space="0" w:color="1E2330"/>
              <w:bottom w:val="single" w:sz="4" w:space="0" w:color="2A3045"/>
              <w:right w:val="single" w:sz="4" w:space="0" w:color="1E2330"/>
            </w:tcBorders>
            <w:shd w:val="clear" w:color="auto" w:fill="161B27"/>
          </w:tcPr>
          <w:p w14:paraId="12FC63C6" w14:textId="77777777" w:rsidR="00467066" w:rsidRDefault="00000000">
            <w:pPr>
              <w:spacing w:before="60" w:after="60"/>
            </w:pPr>
            <w:r>
              <w:rPr>
                <w:sz w:val="18"/>
              </w:rPr>
              <w:t>Composite 0–100 score across five weighted components. Green zone: 0–30. Amber zone: 30–55. Red zone: 55–100. Updates every 5 minutes.</w:t>
            </w:r>
          </w:p>
        </w:tc>
      </w:tr>
      <w:tr w:rsidR="00467066" w14:paraId="1CB77F52" w14:textId="77777777">
        <w:tc>
          <w:tcPr>
            <w:tcW w:w="2381" w:type="dxa"/>
            <w:tcBorders>
              <w:left w:val="single" w:sz="4" w:space="0" w:color="1E2330"/>
              <w:bottom w:val="single" w:sz="4" w:space="0" w:color="2A3045"/>
              <w:right w:val="single" w:sz="4" w:space="0" w:color="1E2330"/>
            </w:tcBorders>
          </w:tcPr>
          <w:p w14:paraId="5C4C176E" w14:textId="77777777" w:rsidR="00467066" w:rsidRDefault="00000000">
            <w:pPr>
              <w:spacing w:before="60" w:after="60"/>
            </w:pPr>
            <w:r>
              <w:rPr>
                <w:sz w:val="18"/>
              </w:rPr>
              <w:t>Early Warning System</w:t>
            </w:r>
          </w:p>
        </w:tc>
        <w:tc>
          <w:tcPr>
            <w:tcW w:w="7880" w:type="dxa"/>
            <w:tcBorders>
              <w:left w:val="single" w:sz="4" w:space="0" w:color="1E2330"/>
              <w:bottom w:val="single" w:sz="4" w:space="0" w:color="2A3045"/>
              <w:right w:val="single" w:sz="4" w:space="0" w:color="1E2330"/>
            </w:tcBorders>
          </w:tcPr>
          <w:p w14:paraId="6E2BADCD" w14:textId="77777777" w:rsidR="00467066" w:rsidRDefault="00000000">
            <w:pPr>
              <w:spacing w:before="60" w:after="60"/>
            </w:pPr>
            <w:r>
              <w:rPr>
                <w:sz w:val="18"/>
              </w:rPr>
              <w:t>Five signal cards (correlation slope, vol regime, cross-asset stress, macro momentum, geopolitical escalation) with composite EWS score and historical analogue table.</w:t>
            </w:r>
          </w:p>
        </w:tc>
      </w:tr>
      <w:tr w:rsidR="00467066" w14:paraId="55207A4D" w14:textId="77777777">
        <w:tc>
          <w:tcPr>
            <w:tcW w:w="2381" w:type="dxa"/>
            <w:tcBorders>
              <w:left w:val="single" w:sz="4" w:space="0" w:color="1E2330"/>
              <w:bottom w:val="single" w:sz="4" w:space="0" w:color="2A3045"/>
              <w:right w:val="single" w:sz="4" w:space="0" w:color="1E2330"/>
            </w:tcBorders>
            <w:shd w:val="clear" w:color="auto" w:fill="161B27"/>
          </w:tcPr>
          <w:p w14:paraId="469C2B34" w14:textId="77777777" w:rsidR="00467066" w:rsidRDefault="00000000">
            <w:pPr>
              <w:spacing w:before="60" w:after="60"/>
            </w:pPr>
            <w:r>
              <w:rPr>
                <w:sz w:val="18"/>
              </w:rPr>
              <w:t>Equity-Commodity Heatmap</w:t>
            </w:r>
          </w:p>
        </w:tc>
        <w:tc>
          <w:tcPr>
            <w:tcW w:w="7880" w:type="dxa"/>
            <w:tcBorders>
              <w:left w:val="single" w:sz="4" w:space="0" w:color="1E2330"/>
              <w:bottom w:val="single" w:sz="4" w:space="0" w:color="2A3045"/>
              <w:right w:val="single" w:sz="4" w:space="0" w:color="1E2330"/>
            </w:tcBorders>
            <w:shd w:val="clear" w:color="auto" w:fill="161B27"/>
          </w:tcPr>
          <w:p w14:paraId="70324F7E" w14:textId="77777777" w:rsidR="00467066" w:rsidRDefault="00000000">
            <w:pPr>
              <w:spacing w:before="60" w:after="60"/>
            </w:pPr>
            <w:r>
              <w:rPr>
                <w:sz w:val="18"/>
              </w:rPr>
              <w:t>Pairwise correlation heatmap across all equities and commodities. Color intensity indicates correlation strength.</w:t>
            </w:r>
          </w:p>
        </w:tc>
      </w:tr>
      <w:tr w:rsidR="00467066" w14:paraId="4E685630" w14:textId="77777777">
        <w:tc>
          <w:tcPr>
            <w:tcW w:w="2381" w:type="dxa"/>
            <w:tcBorders>
              <w:left w:val="single" w:sz="4" w:space="0" w:color="1E2330"/>
              <w:bottom w:val="single" w:sz="4" w:space="0" w:color="2A3045"/>
              <w:right w:val="single" w:sz="4" w:space="0" w:color="1E2330"/>
            </w:tcBorders>
          </w:tcPr>
          <w:p w14:paraId="5A00BA9B" w14:textId="77777777" w:rsidR="00467066" w:rsidRDefault="00000000">
            <w:pPr>
              <w:spacing w:before="60" w:after="60"/>
            </w:pPr>
            <w:r>
              <w:rPr>
                <w:sz w:val="18"/>
              </w:rPr>
              <w:t>AI Workforce Output</w:t>
            </w:r>
          </w:p>
        </w:tc>
        <w:tc>
          <w:tcPr>
            <w:tcW w:w="7880" w:type="dxa"/>
            <w:tcBorders>
              <w:left w:val="single" w:sz="4" w:space="0" w:color="1E2330"/>
              <w:bottom w:val="single" w:sz="4" w:space="0" w:color="2A3045"/>
              <w:right w:val="single" w:sz="4" w:space="0" w:color="1E2330"/>
            </w:tcBorders>
          </w:tcPr>
          <w:p w14:paraId="6903B5F5" w14:textId="77777777" w:rsidR="00467066" w:rsidRDefault="00000000">
            <w:pPr>
              <w:spacing w:before="60" w:after="60"/>
            </w:pPr>
            <w:r>
              <w:rPr>
                <w:sz w:val="18"/>
              </w:rPr>
              <w:t>Risk Officer morning briefing displayed inline. All seven agents accessible in expandable section. Divergence flags highlighted when agents reach conflicting conclusions.</w:t>
            </w:r>
          </w:p>
        </w:tc>
      </w:tr>
    </w:tbl>
    <w:p w14:paraId="13BF55A5" w14:textId="77777777" w:rsidR="00467066" w:rsidRDefault="00467066">
      <w:pPr>
        <w:spacing w:after="0"/>
      </w:pPr>
    </w:p>
    <w:tbl>
      <w:tblPr>
        <w:tblW w:w="0" w:type="auto"/>
        <w:tblLook w:val="04A0" w:firstRow="1" w:lastRow="0" w:firstColumn="1" w:lastColumn="0" w:noHBand="0" w:noVBand="1"/>
      </w:tblPr>
      <w:tblGrid>
        <w:gridCol w:w="8784"/>
      </w:tblGrid>
      <w:tr w:rsidR="00467066" w14:paraId="03DDD373"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2E454521" w14:textId="77777777" w:rsidR="00467066" w:rsidRDefault="00000000">
            <w:pPr>
              <w:spacing w:before="80" w:after="40"/>
            </w:pPr>
            <w:r>
              <w:rPr>
                <w:b/>
                <w:color w:val="C9A84C"/>
                <w:sz w:val="16"/>
              </w:rPr>
              <w:t>INTERPRETATION</w:t>
            </w:r>
          </w:p>
          <w:p w14:paraId="3279C095" w14:textId="77777777" w:rsidR="00467066" w:rsidRDefault="00000000">
            <w:pPr>
              <w:spacing w:after="80"/>
              <w:jc w:val="both"/>
            </w:pPr>
            <w:r>
              <w:rPr>
                <w:sz w:val="19"/>
              </w:rPr>
              <w:t>Begin every session on this page. The regime label and risk score provide immediate context for all downstream analysis. An EWS score above 70 warrants heightened monitoring across the analysis pages.</w:t>
            </w:r>
          </w:p>
        </w:tc>
      </w:tr>
    </w:tbl>
    <w:p w14:paraId="7005828B" w14:textId="77777777" w:rsidR="00467066" w:rsidRDefault="00467066">
      <w:pPr>
        <w:spacing w:after="0"/>
      </w:pPr>
    </w:p>
    <w:p w14:paraId="1E6E0F4D" w14:textId="77777777" w:rsidR="00467066" w:rsidRDefault="00467066">
      <w:pPr>
        <w:spacing w:after="0"/>
      </w:pPr>
    </w:p>
    <w:p w14:paraId="7F4DB9BC" w14:textId="77777777" w:rsidR="00467066" w:rsidRDefault="00000000">
      <w:pPr>
        <w:keepNext/>
        <w:spacing w:before="160" w:after="40"/>
      </w:pPr>
      <w:r>
        <w:rPr>
          <w:b/>
          <w:color w:val="FFFFFF"/>
        </w:rPr>
        <w:t>Macro Intelligence Dashboard</w:t>
      </w:r>
    </w:p>
    <w:p w14:paraId="63DB6D69" w14:textId="77777777" w:rsidR="00467066" w:rsidRDefault="00000000">
      <w:pPr>
        <w:spacing w:after="80"/>
        <w:jc w:val="both"/>
      </w:pPr>
      <w:r>
        <w:rPr>
          <w:i/>
          <w:color w:val="8890A1"/>
          <w:sz w:val="19"/>
        </w:rPr>
        <w:t>FRED-powered macro context integrated with the AI Macro Strategist agent.</w:t>
      </w:r>
    </w:p>
    <w:tbl>
      <w:tblPr>
        <w:tblStyle w:val="TableGrid"/>
        <w:tblW w:w="0" w:type="auto"/>
        <w:tblLook w:val="04A0" w:firstRow="1" w:lastRow="0" w:firstColumn="1" w:lastColumn="0" w:noHBand="0" w:noVBand="1"/>
      </w:tblPr>
      <w:tblGrid>
        <w:gridCol w:w="2222"/>
        <w:gridCol w:w="7066"/>
      </w:tblGrid>
      <w:tr w:rsidR="00467066" w14:paraId="1687F358"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7401489B"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704B5EFD" w14:textId="77777777" w:rsidR="00467066" w:rsidRDefault="00000000">
            <w:pPr>
              <w:spacing w:before="60" w:after="60"/>
            </w:pPr>
            <w:r>
              <w:rPr>
                <w:b/>
                <w:color w:val="FFFFFF"/>
                <w:sz w:val="18"/>
              </w:rPr>
              <w:t>Description</w:t>
            </w:r>
          </w:p>
        </w:tc>
      </w:tr>
      <w:tr w:rsidR="00467066" w14:paraId="33215032" w14:textId="77777777">
        <w:tc>
          <w:tcPr>
            <w:tcW w:w="2381" w:type="dxa"/>
            <w:tcBorders>
              <w:left w:val="single" w:sz="4" w:space="0" w:color="1E2330"/>
              <w:bottom w:val="single" w:sz="4" w:space="0" w:color="2A3045"/>
              <w:right w:val="single" w:sz="4" w:space="0" w:color="1E2330"/>
            </w:tcBorders>
          </w:tcPr>
          <w:p w14:paraId="788F2BF1" w14:textId="77777777" w:rsidR="00467066" w:rsidRDefault="00000000">
            <w:pPr>
              <w:spacing w:before="60" w:after="60"/>
            </w:pPr>
            <w:r>
              <w:rPr>
                <w:sz w:val="18"/>
              </w:rPr>
              <w:t>Yield Curve Chart</w:t>
            </w:r>
          </w:p>
        </w:tc>
        <w:tc>
          <w:tcPr>
            <w:tcW w:w="7880" w:type="dxa"/>
            <w:tcBorders>
              <w:left w:val="single" w:sz="4" w:space="0" w:color="1E2330"/>
              <w:bottom w:val="single" w:sz="4" w:space="0" w:color="2A3045"/>
              <w:right w:val="single" w:sz="4" w:space="0" w:color="1E2330"/>
            </w:tcBorders>
          </w:tcPr>
          <w:p w14:paraId="2795A680" w14:textId="77777777" w:rsidR="00467066" w:rsidRDefault="00000000">
            <w:pPr>
              <w:spacing w:before="60" w:after="60"/>
            </w:pPr>
            <w:r>
              <w:rPr>
                <w:sz w:val="18"/>
              </w:rPr>
              <w:t>10Y minus 2Y Treasury spread with recession shading and inversion duration tracker.</w:t>
            </w:r>
          </w:p>
        </w:tc>
      </w:tr>
      <w:tr w:rsidR="00467066" w14:paraId="108B32AD" w14:textId="77777777">
        <w:tc>
          <w:tcPr>
            <w:tcW w:w="2381" w:type="dxa"/>
            <w:tcBorders>
              <w:left w:val="single" w:sz="4" w:space="0" w:color="1E2330"/>
              <w:bottom w:val="single" w:sz="4" w:space="0" w:color="2A3045"/>
              <w:right w:val="single" w:sz="4" w:space="0" w:color="1E2330"/>
            </w:tcBorders>
            <w:shd w:val="clear" w:color="auto" w:fill="161B27"/>
          </w:tcPr>
          <w:p w14:paraId="200E63E2" w14:textId="77777777" w:rsidR="00467066" w:rsidRDefault="00000000">
            <w:pPr>
              <w:spacing w:before="60" w:after="60"/>
            </w:pPr>
            <w:r>
              <w:rPr>
                <w:sz w:val="18"/>
              </w:rPr>
              <w:t>CPI YoY</w:t>
            </w:r>
          </w:p>
        </w:tc>
        <w:tc>
          <w:tcPr>
            <w:tcW w:w="7880" w:type="dxa"/>
            <w:tcBorders>
              <w:left w:val="single" w:sz="4" w:space="0" w:color="1E2330"/>
              <w:bottom w:val="single" w:sz="4" w:space="0" w:color="2A3045"/>
              <w:right w:val="single" w:sz="4" w:space="0" w:color="1E2330"/>
            </w:tcBorders>
            <w:shd w:val="clear" w:color="auto" w:fill="161B27"/>
          </w:tcPr>
          <w:p w14:paraId="631AA725" w14:textId="77777777" w:rsidR="00467066" w:rsidRDefault="00000000">
            <w:pPr>
              <w:spacing w:before="60" w:after="60"/>
            </w:pPr>
            <w:r>
              <w:rPr>
                <w:sz w:val="18"/>
              </w:rPr>
              <w:t>Consumer Price Index year-over-year change — key input to the Macro Strategist's inflation assessment.</w:t>
            </w:r>
          </w:p>
        </w:tc>
      </w:tr>
      <w:tr w:rsidR="00467066" w14:paraId="02C89A15" w14:textId="77777777">
        <w:tc>
          <w:tcPr>
            <w:tcW w:w="2381" w:type="dxa"/>
            <w:tcBorders>
              <w:left w:val="single" w:sz="4" w:space="0" w:color="1E2330"/>
              <w:bottom w:val="single" w:sz="4" w:space="0" w:color="2A3045"/>
              <w:right w:val="single" w:sz="4" w:space="0" w:color="1E2330"/>
            </w:tcBorders>
          </w:tcPr>
          <w:p w14:paraId="4723D078" w14:textId="77777777" w:rsidR="00467066" w:rsidRDefault="00000000">
            <w:pPr>
              <w:spacing w:before="60" w:after="60"/>
            </w:pPr>
            <w:r>
              <w:rPr>
                <w:sz w:val="18"/>
              </w:rPr>
              <w:t>Fed Funds Rate</w:t>
            </w:r>
          </w:p>
        </w:tc>
        <w:tc>
          <w:tcPr>
            <w:tcW w:w="7880" w:type="dxa"/>
            <w:tcBorders>
              <w:left w:val="single" w:sz="4" w:space="0" w:color="1E2330"/>
              <w:bottom w:val="single" w:sz="4" w:space="0" w:color="2A3045"/>
              <w:right w:val="single" w:sz="4" w:space="0" w:color="1E2330"/>
            </w:tcBorders>
          </w:tcPr>
          <w:p w14:paraId="44015938" w14:textId="77777777" w:rsidR="00467066" w:rsidRDefault="00000000">
            <w:pPr>
              <w:spacing w:before="60" w:after="60"/>
            </w:pPr>
            <w:r>
              <w:rPr>
                <w:sz w:val="18"/>
              </w:rPr>
              <w:t>Effective federal funds rate with rate cycle annotations.</w:t>
            </w:r>
          </w:p>
        </w:tc>
      </w:tr>
      <w:tr w:rsidR="00467066" w14:paraId="4A3EBD2D" w14:textId="77777777">
        <w:tc>
          <w:tcPr>
            <w:tcW w:w="2381" w:type="dxa"/>
            <w:tcBorders>
              <w:left w:val="single" w:sz="4" w:space="0" w:color="1E2330"/>
              <w:bottom w:val="single" w:sz="4" w:space="0" w:color="2A3045"/>
              <w:right w:val="single" w:sz="4" w:space="0" w:color="1E2330"/>
            </w:tcBorders>
            <w:shd w:val="clear" w:color="auto" w:fill="161B27"/>
          </w:tcPr>
          <w:p w14:paraId="64CBB7D9" w14:textId="77777777" w:rsidR="00467066" w:rsidRDefault="00000000">
            <w:pPr>
              <w:spacing w:before="60" w:after="60"/>
            </w:pPr>
            <w:r>
              <w:rPr>
                <w:sz w:val="18"/>
              </w:rPr>
              <w:t>GDP Growth</w:t>
            </w:r>
          </w:p>
        </w:tc>
        <w:tc>
          <w:tcPr>
            <w:tcW w:w="7880" w:type="dxa"/>
            <w:tcBorders>
              <w:left w:val="single" w:sz="4" w:space="0" w:color="1E2330"/>
              <w:bottom w:val="single" w:sz="4" w:space="0" w:color="2A3045"/>
              <w:right w:val="single" w:sz="4" w:space="0" w:color="1E2330"/>
            </w:tcBorders>
            <w:shd w:val="clear" w:color="auto" w:fill="161B27"/>
          </w:tcPr>
          <w:p w14:paraId="7658DDB7" w14:textId="77777777" w:rsidR="00467066" w:rsidRDefault="00000000">
            <w:pPr>
              <w:spacing w:before="60" w:after="60"/>
            </w:pPr>
            <w:r>
              <w:rPr>
                <w:sz w:val="18"/>
              </w:rPr>
              <w:t>Real GDP growth quarter-over-quarter with recession shading.</w:t>
            </w:r>
          </w:p>
        </w:tc>
      </w:tr>
      <w:tr w:rsidR="00467066" w14:paraId="72AA3E2F" w14:textId="77777777">
        <w:tc>
          <w:tcPr>
            <w:tcW w:w="2381" w:type="dxa"/>
            <w:tcBorders>
              <w:left w:val="single" w:sz="4" w:space="0" w:color="1E2330"/>
              <w:bottom w:val="single" w:sz="4" w:space="0" w:color="2A3045"/>
              <w:right w:val="single" w:sz="4" w:space="0" w:color="1E2330"/>
            </w:tcBorders>
          </w:tcPr>
          <w:p w14:paraId="63EC3F63" w14:textId="77777777" w:rsidR="00467066" w:rsidRDefault="00000000">
            <w:pPr>
              <w:spacing w:before="60" w:after="60"/>
            </w:pPr>
            <w:r>
              <w:rPr>
                <w:sz w:val="18"/>
              </w:rPr>
              <w:t>ISM PMI</w:t>
            </w:r>
          </w:p>
        </w:tc>
        <w:tc>
          <w:tcPr>
            <w:tcW w:w="7880" w:type="dxa"/>
            <w:tcBorders>
              <w:left w:val="single" w:sz="4" w:space="0" w:color="1E2330"/>
              <w:bottom w:val="single" w:sz="4" w:space="0" w:color="2A3045"/>
              <w:right w:val="single" w:sz="4" w:space="0" w:color="1E2330"/>
            </w:tcBorders>
          </w:tcPr>
          <w:p w14:paraId="7948A336" w14:textId="77777777" w:rsidR="00467066" w:rsidRDefault="00000000">
            <w:pPr>
              <w:spacing w:before="60" w:after="60"/>
            </w:pPr>
            <w:r>
              <w:rPr>
                <w:sz w:val="18"/>
              </w:rPr>
              <w:t>ISM Manufacturing PMI. Readings below 50 indicate contraction.</w:t>
            </w:r>
          </w:p>
        </w:tc>
      </w:tr>
      <w:tr w:rsidR="00467066" w14:paraId="02469274" w14:textId="77777777">
        <w:tc>
          <w:tcPr>
            <w:tcW w:w="2381" w:type="dxa"/>
            <w:tcBorders>
              <w:left w:val="single" w:sz="4" w:space="0" w:color="1E2330"/>
              <w:bottom w:val="single" w:sz="4" w:space="0" w:color="2A3045"/>
              <w:right w:val="single" w:sz="4" w:space="0" w:color="1E2330"/>
            </w:tcBorders>
            <w:shd w:val="clear" w:color="auto" w:fill="161B27"/>
          </w:tcPr>
          <w:p w14:paraId="08207CC0" w14:textId="77777777" w:rsidR="00467066" w:rsidRDefault="00000000">
            <w:pPr>
              <w:spacing w:before="60" w:after="60"/>
            </w:pPr>
            <w:r>
              <w:rPr>
                <w:sz w:val="18"/>
              </w:rPr>
              <w:t>AI Macro Strategist</w:t>
            </w:r>
          </w:p>
        </w:tc>
        <w:tc>
          <w:tcPr>
            <w:tcW w:w="7880" w:type="dxa"/>
            <w:tcBorders>
              <w:left w:val="single" w:sz="4" w:space="0" w:color="1E2330"/>
              <w:bottom w:val="single" w:sz="4" w:space="0" w:color="2A3045"/>
              <w:right w:val="single" w:sz="4" w:space="0" w:color="1E2330"/>
            </w:tcBorders>
            <w:shd w:val="clear" w:color="auto" w:fill="161B27"/>
          </w:tcPr>
          <w:p w14:paraId="615E85F9" w14:textId="77777777" w:rsidR="00467066" w:rsidRDefault="00000000">
            <w:pPr>
              <w:spacing w:before="60" w:after="60"/>
            </w:pPr>
            <w:r>
              <w:rPr>
                <w:sz w:val="18"/>
              </w:rPr>
              <w:t>Agent briefing incorporating yield curve shape, inflation posture, Fed stance, and peer context from the Geopolitical Analyst and Risk Officer.</w:t>
            </w:r>
          </w:p>
        </w:tc>
      </w:tr>
    </w:tbl>
    <w:p w14:paraId="686D1C51" w14:textId="77777777" w:rsidR="00467066" w:rsidRDefault="00467066">
      <w:pPr>
        <w:spacing w:after="0"/>
      </w:pPr>
    </w:p>
    <w:tbl>
      <w:tblPr>
        <w:tblW w:w="0" w:type="auto"/>
        <w:tblLook w:val="04A0" w:firstRow="1" w:lastRow="0" w:firstColumn="1" w:lastColumn="0" w:noHBand="0" w:noVBand="1"/>
      </w:tblPr>
      <w:tblGrid>
        <w:gridCol w:w="8784"/>
      </w:tblGrid>
      <w:tr w:rsidR="00467066" w14:paraId="0A90F911"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3CE447C3" w14:textId="77777777" w:rsidR="00467066" w:rsidRDefault="00000000">
            <w:pPr>
              <w:spacing w:before="80" w:after="40"/>
            </w:pPr>
            <w:r>
              <w:rPr>
                <w:b/>
                <w:color w:val="C9A84C"/>
                <w:sz w:val="16"/>
              </w:rPr>
              <w:t>INTERPRETATION</w:t>
            </w:r>
          </w:p>
          <w:p w14:paraId="1CA1E9BF" w14:textId="77777777" w:rsidR="00467066" w:rsidRDefault="00000000">
            <w:pPr>
              <w:spacing w:after="80"/>
              <w:jc w:val="both"/>
            </w:pPr>
            <w:r>
              <w:rPr>
                <w:sz w:val="19"/>
              </w:rPr>
              <w:t>Cross-reference the yield curve shape with the current correlation regime. Historically, inverted yield curves coincide with elevated equity-bond correlation (hedge breakdown). Read alongside the Risk Officer's brief on Overview.</w:t>
            </w:r>
          </w:p>
        </w:tc>
      </w:tr>
    </w:tbl>
    <w:p w14:paraId="76AFA8E3" w14:textId="77777777" w:rsidR="00467066" w:rsidRDefault="00467066">
      <w:pPr>
        <w:spacing w:after="0"/>
      </w:pPr>
    </w:p>
    <w:p w14:paraId="4BEEF0A5" w14:textId="77777777" w:rsidR="00467066" w:rsidRDefault="00467066">
      <w:pPr>
        <w:spacing w:after="0"/>
      </w:pPr>
    </w:p>
    <w:p w14:paraId="2892BE3D" w14:textId="77777777" w:rsidR="00467066" w:rsidRDefault="00000000">
      <w:pPr>
        <w:keepNext/>
        <w:spacing w:before="160" w:after="40"/>
      </w:pPr>
      <w:r>
        <w:rPr>
          <w:b/>
          <w:color w:val="FFFFFF"/>
        </w:rPr>
        <w:t>War Impact Map</w:t>
      </w:r>
    </w:p>
    <w:p w14:paraId="2098EAE7" w14:textId="77777777" w:rsidR="00467066" w:rsidRDefault="00000000">
      <w:pPr>
        <w:spacing w:after="80"/>
        <w:jc w:val="both"/>
      </w:pPr>
      <w:r>
        <w:rPr>
          <w:i/>
          <w:color w:val="8890A1"/>
          <w:sz w:val="19"/>
        </w:rPr>
        <w:t>Global choropleth quantifying equity market exposure across three active conflict theaters.</w:t>
      </w:r>
    </w:p>
    <w:tbl>
      <w:tblPr>
        <w:tblStyle w:val="TableGrid"/>
        <w:tblW w:w="0" w:type="auto"/>
        <w:tblLook w:val="04A0" w:firstRow="1" w:lastRow="0" w:firstColumn="1" w:lastColumn="0" w:noHBand="0" w:noVBand="1"/>
      </w:tblPr>
      <w:tblGrid>
        <w:gridCol w:w="2225"/>
        <w:gridCol w:w="7063"/>
      </w:tblGrid>
      <w:tr w:rsidR="00467066" w14:paraId="7F6D5BAB"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257850FF"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13C81F81" w14:textId="77777777" w:rsidR="00467066" w:rsidRDefault="00000000">
            <w:pPr>
              <w:spacing w:before="60" w:after="60"/>
            </w:pPr>
            <w:r>
              <w:rPr>
                <w:b/>
                <w:color w:val="FFFFFF"/>
                <w:sz w:val="18"/>
              </w:rPr>
              <w:t>Description</w:t>
            </w:r>
          </w:p>
        </w:tc>
      </w:tr>
      <w:tr w:rsidR="00467066" w14:paraId="31DCF881" w14:textId="77777777">
        <w:tc>
          <w:tcPr>
            <w:tcW w:w="2381" w:type="dxa"/>
            <w:tcBorders>
              <w:left w:val="single" w:sz="4" w:space="0" w:color="1E2330"/>
              <w:bottom w:val="single" w:sz="4" w:space="0" w:color="2A3045"/>
              <w:right w:val="single" w:sz="4" w:space="0" w:color="1E2330"/>
            </w:tcBorders>
          </w:tcPr>
          <w:p w14:paraId="2162BE16" w14:textId="77777777" w:rsidR="00467066" w:rsidRDefault="00000000">
            <w:pPr>
              <w:spacing w:before="60" w:after="60"/>
            </w:pPr>
            <w:r>
              <w:rPr>
                <w:sz w:val="18"/>
              </w:rPr>
              <w:t>Choropleth Map</w:t>
            </w:r>
          </w:p>
        </w:tc>
        <w:tc>
          <w:tcPr>
            <w:tcW w:w="7880" w:type="dxa"/>
            <w:tcBorders>
              <w:left w:val="single" w:sz="4" w:space="0" w:color="1E2330"/>
              <w:bottom w:val="single" w:sz="4" w:space="0" w:color="2A3045"/>
              <w:right w:val="single" w:sz="4" w:space="0" w:color="1E2330"/>
            </w:tcBorders>
          </w:tcPr>
          <w:p w14:paraId="64231B58" w14:textId="77777777" w:rsidR="00467066" w:rsidRDefault="00000000">
            <w:pPr>
              <w:spacing w:before="60" w:after="60"/>
            </w:pPr>
            <w:r>
              <w:rPr>
                <w:sz w:val="18"/>
              </w:rPr>
              <w:t>195 countries scored by equity exposure. Toggle between Combined, Ukraine, Israel-Hamas, and Iran/Hormuz views.</w:t>
            </w:r>
          </w:p>
        </w:tc>
      </w:tr>
      <w:tr w:rsidR="00467066" w14:paraId="3294B56A" w14:textId="77777777">
        <w:tc>
          <w:tcPr>
            <w:tcW w:w="2381" w:type="dxa"/>
            <w:tcBorders>
              <w:left w:val="single" w:sz="4" w:space="0" w:color="1E2330"/>
              <w:bottom w:val="single" w:sz="4" w:space="0" w:color="2A3045"/>
              <w:right w:val="single" w:sz="4" w:space="0" w:color="1E2330"/>
            </w:tcBorders>
            <w:shd w:val="clear" w:color="auto" w:fill="161B27"/>
          </w:tcPr>
          <w:p w14:paraId="0536382C" w14:textId="77777777" w:rsidR="00467066" w:rsidRDefault="00000000">
            <w:pPr>
              <w:spacing w:before="60" w:after="60"/>
            </w:pPr>
            <w:r>
              <w:rPr>
                <w:sz w:val="18"/>
              </w:rPr>
              <w:t>Top 25 Exposed Markets</w:t>
            </w:r>
          </w:p>
        </w:tc>
        <w:tc>
          <w:tcPr>
            <w:tcW w:w="7880" w:type="dxa"/>
            <w:tcBorders>
              <w:left w:val="single" w:sz="4" w:space="0" w:color="1E2330"/>
              <w:bottom w:val="single" w:sz="4" w:space="0" w:color="2A3045"/>
              <w:right w:val="single" w:sz="4" w:space="0" w:color="1E2330"/>
            </w:tcBorders>
            <w:shd w:val="clear" w:color="auto" w:fill="161B27"/>
          </w:tcPr>
          <w:p w14:paraId="0C159228" w14:textId="77777777" w:rsidR="00467066" w:rsidRDefault="00000000">
            <w:pPr>
              <w:spacing w:before="60" w:after="60"/>
            </w:pPr>
            <w:r>
              <w:rPr>
                <w:sz w:val="18"/>
              </w:rPr>
              <w:t>Ranked table with per-conflict score columns and actual equity index performance since each conflict's onset date.</w:t>
            </w:r>
          </w:p>
        </w:tc>
      </w:tr>
    </w:tbl>
    <w:p w14:paraId="0E0075C8" w14:textId="77777777" w:rsidR="00467066" w:rsidRDefault="00467066">
      <w:pPr>
        <w:spacing w:after="0"/>
      </w:pPr>
    </w:p>
    <w:tbl>
      <w:tblPr>
        <w:tblW w:w="0" w:type="auto"/>
        <w:tblLook w:val="04A0" w:firstRow="1" w:lastRow="0" w:firstColumn="1" w:lastColumn="0" w:noHBand="0" w:noVBand="1"/>
      </w:tblPr>
      <w:tblGrid>
        <w:gridCol w:w="8784"/>
      </w:tblGrid>
      <w:tr w:rsidR="00467066" w14:paraId="2D5C91DC"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42B33E11" w14:textId="77777777" w:rsidR="00467066" w:rsidRDefault="00000000">
            <w:pPr>
              <w:spacing w:before="80" w:after="40"/>
            </w:pPr>
            <w:r>
              <w:rPr>
                <w:b/>
                <w:color w:val="C9A84C"/>
                <w:sz w:val="16"/>
              </w:rPr>
              <w:t>INTERPRETATION</w:t>
            </w:r>
          </w:p>
          <w:p w14:paraId="7160E5CB" w14:textId="77777777" w:rsidR="00467066" w:rsidRDefault="00000000">
            <w:pPr>
              <w:spacing w:after="80"/>
              <w:jc w:val="both"/>
            </w:pPr>
            <w:r>
              <w:rPr>
                <w:sz w:val="19"/>
              </w:rPr>
              <w:t>High exposure score plus negative realized performance indicates the market has priced the risk. High exposure score plus stable performance indicates potential unpriced risk — a positioning opportunity.</w:t>
            </w:r>
          </w:p>
        </w:tc>
      </w:tr>
    </w:tbl>
    <w:p w14:paraId="53547B2A" w14:textId="77777777" w:rsidR="00467066" w:rsidRDefault="00467066">
      <w:pPr>
        <w:spacing w:after="0"/>
      </w:pPr>
    </w:p>
    <w:p w14:paraId="6B05D6B8" w14:textId="77777777" w:rsidR="00467066" w:rsidRDefault="00467066">
      <w:pPr>
        <w:spacing w:after="0"/>
      </w:pPr>
    </w:p>
    <w:p w14:paraId="5A0B303A" w14:textId="77777777" w:rsidR="00467066" w:rsidRDefault="00000000">
      <w:pPr>
        <w:keepNext/>
        <w:spacing w:before="160" w:after="40"/>
      </w:pPr>
      <w:r>
        <w:rPr>
          <w:b/>
          <w:color w:val="FFFFFF"/>
        </w:rPr>
        <w:t>Geopolitical Triggers</w:t>
      </w:r>
    </w:p>
    <w:p w14:paraId="7A4603BF" w14:textId="77777777" w:rsidR="00467066" w:rsidRDefault="00000000">
      <w:pPr>
        <w:spacing w:after="80"/>
        <w:jc w:val="both"/>
      </w:pPr>
      <w:r>
        <w:rPr>
          <w:i/>
          <w:color w:val="8890A1"/>
          <w:sz w:val="19"/>
        </w:rPr>
        <w:t>Forensic event-window analysis for all thirteen tracked geopolitical shocks since 2008.</w:t>
      </w:r>
    </w:p>
    <w:tbl>
      <w:tblPr>
        <w:tblStyle w:val="TableGrid"/>
        <w:tblW w:w="0" w:type="auto"/>
        <w:tblLook w:val="04A0" w:firstRow="1" w:lastRow="0" w:firstColumn="1" w:lastColumn="0" w:noHBand="0" w:noVBand="1"/>
      </w:tblPr>
      <w:tblGrid>
        <w:gridCol w:w="2233"/>
        <w:gridCol w:w="7055"/>
      </w:tblGrid>
      <w:tr w:rsidR="00467066" w14:paraId="24C92227"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6B0ABF0E"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165061EB" w14:textId="77777777" w:rsidR="00467066" w:rsidRDefault="00000000">
            <w:pPr>
              <w:spacing w:before="60" w:after="60"/>
            </w:pPr>
            <w:r>
              <w:rPr>
                <w:b/>
                <w:color w:val="FFFFFF"/>
                <w:sz w:val="18"/>
              </w:rPr>
              <w:t>Description</w:t>
            </w:r>
          </w:p>
        </w:tc>
      </w:tr>
      <w:tr w:rsidR="00467066" w14:paraId="3E6FBB6E" w14:textId="77777777">
        <w:tc>
          <w:tcPr>
            <w:tcW w:w="2381" w:type="dxa"/>
            <w:tcBorders>
              <w:left w:val="single" w:sz="4" w:space="0" w:color="1E2330"/>
              <w:bottom w:val="single" w:sz="4" w:space="0" w:color="2A3045"/>
              <w:right w:val="single" w:sz="4" w:space="0" w:color="1E2330"/>
            </w:tcBorders>
          </w:tcPr>
          <w:p w14:paraId="53300B55" w14:textId="77777777" w:rsidR="00467066" w:rsidRDefault="00000000">
            <w:pPr>
              <w:spacing w:before="60" w:after="60"/>
            </w:pPr>
            <w:r>
              <w:rPr>
                <w:sz w:val="18"/>
              </w:rPr>
              <w:t>Event Selector</w:t>
            </w:r>
          </w:p>
        </w:tc>
        <w:tc>
          <w:tcPr>
            <w:tcW w:w="7880" w:type="dxa"/>
            <w:tcBorders>
              <w:left w:val="single" w:sz="4" w:space="0" w:color="1E2330"/>
              <w:bottom w:val="single" w:sz="4" w:space="0" w:color="2A3045"/>
              <w:right w:val="single" w:sz="4" w:space="0" w:color="1E2330"/>
            </w:tcBorders>
          </w:tcPr>
          <w:p w14:paraId="752F9B8F" w14:textId="77777777" w:rsidR="00467066" w:rsidRDefault="00000000">
            <w:pPr>
              <w:spacing w:before="60" w:after="60"/>
            </w:pPr>
            <w:r>
              <w:rPr>
                <w:sz w:val="18"/>
              </w:rPr>
              <w:t>Dropdown selection from thirteen tracked events with date range and description.</w:t>
            </w:r>
          </w:p>
        </w:tc>
      </w:tr>
      <w:tr w:rsidR="00467066" w14:paraId="496C30B3" w14:textId="77777777">
        <w:tc>
          <w:tcPr>
            <w:tcW w:w="2381" w:type="dxa"/>
            <w:tcBorders>
              <w:left w:val="single" w:sz="4" w:space="0" w:color="1E2330"/>
              <w:bottom w:val="single" w:sz="4" w:space="0" w:color="2A3045"/>
              <w:right w:val="single" w:sz="4" w:space="0" w:color="1E2330"/>
            </w:tcBorders>
            <w:shd w:val="clear" w:color="auto" w:fill="161B27"/>
          </w:tcPr>
          <w:p w14:paraId="5F7635D0" w14:textId="77777777" w:rsidR="00467066" w:rsidRDefault="00000000">
            <w:pPr>
              <w:spacing w:before="60" w:after="60"/>
            </w:pPr>
            <w:r>
              <w:rPr>
                <w:sz w:val="18"/>
              </w:rPr>
              <w:t>Lookback Controls</w:t>
            </w:r>
          </w:p>
        </w:tc>
        <w:tc>
          <w:tcPr>
            <w:tcW w:w="7880" w:type="dxa"/>
            <w:tcBorders>
              <w:left w:val="single" w:sz="4" w:space="0" w:color="1E2330"/>
              <w:bottom w:val="single" w:sz="4" w:space="0" w:color="2A3045"/>
              <w:right w:val="single" w:sz="4" w:space="0" w:color="1E2330"/>
            </w:tcBorders>
            <w:shd w:val="clear" w:color="auto" w:fill="161B27"/>
          </w:tcPr>
          <w:p w14:paraId="54FB5802" w14:textId="77777777" w:rsidR="00467066" w:rsidRDefault="00000000">
            <w:pPr>
              <w:spacing w:before="60" w:after="60"/>
            </w:pPr>
            <w:r>
              <w:rPr>
                <w:sz w:val="18"/>
              </w:rPr>
              <w:t>Pre-event window (15–90 days) and post-event window (15–180 days) sliders. Asset multiselect for customising the comparison set.</w:t>
            </w:r>
          </w:p>
        </w:tc>
      </w:tr>
      <w:tr w:rsidR="00467066" w14:paraId="58D1ED80" w14:textId="77777777">
        <w:tc>
          <w:tcPr>
            <w:tcW w:w="2381" w:type="dxa"/>
            <w:tcBorders>
              <w:left w:val="single" w:sz="4" w:space="0" w:color="1E2330"/>
              <w:bottom w:val="single" w:sz="4" w:space="0" w:color="2A3045"/>
              <w:right w:val="single" w:sz="4" w:space="0" w:color="1E2330"/>
            </w:tcBorders>
          </w:tcPr>
          <w:p w14:paraId="5695130D" w14:textId="77777777" w:rsidR="00467066" w:rsidRDefault="00000000">
            <w:pPr>
              <w:spacing w:before="60" w:after="60"/>
            </w:pPr>
            <w:r>
              <w:rPr>
                <w:sz w:val="18"/>
              </w:rPr>
              <w:t>Indexed Performance Chart</w:t>
            </w:r>
          </w:p>
        </w:tc>
        <w:tc>
          <w:tcPr>
            <w:tcW w:w="7880" w:type="dxa"/>
            <w:tcBorders>
              <w:left w:val="single" w:sz="4" w:space="0" w:color="1E2330"/>
              <w:bottom w:val="single" w:sz="4" w:space="0" w:color="2A3045"/>
              <w:right w:val="single" w:sz="4" w:space="0" w:color="1E2330"/>
            </w:tcBorders>
          </w:tcPr>
          <w:p w14:paraId="3008B343" w14:textId="77777777" w:rsidR="00467066" w:rsidRDefault="00000000">
            <w:pPr>
              <w:spacing w:before="60" w:after="60"/>
            </w:pPr>
            <w:r>
              <w:rPr>
                <w:sz w:val="18"/>
              </w:rPr>
              <w:t>All selected assets indexed to 100 at event onset. Vertical band marks the event window.</w:t>
            </w:r>
          </w:p>
        </w:tc>
      </w:tr>
      <w:tr w:rsidR="00467066" w14:paraId="772A79C8" w14:textId="77777777">
        <w:tc>
          <w:tcPr>
            <w:tcW w:w="2381" w:type="dxa"/>
            <w:tcBorders>
              <w:left w:val="single" w:sz="4" w:space="0" w:color="1E2330"/>
              <w:bottom w:val="single" w:sz="4" w:space="0" w:color="2A3045"/>
              <w:right w:val="single" w:sz="4" w:space="0" w:color="1E2330"/>
            </w:tcBorders>
            <w:shd w:val="clear" w:color="auto" w:fill="161B27"/>
          </w:tcPr>
          <w:p w14:paraId="08913161" w14:textId="77777777" w:rsidR="00467066" w:rsidRDefault="00000000">
            <w:pPr>
              <w:spacing w:before="60" w:after="60"/>
            </w:pPr>
            <w:r>
              <w:rPr>
                <w:sz w:val="18"/>
              </w:rPr>
              <w:t>Volatility Shift Chart</w:t>
            </w:r>
          </w:p>
        </w:tc>
        <w:tc>
          <w:tcPr>
            <w:tcW w:w="7880" w:type="dxa"/>
            <w:tcBorders>
              <w:left w:val="single" w:sz="4" w:space="0" w:color="1E2330"/>
              <w:bottom w:val="single" w:sz="4" w:space="0" w:color="2A3045"/>
              <w:right w:val="single" w:sz="4" w:space="0" w:color="1E2330"/>
            </w:tcBorders>
            <w:shd w:val="clear" w:color="auto" w:fill="161B27"/>
          </w:tcPr>
          <w:p w14:paraId="451FFC9A" w14:textId="77777777" w:rsidR="00467066" w:rsidRDefault="00000000">
            <w:pPr>
              <w:spacing w:before="60" w:after="60"/>
            </w:pPr>
            <w:r>
              <w:rPr>
                <w:sz w:val="18"/>
              </w:rPr>
              <w:t>Pre- vs. post-event annualized realized volatility grouped by asset. Persistent post-event vol elevation signals ongoing disruption.</w:t>
            </w:r>
          </w:p>
        </w:tc>
      </w:tr>
      <w:tr w:rsidR="00467066" w14:paraId="25D1A487" w14:textId="77777777">
        <w:tc>
          <w:tcPr>
            <w:tcW w:w="2381" w:type="dxa"/>
            <w:tcBorders>
              <w:left w:val="single" w:sz="4" w:space="0" w:color="1E2330"/>
              <w:bottom w:val="single" w:sz="4" w:space="0" w:color="2A3045"/>
              <w:right w:val="single" w:sz="4" w:space="0" w:color="1E2330"/>
            </w:tcBorders>
          </w:tcPr>
          <w:p w14:paraId="338EE5B1" w14:textId="77777777" w:rsidR="00467066" w:rsidRDefault="00000000">
            <w:pPr>
              <w:spacing w:before="60" w:after="60"/>
            </w:pPr>
            <w:r>
              <w:rPr>
                <w:sz w:val="18"/>
              </w:rPr>
              <w:t>Correlation Shift Table</w:t>
            </w:r>
          </w:p>
        </w:tc>
        <w:tc>
          <w:tcPr>
            <w:tcW w:w="7880" w:type="dxa"/>
            <w:tcBorders>
              <w:left w:val="single" w:sz="4" w:space="0" w:color="1E2330"/>
              <w:bottom w:val="single" w:sz="4" w:space="0" w:color="2A3045"/>
              <w:right w:val="single" w:sz="4" w:space="0" w:color="1E2330"/>
            </w:tcBorders>
          </w:tcPr>
          <w:p w14:paraId="0C0E90B2" w14:textId="77777777" w:rsidR="00467066" w:rsidRDefault="00000000">
            <w:pPr>
              <w:spacing w:before="60" w:after="60"/>
            </w:pPr>
            <w:r>
              <w:rPr>
                <w:sz w:val="18"/>
              </w:rPr>
              <w:t>Asset pairs sorted by correlation shift magnitude. Red shift indicates contagion; green shift indicates decoupling.</w:t>
            </w:r>
          </w:p>
        </w:tc>
      </w:tr>
      <w:tr w:rsidR="00467066" w14:paraId="43593CE0" w14:textId="77777777">
        <w:tc>
          <w:tcPr>
            <w:tcW w:w="2381" w:type="dxa"/>
            <w:tcBorders>
              <w:left w:val="single" w:sz="4" w:space="0" w:color="1E2330"/>
              <w:bottom w:val="single" w:sz="4" w:space="0" w:color="2A3045"/>
              <w:right w:val="single" w:sz="4" w:space="0" w:color="1E2330"/>
            </w:tcBorders>
            <w:shd w:val="clear" w:color="auto" w:fill="161B27"/>
          </w:tcPr>
          <w:p w14:paraId="76A19ACB" w14:textId="77777777" w:rsidR="00467066" w:rsidRDefault="00000000">
            <w:pPr>
              <w:spacing w:before="60" w:after="60"/>
            </w:pPr>
            <w:r>
              <w:rPr>
                <w:sz w:val="18"/>
              </w:rPr>
              <w:t>Live Intelligence Feed</w:t>
            </w:r>
          </w:p>
        </w:tc>
        <w:tc>
          <w:tcPr>
            <w:tcW w:w="7880" w:type="dxa"/>
            <w:tcBorders>
              <w:left w:val="single" w:sz="4" w:space="0" w:color="1E2330"/>
              <w:bottom w:val="single" w:sz="4" w:space="0" w:color="2A3045"/>
              <w:right w:val="single" w:sz="4" w:space="0" w:color="1E2330"/>
            </w:tcBorders>
            <w:shd w:val="clear" w:color="auto" w:fill="161B27"/>
          </w:tcPr>
          <w:p w14:paraId="30BC5017" w14:textId="77777777" w:rsidR="00467066" w:rsidRDefault="00000000">
            <w:pPr>
              <w:spacing w:before="60" w:after="60"/>
            </w:pPr>
            <w:r>
              <w:rPr>
                <w:sz w:val="18"/>
              </w:rPr>
              <w:t>Automated RSS ingestion showing current geopolitical headlines tagged by region, commodity, and severity score.</w:t>
            </w:r>
          </w:p>
        </w:tc>
      </w:tr>
    </w:tbl>
    <w:p w14:paraId="518131E5" w14:textId="77777777" w:rsidR="00467066" w:rsidRDefault="00467066">
      <w:pPr>
        <w:spacing w:after="0"/>
      </w:pPr>
    </w:p>
    <w:tbl>
      <w:tblPr>
        <w:tblW w:w="0" w:type="auto"/>
        <w:tblLook w:val="04A0" w:firstRow="1" w:lastRow="0" w:firstColumn="1" w:lastColumn="0" w:noHBand="0" w:noVBand="1"/>
      </w:tblPr>
      <w:tblGrid>
        <w:gridCol w:w="8784"/>
      </w:tblGrid>
      <w:tr w:rsidR="00467066" w14:paraId="0D010948"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6463F3D5" w14:textId="77777777" w:rsidR="00467066" w:rsidRDefault="00000000">
            <w:pPr>
              <w:spacing w:before="80" w:after="40"/>
            </w:pPr>
            <w:r>
              <w:rPr>
                <w:b/>
                <w:color w:val="C9A84C"/>
                <w:sz w:val="16"/>
              </w:rPr>
              <w:t>INTERPRETATION</w:t>
            </w:r>
          </w:p>
          <w:p w14:paraId="698E23D1" w14:textId="77777777" w:rsidR="00467066" w:rsidRDefault="00000000">
            <w:pPr>
              <w:spacing w:after="80"/>
              <w:jc w:val="both"/>
            </w:pPr>
            <w:r>
              <w:rPr>
                <w:sz w:val="19"/>
              </w:rPr>
              <w:t>When analysing a current event, select the most analogous historical event and compare the pre-event window charts. Correlation regime changes at event onset are the most reliable early indicator of whether a shock is systemic or contained.</w:t>
            </w:r>
          </w:p>
        </w:tc>
      </w:tr>
    </w:tbl>
    <w:p w14:paraId="7BCDC866" w14:textId="77777777" w:rsidR="00467066" w:rsidRDefault="00467066">
      <w:pPr>
        <w:spacing w:after="0"/>
      </w:pPr>
    </w:p>
    <w:p w14:paraId="208DE891" w14:textId="77777777" w:rsidR="00467066" w:rsidRDefault="00467066">
      <w:pPr>
        <w:spacing w:after="0"/>
      </w:pPr>
    </w:p>
    <w:p w14:paraId="7F1FD1B9" w14:textId="77777777" w:rsidR="00467066" w:rsidRDefault="00000000">
      <w:pPr>
        <w:keepNext/>
        <w:spacing w:before="160" w:after="40"/>
      </w:pPr>
      <w:r>
        <w:rPr>
          <w:b/>
          <w:color w:val="FFFFFF"/>
        </w:rPr>
        <w:t>Correlation Analysis</w:t>
      </w:r>
    </w:p>
    <w:p w14:paraId="02BD9841" w14:textId="77777777" w:rsidR="00467066" w:rsidRDefault="00000000">
      <w:pPr>
        <w:spacing w:after="80"/>
        <w:jc w:val="both"/>
      </w:pPr>
      <w:r>
        <w:rPr>
          <w:i/>
          <w:color w:val="8890A1"/>
          <w:sz w:val="19"/>
        </w:rPr>
        <w:t>Four-tab quantitative correlation analysis: rolling Pearson, DCC-GARCH, regime detection, and Markov regime forecast.</w:t>
      </w:r>
    </w:p>
    <w:tbl>
      <w:tblPr>
        <w:tblStyle w:val="TableGrid"/>
        <w:tblW w:w="0" w:type="auto"/>
        <w:tblLook w:val="04A0" w:firstRow="1" w:lastRow="0" w:firstColumn="1" w:lastColumn="0" w:noHBand="0" w:noVBand="1"/>
      </w:tblPr>
      <w:tblGrid>
        <w:gridCol w:w="2221"/>
        <w:gridCol w:w="7067"/>
      </w:tblGrid>
      <w:tr w:rsidR="00467066" w14:paraId="33176455"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3E869442"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4BF28CFB" w14:textId="77777777" w:rsidR="00467066" w:rsidRDefault="00000000">
            <w:pPr>
              <w:spacing w:before="60" w:after="60"/>
            </w:pPr>
            <w:r>
              <w:rPr>
                <w:b/>
                <w:color w:val="FFFFFF"/>
                <w:sz w:val="18"/>
              </w:rPr>
              <w:t>Description</w:t>
            </w:r>
          </w:p>
        </w:tc>
      </w:tr>
      <w:tr w:rsidR="00467066" w14:paraId="3E4CE98F" w14:textId="77777777">
        <w:tc>
          <w:tcPr>
            <w:tcW w:w="2381" w:type="dxa"/>
            <w:tcBorders>
              <w:left w:val="single" w:sz="4" w:space="0" w:color="1E2330"/>
              <w:bottom w:val="single" w:sz="4" w:space="0" w:color="2A3045"/>
              <w:right w:val="single" w:sz="4" w:space="0" w:color="1E2330"/>
            </w:tcBorders>
          </w:tcPr>
          <w:p w14:paraId="2370E0FB" w14:textId="77777777" w:rsidR="00467066" w:rsidRDefault="00000000">
            <w:pPr>
              <w:spacing w:before="60" w:after="60"/>
            </w:pPr>
            <w:r>
              <w:rPr>
                <w:sz w:val="18"/>
              </w:rPr>
              <w:t>Rolling Correlation Tab</w:t>
            </w:r>
          </w:p>
        </w:tc>
        <w:tc>
          <w:tcPr>
            <w:tcW w:w="7880" w:type="dxa"/>
            <w:tcBorders>
              <w:left w:val="single" w:sz="4" w:space="0" w:color="1E2330"/>
              <w:bottom w:val="single" w:sz="4" w:space="0" w:color="2A3045"/>
              <w:right w:val="single" w:sz="4" w:space="0" w:color="1E2330"/>
            </w:tcBorders>
          </w:tcPr>
          <w:p w14:paraId="3C73B754" w14:textId="77777777" w:rsidR="00467066" w:rsidRDefault="00000000">
            <w:pPr>
              <w:spacing w:before="60" w:after="60"/>
            </w:pPr>
            <w:r>
              <w:rPr>
                <w:sz w:val="18"/>
              </w:rPr>
              <w:t>Select any two assets and a lookback window (21–252 days). Multi-pair overlay expander shows four default pairs simultaneously.</w:t>
            </w:r>
          </w:p>
        </w:tc>
      </w:tr>
      <w:tr w:rsidR="00467066" w14:paraId="16666784" w14:textId="77777777">
        <w:tc>
          <w:tcPr>
            <w:tcW w:w="2381" w:type="dxa"/>
            <w:tcBorders>
              <w:left w:val="single" w:sz="4" w:space="0" w:color="1E2330"/>
              <w:bottom w:val="single" w:sz="4" w:space="0" w:color="2A3045"/>
              <w:right w:val="single" w:sz="4" w:space="0" w:color="1E2330"/>
            </w:tcBorders>
            <w:shd w:val="clear" w:color="auto" w:fill="161B27"/>
          </w:tcPr>
          <w:p w14:paraId="27A8D6D6" w14:textId="77777777" w:rsidR="00467066" w:rsidRDefault="00000000">
            <w:pPr>
              <w:spacing w:before="60" w:after="60"/>
            </w:pPr>
            <w:r>
              <w:rPr>
                <w:sz w:val="18"/>
              </w:rPr>
              <w:t>DCC-GARCH Tab</w:t>
            </w:r>
          </w:p>
        </w:tc>
        <w:tc>
          <w:tcPr>
            <w:tcW w:w="7880" w:type="dxa"/>
            <w:tcBorders>
              <w:left w:val="single" w:sz="4" w:space="0" w:color="1E2330"/>
              <w:bottom w:val="single" w:sz="4" w:space="0" w:color="2A3045"/>
              <w:right w:val="single" w:sz="4" w:space="0" w:color="1E2330"/>
            </w:tcBorders>
            <w:shd w:val="clear" w:color="auto" w:fill="161B27"/>
          </w:tcPr>
          <w:p w14:paraId="134698F3" w14:textId="77777777" w:rsidR="00467066" w:rsidRDefault="00000000">
            <w:pPr>
              <w:spacing w:before="60" w:after="60"/>
            </w:pPr>
            <w:r>
              <w:rPr>
                <w:sz w:val="18"/>
              </w:rPr>
              <w:t>Dynamic Conditional Correlation overlaid against rolling Pearson. Divergence indicates vol-regime-dependent correlation behaviour.</w:t>
            </w:r>
          </w:p>
        </w:tc>
      </w:tr>
      <w:tr w:rsidR="00467066" w14:paraId="00E4F06E" w14:textId="77777777">
        <w:tc>
          <w:tcPr>
            <w:tcW w:w="2381" w:type="dxa"/>
            <w:tcBorders>
              <w:left w:val="single" w:sz="4" w:space="0" w:color="1E2330"/>
              <w:bottom w:val="single" w:sz="4" w:space="0" w:color="2A3045"/>
              <w:right w:val="single" w:sz="4" w:space="0" w:color="1E2330"/>
            </w:tcBorders>
          </w:tcPr>
          <w:p w14:paraId="719DE022" w14:textId="77777777" w:rsidR="00467066" w:rsidRDefault="00000000">
            <w:pPr>
              <w:spacing w:before="60" w:after="60"/>
            </w:pPr>
            <w:r>
              <w:rPr>
                <w:sz w:val="18"/>
              </w:rPr>
              <w:t>Regime Detection Tab</w:t>
            </w:r>
          </w:p>
        </w:tc>
        <w:tc>
          <w:tcPr>
            <w:tcW w:w="7880" w:type="dxa"/>
            <w:tcBorders>
              <w:left w:val="single" w:sz="4" w:space="0" w:color="1E2330"/>
              <w:bottom w:val="single" w:sz="4" w:space="0" w:color="2A3045"/>
              <w:right w:val="single" w:sz="4" w:space="0" w:color="1E2330"/>
            </w:tcBorders>
          </w:tcPr>
          <w:p w14:paraId="50AC667F" w14:textId="77777777" w:rsidR="00467066" w:rsidRDefault="00000000">
            <w:pPr>
              <w:spacing w:before="60" w:after="60"/>
            </w:pPr>
            <w:r>
              <w:rPr>
                <w:sz w:val="18"/>
              </w:rPr>
              <w:t>Scatter of all trading days colored by four-state regime. Compact table shows time spent in each regime.</w:t>
            </w:r>
          </w:p>
        </w:tc>
      </w:tr>
      <w:tr w:rsidR="00467066" w14:paraId="4CF9282A" w14:textId="77777777">
        <w:tc>
          <w:tcPr>
            <w:tcW w:w="2381" w:type="dxa"/>
            <w:tcBorders>
              <w:left w:val="single" w:sz="4" w:space="0" w:color="1E2330"/>
              <w:bottom w:val="single" w:sz="4" w:space="0" w:color="2A3045"/>
              <w:right w:val="single" w:sz="4" w:space="0" w:color="1E2330"/>
            </w:tcBorders>
            <w:shd w:val="clear" w:color="auto" w:fill="161B27"/>
          </w:tcPr>
          <w:p w14:paraId="69E85AB7" w14:textId="77777777" w:rsidR="00467066" w:rsidRDefault="00000000">
            <w:pPr>
              <w:spacing w:before="60" w:after="60"/>
            </w:pPr>
            <w:r>
              <w:rPr>
                <w:sz w:val="18"/>
              </w:rPr>
              <w:lastRenderedPageBreak/>
              <w:t>Markov Forecast Tab</w:t>
            </w:r>
          </w:p>
        </w:tc>
        <w:tc>
          <w:tcPr>
            <w:tcW w:w="7880" w:type="dxa"/>
            <w:tcBorders>
              <w:left w:val="single" w:sz="4" w:space="0" w:color="1E2330"/>
              <w:bottom w:val="single" w:sz="4" w:space="0" w:color="2A3045"/>
              <w:right w:val="single" w:sz="4" w:space="0" w:color="1E2330"/>
            </w:tcBorders>
            <w:shd w:val="clear" w:color="auto" w:fill="161B27"/>
          </w:tcPr>
          <w:p w14:paraId="11ED0583" w14:textId="77777777" w:rsidR="00467066" w:rsidRDefault="00000000">
            <w:pPr>
              <w:spacing w:before="60" w:after="60"/>
            </w:pPr>
            <w:r>
              <w:rPr>
                <w:sz w:val="18"/>
              </w:rPr>
              <w:t>Transition probability heatmap, steady-state distribution, mean days to Crisis from each state, and average run length per regime.</w:t>
            </w:r>
          </w:p>
        </w:tc>
      </w:tr>
    </w:tbl>
    <w:p w14:paraId="0D86A83B" w14:textId="77777777" w:rsidR="00467066" w:rsidRDefault="00467066">
      <w:pPr>
        <w:spacing w:after="0"/>
      </w:pPr>
    </w:p>
    <w:tbl>
      <w:tblPr>
        <w:tblW w:w="0" w:type="auto"/>
        <w:tblLook w:val="04A0" w:firstRow="1" w:lastRow="0" w:firstColumn="1" w:lastColumn="0" w:noHBand="0" w:noVBand="1"/>
      </w:tblPr>
      <w:tblGrid>
        <w:gridCol w:w="8784"/>
      </w:tblGrid>
      <w:tr w:rsidR="00467066" w14:paraId="5244C7E9"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01F0922A" w14:textId="77777777" w:rsidR="00467066" w:rsidRDefault="00000000">
            <w:pPr>
              <w:spacing w:before="80" w:after="40"/>
            </w:pPr>
            <w:r>
              <w:rPr>
                <w:b/>
                <w:color w:val="C9A84C"/>
                <w:sz w:val="16"/>
              </w:rPr>
              <w:t>INTERPRETATION</w:t>
            </w:r>
          </w:p>
          <w:p w14:paraId="0524079D" w14:textId="77777777" w:rsidR="00467066" w:rsidRDefault="00000000">
            <w:pPr>
              <w:spacing w:after="80"/>
              <w:jc w:val="both"/>
            </w:pPr>
            <w:r>
              <w:rPr>
                <w:sz w:val="19"/>
              </w:rPr>
              <w:t>DCC-GARCH value diverging above rolling Pearson indicates vol-regime-driven correlation elevation — a leading indicator of potential regime transition. Mean days to Crisis is a probabilistic estimate, not a precise prediction.</w:t>
            </w:r>
          </w:p>
        </w:tc>
      </w:tr>
    </w:tbl>
    <w:p w14:paraId="33B6171F" w14:textId="77777777" w:rsidR="00467066" w:rsidRDefault="00467066">
      <w:pPr>
        <w:spacing w:after="0"/>
      </w:pPr>
    </w:p>
    <w:p w14:paraId="6BA1DE85" w14:textId="77777777" w:rsidR="00467066" w:rsidRDefault="00467066">
      <w:pPr>
        <w:spacing w:after="0"/>
      </w:pPr>
    </w:p>
    <w:p w14:paraId="3BE2817D" w14:textId="77777777" w:rsidR="00467066" w:rsidRDefault="00000000">
      <w:pPr>
        <w:keepNext/>
        <w:spacing w:before="160" w:after="40"/>
      </w:pPr>
      <w:r>
        <w:rPr>
          <w:b/>
          <w:color w:val="FFFFFF"/>
        </w:rPr>
        <w:t>Spillover Analytics</w:t>
      </w:r>
    </w:p>
    <w:p w14:paraId="7B8E64E9" w14:textId="77777777" w:rsidR="00467066" w:rsidRDefault="00000000">
      <w:pPr>
        <w:spacing w:after="80"/>
        <w:jc w:val="both"/>
      </w:pPr>
      <w:r>
        <w:rPr>
          <w:i/>
          <w:color w:val="8890A1"/>
          <w:sz w:val="19"/>
        </w:rPr>
        <w:t>Three-method cross-asset spillover identification: Granger causality, transfer entropy, and Diebold-Yilmaz FEVD.</w:t>
      </w:r>
    </w:p>
    <w:tbl>
      <w:tblPr>
        <w:tblStyle w:val="TableGrid"/>
        <w:tblW w:w="0" w:type="auto"/>
        <w:tblLook w:val="04A0" w:firstRow="1" w:lastRow="0" w:firstColumn="1" w:lastColumn="0" w:noHBand="0" w:noVBand="1"/>
      </w:tblPr>
      <w:tblGrid>
        <w:gridCol w:w="2221"/>
        <w:gridCol w:w="7067"/>
      </w:tblGrid>
      <w:tr w:rsidR="00467066" w14:paraId="68E7B2C1"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20C229F2"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53CFE096" w14:textId="77777777" w:rsidR="00467066" w:rsidRDefault="00000000">
            <w:pPr>
              <w:spacing w:before="60" w:after="60"/>
            </w:pPr>
            <w:r>
              <w:rPr>
                <w:b/>
                <w:color w:val="FFFFFF"/>
                <w:sz w:val="18"/>
              </w:rPr>
              <w:t>Description</w:t>
            </w:r>
          </w:p>
        </w:tc>
      </w:tr>
      <w:tr w:rsidR="00467066" w14:paraId="40629501" w14:textId="77777777">
        <w:tc>
          <w:tcPr>
            <w:tcW w:w="2381" w:type="dxa"/>
            <w:tcBorders>
              <w:left w:val="single" w:sz="4" w:space="0" w:color="1E2330"/>
              <w:bottom w:val="single" w:sz="4" w:space="0" w:color="2A3045"/>
              <w:right w:val="single" w:sz="4" w:space="0" w:color="1E2330"/>
            </w:tcBorders>
          </w:tcPr>
          <w:p w14:paraId="1BC19545" w14:textId="77777777" w:rsidR="00467066" w:rsidRDefault="00000000">
            <w:pPr>
              <w:spacing w:before="60" w:after="60"/>
            </w:pPr>
            <w:r>
              <w:rPr>
                <w:sz w:val="18"/>
              </w:rPr>
              <w:t>Granger Causality Heatmap</w:t>
            </w:r>
          </w:p>
        </w:tc>
        <w:tc>
          <w:tcPr>
            <w:tcW w:w="7880" w:type="dxa"/>
            <w:tcBorders>
              <w:left w:val="single" w:sz="4" w:space="0" w:color="1E2330"/>
              <w:bottom w:val="single" w:sz="4" w:space="0" w:color="2A3045"/>
              <w:right w:val="single" w:sz="4" w:space="0" w:color="1E2330"/>
            </w:tcBorders>
          </w:tcPr>
          <w:p w14:paraId="6C8834E8" w14:textId="77777777" w:rsidR="00467066" w:rsidRDefault="00000000">
            <w:pPr>
              <w:spacing w:before="60" w:after="60"/>
            </w:pPr>
            <w:r>
              <w:rPr>
                <w:sz w:val="18"/>
              </w:rPr>
              <w:t>P-value matrix for commodity-to-equity causality. Red cells (p &lt; 0.05) indicate statistically significant predictive relationships. Top pairs table sorted by p-value.</w:t>
            </w:r>
          </w:p>
        </w:tc>
      </w:tr>
      <w:tr w:rsidR="00467066" w14:paraId="6EB45B31" w14:textId="77777777">
        <w:tc>
          <w:tcPr>
            <w:tcW w:w="2381" w:type="dxa"/>
            <w:tcBorders>
              <w:left w:val="single" w:sz="4" w:space="0" w:color="1E2330"/>
              <w:bottom w:val="single" w:sz="4" w:space="0" w:color="2A3045"/>
              <w:right w:val="single" w:sz="4" w:space="0" w:color="1E2330"/>
            </w:tcBorders>
            <w:shd w:val="clear" w:color="auto" w:fill="161B27"/>
          </w:tcPr>
          <w:p w14:paraId="20FB106C" w14:textId="77777777" w:rsidR="00467066" w:rsidRDefault="00000000">
            <w:pPr>
              <w:spacing w:before="60" w:after="60"/>
            </w:pPr>
            <w:r>
              <w:rPr>
                <w:sz w:val="18"/>
              </w:rPr>
              <w:t>Transfer Entropy Matrix</w:t>
            </w:r>
          </w:p>
        </w:tc>
        <w:tc>
          <w:tcPr>
            <w:tcW w:w="7880" w:type="dxa"/>
            <w:tcBorders>
              <w:left w:val="single" w:sz="4" w:space="0" w:color="1E2330"/>
              <w:bottom w:val="single" w:sz="4" w:space="0" w:color="2A3045"/>
              <w:right w:val="single" w:sz="4" w:space="0" w:color="1E2330"/>
            </w:tcBorders>
            <w:shd w:val="clear" w:color="auto" w:fill="161B27"/>
          </w:tcPr>
          <w:p w14:paraId="5AB1B688" w14:textId="77777777" w:rsidR="00467066" w:rsidRDefault="00000000">
            <w:pPr>
              <w:spacing w:before="60" w:after="60"/>
            </w:pPr>
            <w:r>
              <w:rPr>
                <w:sz w:val="18"/>
              </w:rPr>
              <w:t>Net information flow from commodities to equities capturing nonlinear dependencies beyond linear Granger tests.</w:t>
            </w:r>
          </w:p>
        </w:tc>
      </w:tr>
      <w:tr w:rsidR="00467066" w14:paraId="3E19571A" w14:textId="77777777">
        <w:tc>
          <w:tcPr>
            <w:tcW w:w="2381" w:type="dxa"/>
            <w:tcBorders>
              <w:left w:val="single" w:sz="4" w:space="0" w:color="1E2330"/>
              <w:bottom w:val="single" w:sz="4" w:space="0" w:color="2A3045"/>
              <w:right w:val="single" w:sz="4" w:space="0" w:color="1E2330"/>
            </w:tcBorders>
          </w:tcPr>
          <w:p w14:paraId="181B5433" w14:textId="77777777" w:rsidR="00467066" w:rsidRDefault="00000000">
            <w:pPr>
              <w:spacing w:before="60" w:after="60"/>
            </w:pPr>
            <w:r>
              <w:rPr>
                <w:sz w:val="18"/>
              </w:rPr>
              <w:t>Diebold-Yilmaz FEVD Heatmap</w:t>
            </w:r>
          </w:p>
        </w:tc>
        <w:tc>
          <w:tcPr>
            <w:tcW w:w="7880" w:type="dxa"/>
            <w:tcBorders>
              <w:left w:val="single" w:sz="4" w:space="0" w:color="1E2330"/>
              <w:bottom w:val="single" w:sz="4" w:space="0" w:color="2A3045"/>
              <w:right w:val="single" w:sz="4" w:space="0" w:color="1E2330"/>
            </w:tcBorders>
          </w:tcPr>
          <w:p w14:paraId="6B79E37E" w14:textId="77777777" w:rsidR="00467066" w:rsidRDefault="00000000">
            <w:pPr>
              <w:spacing w:before="60" w:after="60"/>
            </w:pPr>
            <w:r>
              <w:rPr>
                <w:sz w:val="18"/>
              </w:rPr>
              <w:t>Forecast Error Variance Decomposition. Total Spillover Index summarises system-wide connectedness on a 0–100% scale.</w:t>
            </w:r>
          </w:p>
        </w:tc>
      </w:tr>
      <w:tr w:rsidR="00467066" w14:paraId="15C9736B" w14:textId="77777777">
        <w:tc>
          <w:tcPr>
            <w:tcW w:w="2381" w:type="dxa"/>
            <w:tcBorders>
              <w:left w:val="single" w:sz="4" w:space="0" w:color="1E2330"/>
              <w:bottom w:val="single" w:sz="4" w:space="0" w:color="2A3045"/>
              <w:right w:val="single" w:sz="4" w:space="0" w:color="1E2330"/>
            </w:tcBorders>
            <w:shd w:val="clear" w:color="auto" w:fill="161B27"/>
          </w:tcPr>
          <w:p w14:paraId="6D2F63B9" w14:textId="77777777" w:rsidR="00467066" w:rsidRDefault="00000000">
            <w:pPr>
              <w:spacing w:before="60" w:after="60"/>
            </w:pPr>
            <w:r>
              <w:rPr>
                <w:sz w:val="18"/>
              </w:rPr>
              <w:t>Network Graph</w:t>
            </w:r>
          </w:p>
        </w:tc>
        <w:tc>
          <w:tcPr>
            <w:tcW w:w="7880" w:type="dxa"/>
            <w:tcBorders>
              <w:left w:val="single" w:sz="4" w:space="0" w:color="1E2330"/>
              <w:bottom w:val="single" w:sz="4" w:space="0" w:color="2A3045"/>
              <w:right w:val="single" w:sz="4" w:space="0" w:color="1E2330"/>
            </w:tcBorders>
            <w:shd w:val="clear" w:color="auto" w:fill="161B27"/>
          </w:tcPr>
          <w:p w14:paraId="4E11A3E5" w14:textId="77777777" w:rsidR="00467066" w:rsidRDefault="00000000">
            <w:pPr>
              <w:spacing w:before="60" w:after="60"/>
            </w:pPr>
            <w:r>
              <w:rPr>
                <w:sz w:val="18"/>
              </w:rPr>
              <w:t>Node size equals net transmitter score. Edge width equals spillover strength. Green nodes transmit; red nodes absorb.</w:t>
            </w:r>
          </w:p>
        </w:tc>
      </w:tr>
      <w:tr w:rsidR="00467066" w14:paraId="417314E0" w14:textId="77777777">
        <w:tc>
          <w:tcPr>
            <w:tcW w:w="2381" w:type="dxa"/>
            <w:tcBorders>
              <w:left w:val="single" w:sz="4" w:space="0" w:color="1E2330"/>
              <w:bottom w:val="single" w:sz="4" w:space="0" w:color="2A3045"/>
              <w:right w:val="single" w:sz="4" w:space="0" w:color="1E2330"/>
            </w:tcBorders>
          </w:tcPr>
          <w:p w14:paraId="6C5D8092" w14:textId="77777777" w:rsidR="00467066" w:rsidRDefault="00000000">
            <w:pPr>
              <w:spacing w:before="60" w:after="60"/>
            </w:pPr>
            <w:r>
              <w:rPr>
                <w:sz w:val="18"/>
              </w:rPr>
              <w:t>Cross-Asset Section</w:t>
            </w:r>
          </w:p>
        </w:tc>
        <w:tc>
          <w:tcPr>
            <w:tcW w:w="7880" w:type="dxa"/>
            <w:tcBorders>
              <w:left w:val="single" w:sz="4" w:space="0" w:color="1E2330"/>
              <w:bottom w:val="single" w:sz="4" w:space="0" w:color="2A3045"/>
              <w:right w:val="single" w:sz="4" w:space="0" w:color="1E2330"/>
            </w:tcBorders>
          </w:tcPr>
          <w:p w14:paraId="5A1A63CA" w14:textId="77777777" w:rsidR="00467066" w:rsidRDefault="00000000">
            <w:pPr>
              <w:spacing w:before="60" w:after="60"/>
            </w:pPr>
            <w:r>
              <w:rPr>
                <w:sz w:val="18"/>
              </w:rPr>
              <w:t>Granger causality table for rates, FX, and fixed income channels (S&amp;P 500, Gold, WTI, TLT, HYG, DXY).</w:t>
            </w:r>
          </w:p>
        </w:tc>
      </w:tr>
    </w:tbl>
    <w:p w14:paraId="76F49CB4" w14:textId="77777777" w:rsidR="00467066" w:rsidRDefault="00467066">
      <w:pPr>
        <w:spacing w:after="0"/>
      </w:pPr>
    </w:p>
    <w:tbl>
      <w:tblPr>
        <w:tblW w:w="0" w:type="auto"/>
        <w:tblLook w:val="04A0" w:firstRow="1" w:lastRow="0" w:firstColumn="1" w:lastColumn="0" w:noHBand="0" w:noVBand="1"/>
      </w:tblPr>
      <w:tblGrid>
        <w:gridCol w:w="8784"/>
      </w:tblGrid>
      <w:tr w:rsidR="00467066" w14:paraId="218E1D77"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212CA299" w14:textId="77777777" w:rsidR="00467066" w:rsidRDefault="00000000">
            <w:pPr>
              <w:spacing w:before="80" w:after="40"/>
            </w:pPr>
            <w:r>
              <w:rPr>
                <w:b/>
                <w:color w:val="C9A84C"/>
                <w:sz w:val="16"/>
              </w:rPr>
              <w:t>INTERPRETATION</w:t>
            </w:r>
          </w:p>
          <w:p w14:paraId="48668F23" w14:textId="77777777" w:rsidR="00467066" w:rsidRDefault="00000000">
            <w:pPr>
              <w:spacing w:after="80"/>
              <w:jc w:val="both"/>
            </w:pPr>
            <w:r>
              <w:rPr>
                <w:sz w:val="19"/>
              </w:rPr>
              <w:t>Assets with large positive net transmitter scores are the primary shock sources. When a Granger-significant transmitter commodity makes a significant move, the linked equity index has historically followed within the identified lag period.</w:t>
            </w:r>
          </w:p>
        </w:tc>
      </w:tr>
    </w:tbl>
    <w:p w14:paraId="640D1959" w14:textId="77777777" w:rsidR="00467066" w:rsidRDefault="00467066">
      <w:pPr>
        <w:spacing w:after="0"/>
      </w:pPr>
    </w:p>
    <w:p w14:paraId="6592513C" w14:textId="77777777" w:rsidR="00467066" w:rsidRDefault="00467066">
      <w:pPr>
        <w:spacing w:after="0"/>
      </w:pPr>
    </w:p>
    <w:p w14:paraId="394345D6" w14:textId="77777777" w:rsidR="00467066" w:rsidRDefault="00000000">
      <w:pPr>
        <w:keepNext/>
        <w:spacing w:before="160" w:after="40"/>
      </w:pPr>
      <w:r>
        <w:rPr>
          <w:b/>
          <w:color w:val="FFFFFF"/>
        </w:rPr>
        <w:t>Trade Ideas</w:t>
      </w:r>
    </w:p>
    <w:p w14:paraId="64DAF0D1" w14:textId="77777777" w:rsidR="00467066" w:rsidRDefault="00000000">
      <w:pPr>
        <w:spacing w:after="80"/>
        <w:jc w:val="both"/>
      </w:pPr>
      <w:r>
        <w:rPr>
          <w:i/>
          <w:color w:val="8890A1"/>
          <w:sz w:val="19"/>
        </w:rPr>
        <w:t>Regime-triggered cross-asset trade cards with AI Trade Structurer output.</w:t>
      </w:r>
    </w:p>
    <w:tbl>
      <w:tblPr>
        <w:tblStyle w:val="TableGrid"/>
        <w:tblW w:w="0" w:type="auto"/>
        <w:tblLook w:val="04A0" w:firstRow="1" w:lastRow="0" w:firstColumn="1" w:lastColumn="0" w:noHBand="0" w:noVBand="1"/>
      </w:tblPr>
      <w:tblGrid>
        <w:gridCol w:w="2224"/>
        <w:gridCol w:w="7064"/>
      </w:tblGrid>
      <w:tr w:rsidR="00467066" w14:paraId="08CA62AE"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3E55661B"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6D3AEE07" w14:textId="77777777" w:rsidR="00467066" w:rsidRDefault="00000000">
            <w:pPr>
              <w:spacing w:before="60" w:after="60"/>
            </w:pPr>
            <w:r>
              <w:rPr>
                <w:b/>
                <w:color w:val="FFFFFF"/>
                <w:sz w:val="18"/>
              </w:rPr>
              <w:t>Description</w:t>
            </w:r>
          </w:p>
        </w:tc>
      </w:tr>
      <w:tr w:rsidR="00467066" w14:paraId="5A645470" w14:textId="77777777">
        <w:tc>
          <w:tcPr>
            <w:tcW w:w="2381" w:type="dxa"/>
            <w:tcBorders>
              <w:left w:val="single" w:sz="4" w:space="0" w:color="1E2330"/>
              <w:bottom w:val="single" w:sz="4" w:space="0" w:color="2A3045"/>
              <w:right w:val="single" w:sz="4" w:space="0" w:color="1E2330"/>
            </w:tcBorders>
          </w:tcPr>
          <w:p w14:paraId="5738627C" w14:textId="77777777" w:rsidR="00467066" w:rsidRDefault="00000000">
            <w:pPr>
              <w:spacing w:before="60" w:after="60"/>
            </w:pPr>
            <w:r>
              <w:rPr>
                <w:sz w:val="18"/>
              </w:rPr>
              <w:t>Regime Filter</w:t>
            </w:r>
          </w:p>
        </w:tc>
        <w:tc>
          <w:tcPr>
            <w:tcW w:w="7880" w:type="dxa"/>
            <w:tcBorders>
              <w:left w:val="single" w:sz="4" w:space="0" w:color="1E2330"/>
              <w:bottom w:val="single" w:sz="4" w:space="0" w:color="2A3045"/>
              <w:right w:val="single" w:sz="4" w:space="0" w:color="1E2330"/>
            </w:tcBorders>
          </w:tcPr>
          <w:p w14:paraId="29270E82" w14:textId="77777777" w:rsidR="00467066" w:rsidRDefault="00000000">
            <w:pPr>
              <w:spacing w:before="60" w:after="60"/>
            </w:pPr>
            <w:r>
              <w:rPr>
                <w:sz w:val="18"/>
              </w:rPr>
              <w:t>Cards automatically filtered to ideas valid for the current regime. 'Show all regimes' checkbox overrides the filter.</w:t>
            </w:r>
          </w:p>
        </w:tc>
      </w:tr>
      <w:tr w:rsidR="00467066" w14:paraId="34C4FDB3" w14:textId="77777777">
        <w:tc>
          <w:tcPr>
            <w:tcW w:w="2381" w:type="dxa"/>
            <w:tcBorders>
              <w:left w:val="single" w:sz="4" w:space="0" w:color="1E2330"/>
              <w:bottom w:val="single" w:sz="4" w:space="0" w:color="2A3045"/>
              <w:right w:val="single" w:sz="4" w:space="0" w:color="1E2330"/>
            </w:tcBorders>
            <w:shd w:val="clear" w:color="auto" w:fill="161B27"/>
          </w:tcPr>
          <w:p w14:paraId="560823E7" w14:textId="77777777" w:rsidR="00467066" w:rsidRDefault="00000000">
            <w:pPr>
              <w:spacing w:before="60" w:after="60"/>
            </w:pPr>
            <w:r>
              <w:rPr>
                <w:sz w:val="18"/>
              </w:rPr>
              <w:t>Trade Cards</w:t>
            </w:r>
          </w:p>
        </w:tc>
        <w:tc>
          <w:tcPr>
            <w:tcW w:w="7880" w:type="dxa"/>
            <w:tcBorders>
              <w:left w:val="single" w:sz="4" w:space="0" w:color="1E2330"/>
              <w:bottom w:val="single" w:sz="4" w:space="0" w:color="2A3045"/>
              <w:right w:val="single" w:sz="4" w:space="0" w:color="1E2330"/>
            </w:tcBorders>
            <w:shd w:val="clear" w:color="auto" w:fill="161B27"/>
          </w:tcPr>
          <w:p w14:paraId="11563F3F" w14:textId="77777777" w:rsidR="00467066" w:rsidRDefault="00000000">
            <w:pPr>
              <w:spacing w:before="60" w:after="60"/>
            </w:pPr>
            <w:r>
              <w:rPr>
                <w:sz w:val="18"/>
              </w:rPr>
              <w:t>Each card shows: directional thesis (Long/Short), category and regime trigger, rationale paragraph, entry signal, exit conditions, risk factors, and a live 60-day rolling correlation chart.</w:t>
            </w:r>
          </w:p>
        </w:tc>
      </w:tr>
      <w:tr w:rsidR="00467066" w14:paraId="0FF99E43" w14:textId="77777777">
        <w:tc>
          <w:tcPr>
            <w:tcW w:w="2381" w:type="dxa"/>
            <w:tcBorders>
              <w:left w:val="single" w:sz="4" w:space="0" w:color="1E2330"/>
              <w:bottom w:val="single" w:sz="4" w:space="0" w:color="2A3045"/>
              <w:right w:val="single" w:sz="4" w:space="0" w:color="1E2330"/>
            </w:tcBorders>
          </w:tcPr>
          <w:p w14:paraId="04457D25" w14:textId="77777777" w:rsidR="00467066" w:rsidRDefault="00000000">
            <w:pPr>
              <w:spacing w:before="60" w:after="60"/>
            </w:pPr>
            <w:r>
              <w:rPr>
                <w:sz w:val="18"/>
              </w:rPr>
              <w:t>AI Trade Structurer</w:t>
            </w:r>
          </w:p>
        </w:tc>
        <w:tc>
          <w:tcPr>
            <w:tcW w:w="7880" w:type="dxa"/>
            <w:tcBorders>
              <w:left w:val="single" w:sz="4" w:space="0" w:color="1E2330"/>
              <w:bottom w:val="single" w:sz="4" w:space="0" w:color="2A3045"/>
              <w:right w:val="single" w:sz="4" w:space="0" w:color="1E2330"/>
            </w:tcBorders>
          </w:tcPr>
          <w:p w14:paraId="78DEA1FF" w14:textId="77777777" w:rsidR="00467066" w:rsidRDefault="00000000">
            <w:pPr>
              <w:spacing w:before="60" w:after="60"/>
            </w:pPr>
            <w:r>
              <w:rPr>
                <w:sz w:val="18"/>
              </w:rPr>
              <w:t>Generates new trade ideas incorporating full peer context from Macro Strategist, Geopolitical Analyst, Stress Engineer, and Commodities Specialist.</w:t>
            </w:r>
          </w:p>
        </w:tc>
      </w:tr>
      <w:tr w:rsidR="00467066" w14:paraId="412EE64B" w14:textId="77777777">
        <w:tc>
          <w:tcPr>
            <w:tcW w:w="2381" w:type="dxa"/>
            <w:tcBorders>
              <w:left w:val="single" w:sz="4" w:space="0" w:color="1E2330"/>
              <w:bottom w:val="single" w:sz="4" w:space="0" w:color="2A3045"/>
              <w:right w:val="single" w:sz="4" w:space="0" w:color="1E2330"/>
            </w:tcBorders>
            <w:shd w:val="clear" w:color="auto" w:fill="161B27"/>
          </w:tcPr>
          <w:p w14:paraId="76393618" w14:textId="77777777" w:rsidR="00467066" w:rsidRDefault="00000000">
            <w:pPr>
              <w:spacing w:before="60" w:after="60"/>
            </w:pPr>
            <w:r>
              <w:rPr>
                <w:sz w:val="18"/>
              </w:rPr>
              <w:t>PDF Report</w:t>
            </w:r>
          </w:p>
        </w:tc>
        <w:tc>
          <w:tcPr>
            <w:tcW w:w="7880" w:type="dxa"/>
            <w:tcBorders>
              <w:left w:val="single" w:sz="4" w:space="0" w:color="1E2330"/>
              <w:bottom w:val="single" w:sz="4" w:space="0" w:color="2A3045"/>
              <w:right w:val="single" w:sz="4" w:space="0" w:color="1E2330"/>
            </w:tcBorders>
            <w:shd w:val="clear" w:color="auto" w:fill="161B27"/>
          </w:tcPr>
          <w:p w14:paraId="0BDD3B0C" w14:textId="77777777" w:rsidR="00467066" w:rsidRDefault="00000000">
            <w:pPr>
              <w:spacing w:before="60" w:after="60"/>
            </w:pPr>
            <w:r>
              <w:rPr>
                <w:sz w:val="18"/>
              </w:rPr>
              <w:t>One-click PDF generation of all active trade cards with regime context.</w:t>
            </w:r>
          </w:p>
        </w:tc>
      </w:tr>
    </w:tbl>
    <w:p w14:paraId="3F45A828" w14:textId="77777777" w:rsidR="00467066" w:rsidRDefault="00467066">
      <w:pPr>
        <w:spacing w:after="0"/>
      </w:pPr>
    </w:p>
    <w:tbl>
      <w:tblPr>
        <w:tblW w:w="0" w:type="auto"/>
        <w:tblLook w:val="04A0" w:firstRow="1" w:lastRow="0" w:firstColumn="1" w:lastColumn="0" w:noHBand="0" w:noVBand="1"/>
      </w:tblPr>
      <w:tblGrid>
        <w:gridCol w:w="8784"/>
      </w:tblGrid>
      <w:tr w:rsidR="00467066" w14:paraId="1BDD7D59"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6E50E95C" w14:textId="77777777" w:rsidR="00467066" w:rsidRDefault="00000000">
            <w:pPr>
              <w:spacing w:before="80" w:after="40"/>
            </w:pPr>
            <w:r>
              <w:rPr>
                <w:b/>
                <w:color w:val="C9A84C"/>
                <w:sz w:val="16"/>
              </w:rPr>
              <w:t>INTERPRETATION</w:t>
            </w:r>
          </w:p>
          <w:p w14:paraId="31155EAA" w14:textId="77777777" w:rsidR="00467066" w:rsidRDefault="00000000">
            <w:pPr>
              <w:spacing w:after="80"/>
              <w:jc w:val="both"/>
            </w:pPr>
            <w:r>
              <w:rPr>
                <w:sz w:val="19"/>
              </w:rPr>
              <w:t xml:space="preserve">Use the live correlation chart on each card to confirm the pair relationship underpinning the trade is currently intact. A correlation that has moved significantly from the expected range is a signal to reassess the trade </w:t>
            </w:r>
            <w:r>
              <w:rPr>
                <w:sz w:val="19"/>
              </w:rPr>
              <w:lastRenderedPageBreak/>
              <w:t>rationale before entry.</w:t>
            </w:r>
          </w:p>
        </w:tc>
      </w:tr>
    </w:tbl>
    <w:p w14:paraId="1B1E6DCA" w14:textId="77777777" w:rsidR="00467066" w:rsidRDefault="00467066">
      <w:pPr>
        <w:spacing w:after="0"/>
      </w:pPr>
    </w:p>
    <w:p w14:paraId="7966A988" w14:textId="77777777" w:rsidR="00467066" w:rsidRDefault="00467066">
      <w:pPr>
        <w:spacing w:after="0"/>
      </w:pPr>
    </w:p>
    <w:p w14:paraId="7282CDB9" w14:textId="77777777" w:rsidR="00467066" w:rsidRDefault="00000000">
      <w:pPr>
        <w:keepNext/>
        <w:spacing w:before="160" w:after="40"/>
      </w:pPr>
      <w:r>
        <w:rPr>
          <w:b/>
          <w:color w:val="FFFFFF"/>
        </w:rPr>
        <w:t>Portfolio Stress Test</w:t>
      </w:r>
    </w:p>
    <w:p w14:paraId="1F1B340F" w14:textId="77777777" w:rsidR="00467066" w:rsidRDefault="00000000">
      <w:pPr>
        <w:spacing w:after="80"/>
        <w:jc w:val="both"/>
      </w:pPr>
      <w:r>
        <w:rPr>
          <w:i/>
          <w:color w:val="8890A1"/>
          <w:sz w:val="19"/>
        </w:rPr>
        <w:t>Custom portfolio construction and stress testing against all thirteen tracked historical events.</w:t>
      </w:r>
    </w:p>
    <w:tbl>
      <w:tblPr>
        <w:tblStyle w:val="TableGrid"/>
        <w:tblW w:w="0" w:type="auto"/>
        <w:tblLook w:val="04A0" w:firstRow="1" w:lastRow="0" w:firstColumn="1" w:lastColumn="0" w:noHBand="0" w:noVBand="1"/>
      </w:tblPr>
      <w:tblGrid>
        <w:gridCol w:w="2224"/>
        <w:gridCol w:w="7064"/>
      </w:tblGrid>
      <w:tr w:rsidR="00467066" w14:paraId="60778E00"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71A8F50B"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79CD9FC7" w14:textId="77777777" w:rsidR="00467066" w:rsidRDefault="00000000">
            <w:pPr>
              <w:spacing w:before="60" w:after="60"/>
            </w:pPr>
            <w:r>
              <w:rPr>
                <w:b/>
                <w:color w:val="FFFFFF"/>
                <w:sz w:val="18"/>
              </w:rPr>
              <w:t>Description</w:t>
            </w:r>
          </w:p>
        </w:tc>
      </w:tr>
      <w:tr w:rsidR="00467066" w14:paraId="757274B1" w14:textId="77777777">
        <w:tc>
          <w:tcPr>
            <w:tcW w:w="2381" w:type="dxa"/>
            <w:tcBorders>
              <w:left w:val="single" w:sz="4" w:space="0" w:color="1E2330"/>
              <w:bottom w:val="single" w:sz="4" w:space="0" w:color="2A3045"/>
              <w:right w:val="single" w:sz="4" w:space="0" w:color="1E2330"/>
            </w:tcBorders>
          </w:tcPr>
          <w:p w14:paraId="658F87D0" w14:textId="77777777" w:rsidR="00467066" w:rsidRDefault="00000000">
            <w:pPr>
              <w:spacing w:before="60" w:after="60"/>
            </w:pPr>
            <w:r>
              <w:rPr>
                <w:sz w:val="18"/>
              </w:rPr>
              <w:t>Asset Selection</w:t>
            </w:r>
          </w:p>
        </w:tc>
        <w:tc>
          <w:tcPr>
            <w:tcW w:w="7880" w:type="dxa"/>
            <w:tcBorders>
              <w:left w:val="single" w:sz="4" w:space="0" w:color="1E2330"/>
              <w:bottom w:val="single" w:sz="4" w:space="0" w:color="2A3045"/>
              <w:right w:val="single" w:sz="4" w:space="0" w:color="1E2330"/>
            </w:tcBorders>
          </w:tcPr>
          <w:p w14:paraId="4E5A3364" w14:textId="77777777" w:rsidR="00467066" w:rsidRDefault="00000000">
            <w:pPr>
              <w:spacing w:before="60" w:after="60"/>
            </w:pPr>
            <w:r>
              <w:rPr>
                <w:sz w:val="18"/>
              </w:rPr>
              <w:t>Preset allocations or custom builds from global indices, commodities, fixed income ETFs, and individual S&amp;P 500 stocks. Free-form ticker entry supported.</w:t>
            </w:r>
          </w:p>
        </w:tc>
      </w:tr>
      <w:tr w:rsidR="00467066" w14:paraId="543E051C" w14:textId="77777777">
        <w:tc>
          <w:tcPr>
            <w:tcW w:w="2381" w:type="dxa"/>
            <w:tcBorders>
              <w:left w:val="single" w:sz="4" w:space="0" w:color="1E2330"/>
              <w:bottom w:val="single" w:sz="4" w:space="0" w:color="2A3045"/>
              <w:right w:val="single" w:sz="4" w:space="0" w:color="1E2330"/>
            </w:tcBorders>
            <w:shd w:val="clear" w:color="auto" w:fill="161B27"/>
          </w:tcPr>
          <w:p w14:paraId="42F3A3AF" w14:textId="77777777" w:rsidR="00467066" w:rsidRDefault="00000000">
            <w:pPr>
              <w:spacing w:before="60" w:after="60"/>
            </w:pPr>
            <w:r>
              <w:rPr>
                <w:sz w:val="18"/>
              </w:rPr>
              <w:t>Weight Editor</w:t>
            </w:r>
          </w:p>
        </w:tc>
        <w:tc>
          <w:tcPr>
            <w:tcW w:w="7880" w:type="dxa"/>
            <w:tcBorders>
              <w:left w:val="single" w:sz="4" w:space="0" w:color="1E2330"/>
              <w:bottom w:val="single" w:sz="4" w:space="0" w:color="2A3045"/>
              <w:right w:val="single" w:sz="4" w:space="0" w:color="1E2330"/>
            </w:tcBorders>
            <w:shd w:val="clear" w:color="auto" w:fill="161B27"/>
          </w:tcPr>
          <w:p w14:paraId="17DB544E" w14:textId="77777777" w:rsidR="00467066" w:rsidRDefault="00000000">
            <w:pPr>
              <w:spacing w:before="60" w:after="60"/>
            </w:pPr>
            <w:r>
              <w:rPr>
                <w:sz w:val="18"/>
              </w:rPr>
              <w:t>Per-asset weight inputs auto-normalised to 100%.</w:t>
            </w:r>
          </w:p>
        </w:tc>
      </w:tr>
      <w:tr w:rsidR="00467066" w14:paraId="327BC1F2" w14:textId="77777777">
        <w:tc>
          <w:tcPr>
            <w:tcW w:w="2381" w:type="dxa"/>
            <w:tcBorders>
              <w:left w:val="single" w:sz="4" w:space="0" w:color="1E2330"/>
              <w:bottom w:val="single" w:sz="4" w:space="0" w:color="2A3045"/>
              <w:right w:val="single" w:sz="4" w:space="0" w:color="1E2330"/>
            </w:tcBorders>
          </w:tcPr>
          <w:p w14:paraId="6A56D5AA" w14:textId="77777777" w:rsidR="00467066" w:rsidRDefault="00000000">
            <w:pPr>
              <w:spacing w:before="60" w:after="60"/>
            </w:pPr>
            <w:r>
              <w:rPr>
                <w:sz w:val="18"/>
              </w:rPr>
              <w:t>Stress Test Results</w:t>
            </w:r>
          </w:p>
        </w:tc>
        <w:tc>
          <w:tcPr>
            <w:tcW w:w="7880" w:type="dxa"/>
            <w:tcBorders>
              <w:left w:val="single" w:sz="4" w:space="0" w:color="1E2330"/>
              <w:bottom w:val="single" w:sz="4" w:space="0" w:color="2A3045"/>
              <w:right w:val="single" w:sz="4" w:space="0" w:color="1E2330"/>
            </w:tcBorders>
          </w:tcPr>
          <w:p w14:paraId="204FDA70" w14:textId="77777777" w:rsidR="00467066" w:rsidRDefault="00000000">
            <w:pPr>
              <w:spacing w:before="60" w:after="60"/>
            </w:pPr>
            <w:r>
              <w:rPr>
                <w:sz w:val="18"/>
              </w:rPr>
              <w:t>Per-event table: Pre-Event Return, During Return, Post-Event Return, Max Drawdown, Sharpe Ratio. Color-coded by return sign.</w:t>
            </w:r>
          </w:p>
        </w:tc>
      </w:tr>
      <w:tr w:rsidR="00467066" w14:paraId="5DF927F3" w14:textId="77777777">
        <w:tc>
          <w:tcPr>
            <w:tcW w:w="2381" w:type="dxa"/>
            <w:tcBorders>
              <w:left w:val="single" w:sz="4" w:space="0" w:color="1E2330"/>
              <w:bottom w:val="single" w:sz="4" w:space="0" w:color="2A3045"/>
              <w:right w:val="single" w:sz="4" w:space="0" w:color="1E2330"/>
            </w:tcBorders>
            <w:shd w:val="clear" w:color="auto" w:fill="161B27"/>
          </w:tcPr>
          <w:p w14:paraId="50CC30C9" w14:textId="77777777" w:rsidR="00467066" w:rsidRDefault="00000000">
            <w:pPr>
              <w:spacing w:before="60" w:after="60"/>
            </w:pPr>
            <w:r>
              <w:rPr>
                <w:sz w:val="18"/>
              </w:rPr>
              <w:t>Summary Statistics</w:t>
            </w:r>
          </w:p>
        </w:tc>
        <w:tc>
          <w:tcPr>
            <w:tcW w:w="7880" w:type="dxa"/>
            <w:tcBorders>
              <w:left w:val="single" w:sz="4" w:space="0" w:color="1E2330"/>
              <w:bottom w:val="single" w:sz="4" w:space="0" w:color="2A3045"/>
              <w:right w:val="single" w:sz="4" w:space="0" w:color="1E2330"/>
            </w:tcBorders>
            <w:shd w:val="clear" w:color="auto" w:fill="161B27"/>
          </w:tcPr>
          <w:p w14:paraId="447880FC" w14:textId="77777777" w:rsidR="00467066" w:rsidRDefault="00000000">
            <w:pPr>
              <w:spacing w:before="60" w:after="60"/>
            </w:pPr>
            <w:r>
              <w:rPr>
                <w:sz w:val="18"/>
              </w:rPr>
              <w:t>Average return across all events, historical VaR at the 5th percentile, and win rate.</w:t>
            </w:r>
          </w:p>
        </w:tc>
      </w:tr>
    </w:tbl>
    <w:p w14:paraId="3A7E7E67" w14:textId="77777777" w:rsidR="00467066" w:rsidRDefault="00467066">
      <w:pPr>
        <w:spacing w:after="0"/>
      </w:pPr>
    </w:p>
    <w:tbl>
      <w:tblPr>
        <w:tblW w:w="0" w:type="auto"/>
        <w:tblLook w:val="04A0" w:firstRow="1" w:lastRow="0" w:firstColumn="1" w:lastColumn="0" w:noHBand="0" w:noVBand="1"/>
      </w:tblPr>
      <w:tblGrid>
        <w:gridCol w:w="8784"/>
      </w:tblGrid>
      <w:tr w:rsidR="00467066" w14:paraId="5FFEC08C"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21C40931" w14:textId="77777777" w:rsidR="00467066" w:rsidRDefault="00000000">
            <w:pPr>
              <w:spacing w:before="80" w:after="40"/>
            </w:pPr>
            <w:r>
              <w:rPr>
                <w:b/>
                <w:color w:val="C9A84C"/>
                <w:sz w:val="16"/>
              </w:rPr>
              <w:t>INTERPRETATION</w:t>
            </w:r>
          </w:p>
          <w:p w14:paraId="78A1531F" w14:textId="77777777" w:rsidR="00467066" w:rsidRDefault="00000000">
            <w:pPr>
              <w:spacing w:after="80"/>
              <w:jc w:val="both"/>
            </w:pPr>
            <w:r>
              <w:rPr>
                <w:sz w:val="19"/>
              </w:rPr>
              <w:t>The worst 5% return is the most operationally relevant metric for risk committee conversations. Compare the portfolio's worst event return against its average return to assess the asymmetry of downside risk.</w:t>
            </w:r>
          </w:p>
        </w:tc>
      </w:tr>
    </w:tbl>
    <w:p w14:paraId="4B2DB777" w14:textId="77777777" w:rsidR="00467066" w:rsidRDefault="00467066">
      <w:pPr>
        <w:spacing w:after="0"/>
      </w:pPr>
    </w:p>
    <w:p w14:paraId="33E42CB1" w14:textId="77777777" w:rsidR="00467066" w:rsidRDefault="00467066">
      <w:pPr>
        <w:spacing w:after="0"/>
      </w:pPr>
    </w:p>
    <w:p w14:paraId="539361AF" w14:textId="77777777" w:rsidR="00467066" w:rsidRDefault="00000000">
      <w:pPr>
        <w:keepNext/>
        <w:spacing w:before="160" w:after="40"/>
      </w:pPr>
      <w:r>
        <w:rPr>
          <w:b/>
          <w:color w:val="FFFFFF"/>
        </w:rPr>
        <w:t>Scenario Engine</w:t>
      </w:r>
    </w:p>
    <w:p w14:paraId="5817592E" w14:textId="77777777" w:rsidR="00467066" w:rsidRDefault="00000000">
      <w:pPr>
        <w:spacing w:after="80"/>
        <w:jc w:val="both"/>
      </w:pPr>
      <w:r>
        <w:rPr>
          <w:i/>
          <w:color w:val="8890A1"/>
          <w:sz w:val="19"/>
        </w:rPr>
        <w:t>Forward-looking parametric shock propagation with VaR and ES outputs.</w:t>
      </w:r>
    </w:p>
    <w:tbl>
      <w:tblPr>
        <w:tblStyle w:val="TableGrid"/>
        <w:tblW w:w="0" w:type="auto"/>
        <w:tblLook w:val="04A0" w:firstRow="1" w:lastRow="0" w:firstColumn="1" w:lastColumn="0" w:noHBand="0" w:noVBand="1"/>
      </w:tblPr>
      <w:tblGrid>
        <w:gridCol w:w="2225"/>
        <w:gridCol w:w="7063"/>
      </w:tblGrid>
      <w:tr w:rsidR="00467066" w14:paraId="06B34566"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12C5150D"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2DC5574F" w14:textId="77777777" w:rsidR="00467066" w:rsidRDefault="00000000">
            <w:pPr>
              <w:spacing w:before="60" w:after="60"/>
            </w:pPr>
            <w:r>
              <w:rPr>
                <w:b/>
                <w:color w:val="FFFFFF"/>
                <w:sz w:val="18"/>
              </w:rPr>
              <w:t>Description</w:t>
            </w:r>
          </w:p>
        </w:tc>
      </w:tr>
      <w:tr w:rsidR="00467066" w14:paraId="36FDD4AB" w14:textId="77777777">
        <w:tc>
          <w:tcPr>
            <w:tcW w:w="2381" w:type="dxa"/>
            <w:tcBorders>
              <w:left w:val="single" w:sz="4" w:space="0" w:color="1E2330"/>
              <w:bottom w:val="single" w:sz="4" w:space="0" w:color="2A3045"/>
              <w:right w:val="single" w:sz="4" w:space="0" w:color="1E2330"/>
            </w:tcBorders>
          </w:tcPr>
          <w:p w14:paraId="267A0969" w14:textId="77777777" w:rsidR="00467066" w:rsidRDefault="00000000">
            <w:pPr>
              <w:spacing w:before="60" w:after="60"/>
            </w:pPr>
            <w:r>
              <w:rPr>
                <w:sz w:val="18"/>
              </w:rPr>
              <w:t>Preset Scenarios</w:t>
            </w:r>
          </w:p>
        </w:tc>
        <w:tc>
          <w:tcPr>
            <w:tcW w:w="7880" w:type="dxa"/>
            <w:tcBorders>
              <w:left w:val="single" w:sz="4" w:space="0" w:color="1E2330"/>
              <w:bottom w:val="single" w:sz="4" w:space="0" w:color="2A3045"/>
              <w:right w:val="single" w:sz="4" w:space="0" w:color="1E2330"/>
            </w:tcBorders>
          </w:tcPr>
          <w:p w14:paraId="32C7D331" w14:textId="77777777" w:rsidR="00467066" w:rsidRDefault="00000000">
            <w:pPr>
              <w:spacing w:before="60" w:after="60"/>
            </w:pPr>
            <w:r>
              <w:rPr>
                <w:sz w:val="18"/>
              </w:rPr>
              <w:t>Six presets: Oil Supply Shock (+40%), Risk-Off Flight, Rate Shock (+150bps), Strait Closure, China Hard Landing, Stagflation.</w:t>
            </w:r>
          </w:p>
        </w:tc>
      </w:tr>
      <w:tr w:rsidR="00467066" w14:paraId="4AC1FC0E" w14:textId="77777777">
        <w:tc>
          <w:tcPr>
            <w:tcW w:w="2381" w:type="dxa"/>
            <w:tcBorders>
              <w:left w:val="single" w:sz="4" w:space="0" w:color="1E2330"/>
              <w:bottom w:val="single" w:sz="4" w:space="0" w:color="2A3045"/>
              <w:right w:val="single" w:sz="4" w:space="0" w:color="1E2330"/>
            </w:tcBorders>
            <w:shd w:val="clear" w:color="auto" w:fill="161B27"/>
          </w:tcPr>
          <w:p w14:paraId="42D4841B" w14:textId="77777777" w:rsidR="00467066" w:rsidRDefault="00000000">
            <w:pPr>
              <w:spacing w:before="60" w:after="60"/>
            </w:pPr>
            <w:r>
              <w:rPr>
                <w:sz w:val="18"/>
              </w:rPr>
              <w:t>Shock Sliders</w:t>
            </w:r>
          </w:p>
        </w:tc>
        <w:tc>
          <w:tcPr>
            <w:tcW w:w="7880" w:type="dxa"/>
            <w:tcBorders>
              <w:left w:val="single" w:sz="4" w:space="0" w:color="1E2330"/>
              <w:bottom w:val="single" w:sz="4" w:space="0" w:color="2A3045"/>
              <w:right w:val="single" w:sz="4" w:space="0" w:color="1E2330"/>
            </w:tcBorders>
            <w:shd w:val="clear" w:color="auto" w:fill="161B27"/>
          </w:tcPr>
          <w:p w14:paraId="6DDCCD6F" w14:textId="77777777" w:rsidR="00467066" w:rsidRDefault="00000000">
            <w:pPr>
              <w:spacing w:before="60" w:after="60"/>
            </w:pPr>
            <w:r>
              <w:rPr>
                <w:sz w:val="18"/>
              </w:rPr>
              <w:t>Six inputs: Oil (%), Gold (%), Natural Gas (%), Copper (%), Yield Shift (bps), DXY (%), Credit Spreads (bps), Geopolitical Factor (0–10).</w:t>
            </w:r>
          </w:p>
        </w:tc>
      </w:tr>
      <w:tr w:rsidR="00467066" w14:paraId="7AD111F6" w14:textId="77777777">
        <w:tc>
          <w:tcPr>
            <w:tcW w:w="2381" w:type="dxa"/>
            <w:tcBorders>
              <w:left w:val="single" w:sz="4" w:space="0" w:color="1E2330"/>
              <w:bottom w:val="single" w:sz="4" w:space="0" w:color="2A3045"/>
              <w:right w:val="single" w:sz="4" w:space="0" w:color="1E2330"/>
            </w:tcBorders>
          </w:tcPr>
          <w:p w14:paraId="0EEF921C" w14:textId="77777777" w:rsidR="00467066" w:rsidRDefault="00000000">
            <w:pPr>
              <w:spacing w:before="60" w:after="60"/>
            </w:pPr>
            <w:r>
              <w:rPr>
                <w:sz w:val="18"/>
              </w:rPr>
              <w:t>Impact Charts</w:t>
            </w:r>
          </w:p>
        </w:tc>
        <w:tc>
          <w:tcPr>
            <w:tcW w:w="7880" w:type="dxa"/>
            <w:tcBorders>
              <w:left w:val="single" w:sz="4" w:space="0" w:color="1E2330"/>
              <w:bottom w:val="single" w:sz="4" w:space="0" w:color="2A3045"/>
              <w:right w:val="single" w:sz="4" w:space="0" w:color="1E2330"/>
            </w:tcBorders>
          </w:tcPr>
          <w:p w14:paraId="17C4FAAA" w14:textId="77777777" w:rsidR="00467066" w:rsidRDefault="00000000">
            <w:pPr>
              <w:spacing w:before="60" w:after="60"/>
            </w:pPr>
            <w:r>
              <w:rPr>
                <w:sz w:val="18"/>
              </w:rPr>
              <w:t>Estimated return impact on 10 equity indices and 8 commodity futures via OLS beta propagation.</w:t>
            </w:r>
          </w:p>
        </w:tc>
      </w:tr>
      <w:tr w:rsidR="00467066" w14:paraId="6AA36A76" w14:textId="77777777">
        <w:tc>
          <w:tcPr>
            <w:tcW w:w="2381" w:type="dxa"/>
            <w:tcBorders>
              <w:left w:val="single" w:sz="4" w:space="0" w:color="1E2330"/>
              <w:bottom w:val="single" w:sz="4" w:space="0" w:color="2A3045"/>
              <w:right w:val="single" w:sz="4" w:space="0" w:color="1E2330"/>
            </w:tcBorders>
            <w:shd w:val="clear" w:color="auto" w:fill="161B27"/>
          </w:tcPr>
          <w:p w14:paraId="41AB1223" w14:textId="77777777" w:rsidR="00467066" w:rsidRDefault="00000000">
            <w:pPr>
              <w:spacing w:before="60" w:after="60"/>
            </w:pPr>
            <w:r>
              <w:rPr>
                <w:sz w:val="18"/>
              </w:rPr>
              <w:t>VaR / ES Table</w:t>
            </w:r>
          </w:p>
        </w:tc>
        <w:tc>
          <w:tcPr>
            <w:tcW w:w="7880" w:type="dxa"/>
            <w:tcBorders>
              <w:left w:val="single" w:sz="4" w:space="0" w:color="1E2330"/>
              <w:bottom w:val="single" w:sz="4" w:space="0" w:color="2A3045"/>
              <w:right w:val="single" w:sz="4" w:space="0" w:color="1E2330"/>
            </w:tcBorders>
            <w:shd w:val="clear" w:color="auto" w:fill="161B27"/>
          </w:tcPr>
          <w:p w14:paraId="5AE3A7A6" w14:textId="77777777" w:rsidR="00467066" w:rsidRDefault="00000000">
            <w:pPr>
              <w:spacing w:before="60" w:after="60"/>
            </w:pPr>
            <w:r>
              <w:rPr>
                <w:sz w:val="18"/>
              </w:rPr>
              <w:t>Historical and shocked VaR at 95% and 99% confidence. Expected Shortfall at 95% and 99%.</w:t>
            </w:r>
          </w:p>
        </w:tc>
      </w:tr>
    </w:tbl>
    <w:p w14:paraId="1A3824EF" w14:textId="77777777" w:rsidR="00467066" w:rsidRDefault="00467066">
      <w:pPr>
        <w:spacing w:after="0"/>
      </w:pPr>
    </w:p>
    <w:tbl>
      <w:tblPr>
        <w:tblW w:w="0" w:type="auto"/>
        <w:tblLook w:val="04A0" w:firstRow="1" w:lastRow="0" w:firstColumn="1" w:lastColumn="0" w:noHBand="0" w:noVBand="1"/>
      </w:tblPr>
      <w:tblGrid>
        <w:gridCol w:w="8784"/>
      </w:tblGrid>
      <w:tr w:rsidR="00467066" w14:paraId="7327802D"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76EDA629" w14:textId="77777777" w:rsidR="00467066" w:rsidRDefault="00000000">
            <w:pPr>
              <w:spacing w:before="80" w:after="40"/>
            </w:pPr>
            <w:r>
              <w:rPr>
                <w:b/>
                <w:color w:val="C9A84C"/>
                <w:sz w:val="16"/>
              </w:rPr>
              <w:t>INTERPRETATION</w:t>
            </w:r>
          </w:p>
          <w:p w14:paraId="160C5BB9" w14:textId="77777777" w:rsidR="00467066" w:rsidRDefault="00000000">
            <w:pPr>
              <w:spacing w:after="80"/>
              <w:jc w:val="both"/>
            </w:pPr>
            <w:r>
              <w:rPr>
                <w:sz w:val="19"/>
              </w:rPr>
              <w:t>The OLS beta propagation model uses historical covariance. Results should be treated as order-of-magnitude estimates. ES is the more conservative measure — it captures average loss in the tail beyond VaR.</w:t>
            </w:r>
          </w:p>
        </w:tc>
      </w:tr>
    </w:tbl>
    <w:p w14:paraId="4D6D327C" w14:textId="77777777" w:rsidR="00467066" w:rsidRDefault="00467066">
      <w:pPr>
        <w:spacing w:after="0"/>
      </w:pPr>
    </w:p>
    <w:p w14:paraId="7136ADB7" w14:textId="77777777" w:rsidR="00467066" w:rsidRDefault="00467066">
      <w:pPr>
        <w:spacing w:after="0"/>
      </w:pPr>
    </w:p>
    <w:p w14:paraId="59B32A2F" w14:textId="77777777" w:rsidR="00467066" w:rsidRDefault="00000000">
      <w:pPr>
        <w:keepNext/>
        <w:spacing w:before="160" w:after="40"/>
      </w:pPr>
      <w:r>
        <w:rPr>
          <w:b/>
          <w:color w:val="FFFFFF"/>
        </w:rPr>
        <w:t>Commodities to Watch</w:t>
      </w:r>
    </w:p>
    <w:p w14:paraId="49662BB5" w14:textId="77777777" w:rsidR="00467066" w:rsidRDefault="00000000">
      <w:pPr>
        <w:spacing w:after="80"/>
        <w:jc w:val="both"/>
      </w:pPr>
      <w:r>
        <w:rPr>
          <w:i/>
          <w:color w:val="8890A1"/>
          <w:sz w:val="19"/>
        </w:rPr>
        <w:t>Live commodity watchlist with intraday, daily, and COT positioning views.</w:t>
      </w:r>
    </w:p>
    <w:tbl>
      <w:tblPr>
        <w:tblStyle w:val="TableGrid"/>
        <w:tblW w:w="0" w:type="auto"/>
        <w:tblLook w:val="04A0" w:firstRow="1" w:lastRow="0" w:firstColumn="1" w:lastColumn="0" w:noHBand="0" w:noVBand="1"/>
      </w:tblPr>
      <w:tblGrid>
        <w:gridCol w:w="2223"/>
        <w:gridCol w:w="7065"/>
      </w:tblGrid>
      <w:tr w:rsidR="00467066" w14:paraId="7184DB38"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6FA7A866"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0DF4559B" w14:textId="77777777" w:rsidR="00467066" w:rsidRDefault="00000000">
            <w:pPr>
              <w:spacing w:before="60" w:after="60"/>
            </w:pPr>
            <w:r>
              <w:rPr>
                <w:b/>
                <w:color w:val="FFFFFF"/>
                <w:sz w:val="18"/>
              </w:rPr>
              <w:t>Description</w:t>
            </w:r>
          </w:p>
        </w:tc>
      </w:tr>
      <w:tr w:rsidR="00467066" w14:paraId="4E794F2F" w14:textId="77777777">
        <w:tc>
          <w:tcPr>
            <w:tcW w:w="2381" w:type="dxa"/>
            <w:tcBorders>
              <w:left w:val="single" w:sz="4" w:space="0" w:color="1E2330"/>
              <w:bottom w:val="single" w:sz="4" w:space="0" w:color="2A3045"/>
              <w:right w:val="single" w:sz="4" w:space="0" w:color="1E2330"/>
            </w:tcBorders>
          </w:tcPr>
          <w:p w14:paraId="10DAF13A" w14:textId="77777777" w:rsidR="00467066" w:rsidRDefault="00000000">
            <w:pPr>
              <w:spacing w:before="60" w:after="60"/>
            </w:pPr>
            <w:r>
              <w:rPr>
                <w:sz w:val="18"/>
              </w:rPr>
              <w:t>Live Snapshot Table</w:t>
            </w:r>
          </w:p>
        </w:tc>
        <w:tc>
          <w:tcPr>
            <w:tcW w:w="7880" w:type="dxa"/>
            <w:tcBorders>
              <w:left w:val="single" w:sz="4" w:space="0" w:color="1E2330"/>
              <w:bottom w:val="single" w:sz="4" w:space="0" w:color="2A3045"/>
              <w:right w:val="single" w:sz="4" w:space="0" w:color="1E2330"/>
            </w:tcBorders>
          </w:tcPr>
          <w:p w14:paraId="3A64F78A" w14:textId="77777777" w:rsidR="00467066" w:rsidRDefault="00000000">
            <w:pPr>
              <w:spacing w:before="60" w:after="60"/>
            </w:pPr>
            <w:r>
              <w:rPr>
                <w:sz w:val="18"/>
              </w:rPr>
              <w:t>All 17 futures: price, 1D%, 5D%, YTD%, annualised vol, regime label.</w:t>
            </w:r>
          </w:p>
        </w:tc>
      </w:tr>
      <w:tr w:rsidR="00467066" w14:paraId="13B02384" w14:textId="77777777">
        <w:tc>
          <w:tcPr>
            <w:tcW w:w="2381" w:type="dxa"/>
            <w:tcBorders>
              <w:left w:val="single" w:sz="4" w:space="0" w:color="1E2330"/>
              <w:bottom w:val="single" w:sz="4" w:space="0" w:color="2A3045"/>
              <w:right w:val="single" w:sz="4" w:space="0" w:color="1E2330"/>
            </w:tcBorders>
            <w:shd w:val="clear" w:color="auto" w:fill="161B27"/>
          </w:tcPr>
          <w:p w14:paraId="1EDFA70D" w14:textId="77777777" w:rsidR="00467066" w:rsidRDefault="00000000">
            <w:pPr>
              <w:spacing w:before="60" w:after="60"/>
            </w:pPr>
            <w:r>
              <w:rPr>
                <w:sz w:val="18"/>
              </w:rPr>
              <w:t>Intraday Charts</w:t>
            </w:r>
          </w:p>
        </w:tc>
        <w:tc>
          <w:tcPr>
            <w:tcW w:w="7880" w:type="dxa"/>
            <w:tcBorders>
              <w:left w:val="single" w:sz="4" w:space="0" w:color="1E2330"/>
              <w:bottom w:val="single" w:sz="4" w:space="0" w:color="2A3045"/>
              <w:right w:val="single" w:sz="4" w:space="0" w:color="1E2330"/>
            </w:tcBorders>
            <w:shd w:val="clear" w:color="auto" w:fill="161B27"/>
          </w:tcPr>
          <w:p w14:paraId="0518638F" w14:textId="77777777" w:rsidR="00467066" w:rsidRDefault="00000000">
            <w:pPr>
              <w:spacing w:before="60" w:after="60"/>
            </w:pPr>
            <w:r>
              <w:rPr>
                <w:sz w:val="18"/>
              </w:rPr>
              <w:t>Selected commodities indexed to 100 at lookback start. Rolling 24-hour annualised vol chart. Elevated threshold: 40% annualised.</w:t>
            </w:r>
          </w:p>
        </w:tc>
      </w:tr>
      <w:tr w:rsidR="00467066" w14:paraId="71A83BBC" w14:textId="77777777">
        <w:tc>
          <w:tcPr>
            <w:tcW w:w="2381" w:type="dxa"/>
            <w:tcBorders>
              <w:left w:val="single" w:sz="4" w:space="0" w:color="1E2330"/>
              <w:bottom w:val="single" w:sz="4" w:space="0" w:color="2A3045"/>
              <w:right w:val="single" w:sz="4" w:space="0" w:color="1E2330"/>
            </w:tcBorders>
          </w:tcPr>
          <w:p w14:paraId="674F4C21" w14:textId="77777777" w:rsidR="00467066" w:rsidRDefault="00000000">
            <w:pPr>
              <w:spacing w:before="60" w:after="60"/>
            </w:pPr>
            <w:r>
              <w:rPr>
                <w:sz w:val="18"/>
              </w:rPr>
              <w:t>Daily Chart</w:t>
            </w:r>
          </w:p>
        </w:tc>
        <w:tc>
          <w:tcPr>
            <w:tcW w:w="7880" w:type="dxa"/>
            <w:tcBorders>
              <w:left w:val="single" w:sz="4" w:space="0" w:color="1E2330"/>
              <w:bottom w:val="single" w:sz="4" w:space="0" w:color="2A3045"/>
              <w:right w:val="single" w:sz="4" w:space="0" w:color="1E2330"/>
            </w:tcBorders>
          </w:tcPr>
          <w:p w14:paraId="68286B46" w14:textId="77777777" w:rsidR="00467066" w:rsidRDefault="00000000">
            <w:pPr>
              <w:spacing w:before="60" w:after="60"/>
            </w:pPr>
            <w:r>
              <w:rPr>
                <w:sz w:val="18"/>
              </w:rPr>
              <w:t>Indexed daily prices with geopolitical event bands overlaid. Rolling 30-day vol.</w:t>
            </w:r>
          </w:p>
        </w:tc>
      </w:tr>
      <w:tr w:rsidR="00467066" w14:paraId="6080F19E" w14:textId="77777777">
        <w:tc>
          <w:tcPr>
            <w:tcW w:w="2381" w:type="dxa"/>
            <w:tcBorders>
              <w:left w:val="single" w:sz="4" w:space="0" w:color="1E2330"/>
              <w:bottom w:val="single" w:sz="4" w:space="0" w:color="2A3045"/>
              <w:right w:val="single" w:sz="4" w:space="0" w:color="1E2330"/>
            </w:tcBorders>
            <w:shd w:val="clear" w:color="auto" w:fill="161B27"/>
          </w:tcPr>
          <w:p w14:paraId="5E089D4C" w14:textId="77777777" w:rsidR="00467066" w:rsidRDefault="00000000">
            <w:pPr>
              <w:spacing w:before="60" w:after="60"/>
            </w:pPr>
            <w:r>
              <w:rPr>
                <w:sz w:val="18"/>
              </w:rPr>
              <w:t>COT Positioning</w:t>
            </w:r>
          </w:p>
        </w:tc>
        <w:tc>
          <w:tcPr>
            <w:tcW w:w="7880" w:type="dxa"/>
            <w:tcBorders>
              <w:left w:val="single" w:sz="4" w:space="0" w:color="1E2330"/>
              <w:bottom w:val="single" w:sz="4" w:space="0" w:color="2A3045"/>
              <w:right w:val="single" w:sz="4" w:space="0" w:color="1E2330"/>
            </w:tcBorders>
            <w:shd w:val="clear" w:color="auto" w:fill="161B27"/>
          </w:tcPr>
          <w:p w14:paraId="0B874C25" w14:textId="77777777" w:rsidR="00467066" w:rsidRDefault="00000000">
            <w:pPr>
              <w:spacing w:before="60" w:after="60"/>
            </w:pPr>
            <w:r>
              <w:rPr>
                <w:sz w:val="18"/>
              </w:rPr>
              <w:t>Net speculative positioning vs. commercial hedgers from CFTC Commitments of Traders data. Extremes table flags crowded positioning above +25% or below -25% of open interest.</w:t>
            </w:r>
          </w:p>
        </w:tc>
      </w:tr>
    </w:tbl>
    <w:p w14:paraId="4DC233DB" w14:textId="77777777" w:rsidR="00467066" w:rsidRDefault="00467066">
      <w:pPr>
        <w:spacing w:after="0"/>
      </w:pPr>
    </w:p>
    <w:tbl>
      <w:tblPr>
        <w:tblW w:w="0" w:type="auto"/>
        <w:tblLook w:val="04A0" w:firstRow="1" w:lastRow="0" w:firstColumn="1" w:lastColumn="0" w:noHBand="0" w:noVBand="1"/>
      </w:tblPr>
      <w:tblGrid>
        <w:gridCol w:w="8784"/>
      </w:tblGrid>
      <w:tr w:rsidR="00467066" w14:paraId="74DA7E5B"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2E4C4342" w14:textId="77777777" w:rsidR="00467066" w:rsidRDefault="00000000">
            <w:pPr>
              <w:spacing w:before="80" w:after="40"/>
            </w:pPr>
            <w:r>
              <w:rPr>
                <w:b/>
                <w:color w:val="C9A84C"/>
                <w:sz w:val="16"/>
              </w:rPr>
              <w:lastRenderedPageBreak/>
              <w:t>INTERPRETATION</w:t>
            </w:r>
          </w:p>
          <w:p w14:paraId="3EBD07A1" w14:textId="77777777" w:rsidR="00467066" w:rsidRDefault="00000000">
            <w:pPr>
              <w:spacing w:after="80"/>
              <w:jc w:val="both"/>
            </w:pPr>
            <w:r>
              <w:rPr>
                <w:sz w:val="19"/>
              </w:rPr>
              <w:t>The COT extreme signal is a contrarian indicator — extreme speculative longs historically precede corrections; extreme shorts precede rallies. Most reliable in Elevated and Crisis regimes.</w:t>
            </w:r>
          </w:p>
        </w:tc>
      </w:tr>
    </w:tbl>
    <w:p w14:paraId="7D2E6536" w14:textId="77777777" w:rsidR="00467066" w:rsidRDefault="00467066">
      <w:pPr>
        <w:spacing w:after="0"/>
      </w:pPr>
    </w:p>
    <w:p w14:paraId="77EDC811" w14:textId="77777777" w:rsidR="00467066" w:rsidRDefault="00467066">
      <w:pPr>
        <w:spacing w:after="0"/>
      </w:pPr>
    </w:p>
    <w:p w14:paraId="78213353" w14:textId="77777777" w:rsidR="00467066" w:rsidRDefault="00000000">
      <w:pPr>
        <w:keepNext/>
        <w:spacing w:before="160" w:after="40"/>
      </w:pPr>
      <w:r>
        <w:rPr>
          <w:b/>
          <w:color w:val="FFFFFF"/>
        </w:rPr>
        <w:t>Strait Watch</w:t>
      </w:r>
    </w:p>
    <w:p w14:paraId="2CBB00CC" w14:textId="77777777" w:rsidR="00467066" w:rsidRDefault="00000000">
      <w:pPr>
        <w:spacing w:after="80"/>
        <w:jc w:val="both"/>
      </w:pPr>
      <w:r>
        <w:rPr>
          <w:i/>
          <w:color w:val="8890A1"/>
          <w:sz w:val="19"/>
        </w:rPr>
        <w:t>Real-time disruption monitoring for six critical maritime chokepoints.</w:t>
      </w:r>
    </w:p>
    <w:tbl>
      <w:tblPr>
        <w:tblStyle w:val="TableGrid"/>
        <w:tblW w:w="0" w:type="auto"/>
        <w:tblLook w:val="04A0" w:firstRow="1" w:lastRow="0" w:firstColumn="1" w:lastColumn="0" w:noHBand="0" w:noVBand="1"/>
      </w:tblPr>
      <w:tblGrid>
        <w:gridCol w:w="2219"/>
        <w:gridCol w:w="7069"/>
      </w:tblGrid>
      <w:tr w:rsidR="00467066" w14:paraId="78EA0BD0"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1D1A5F83"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17CEF06C" w14:textId="77777777" w:rsidR="00467066" w:rsidRDefault="00000000">
            <w:pPr>
              <w:spacing w:before="60" w:after="60"/>
            </w:pPr>
            <w:r>
              <w:rPr>
                <w:b/>
                <w:color w:val="FFFFFF"/>
                <w:sz w:val="18"/>
              </w:rPr>
              <w:t>Description</w:t>
            </w:r>
          </w:p>
        </w:tc>
      </w:tr>
      <w:tr w:rsidR="00467066" w14:paraId="55F2F680" w14:textId="77777777">
        <w:tc>
          <w:tcPr>
            <w:tcW w:w="2381" w:type="dxa"/>
            <w:tcBorders>
              <w:left w:val="single" w:sz="4" w:space="0" w:color="1E2330"/>
              <w:bottom w:val="single" w:sz="4" w:space="0" w:color="2A3045"/>
              <w:right w:val="single" w:sz="4" w:space="0" w:color="1E2330"/>
            </w:tcBorders>
          </w:tcPr>
          <w:p w14:paraId="45D42DB0" w14:textId="77777777" w:rsidR="00467066" w:rsidRDefault="00000000">
            <w:pPr>
              <w:spacing w:before="60" w:after="60"/>
            </w:pPr>
            <w:r>
              <w:rPr>
                <w:sz w:val="18"/>
              </w:rPr>
              <w:t>Global KPI Strip</w:t>
            </w:r>
          </w:p>
        </w:tc>
        <w:tc>
          <w:tcPr>
            <w:tcW w:w="7880" w:type="dxa"/>
            <w:tcBorders>
              <w:left w:val="single" w:sz="4" w:space="0" w:color="1E2330"/>
              <w:bottom w:val="single" w:sz="4" w:space="0" w:color="2A3045"/>
              <w:right w:val="single" w:sz="4" w:space="0" w:color="1E2330"/>
            </w:tcBorders>
          </w:tcPr>
          <w:p w14:paraId="77E98DD4" w14:textId="77777777" w:rsidR="00467066" w:rsidRDefault="00000000">
            <w:pPr>
              <w:spacing w:before="60" w:after="60"/>
            </w:pPr>
            <w:r>
              <w:rPr>
                <w:sz w:val="18"/>
              </w:rPr>
              <w:t>Total oil at risk (mb/d), global percentage at risk, worst strait name, Critical/Elevated count.</w:t>
            </w:r>
          </w:p>
        </w:tc>
      </w:tr>
      <w:tr w:rsidR="00467066" w14:paraId="2EFBADCF" w14:textId="77777777">
        <w:tc>
          <w:tcPr>
            <w:tcW w:w="2381" w:type="dxa"/>
            <w:tcBorders>
              <w:left w:val="single" w:sz="4" w:space="0" w:color="1E2330"/>
              <w:bottom w:val="single" w:sz="4" w:space="0" w:color="2A3045"/>
              <w:right w:val="single" w:sz="4" w:space="0" w:color="1E2330"/>
            </w:tcBorders>
            <w:shd w:val="clear" w:color="auto" w:fill="161B27"/>
          </w:tcPr>
          <w:p w14:paraId="64E76956" w14:textId="77777777" w:rsidR="00467066" w:rsidRDefault="00000000">
            <w:pPr>
              <w:spacing w:before="60" w:after="60"/>
            </w:pPr>
            <w:r>
              <w:rPr>
                <w:sz w:val="18"/>
              </w:rPr>
              <w:t>Strait Cards</w:t>
            </w:r>
          </w:p>
        </w:tc>
        <w:tc>
          <w:tcPr>
            <w:tcW w:w="7880" w:type="dxa"/>
            <w:tcBorders>
              <w:left w:val="single" w:sz="4" w:space="0" w:color="1E2330"/>
              <w:bottom w:val="single" w:sz="4" w:space="0" w:color="2A3045"/>
              <w:right w:val="single" w:sz="4" w:space="0" w:color="1E2330"/>
            </w:tcBorders>
            <w:shd w:val="clear" w:color="auto" w:fill="161B27"/>
          </w:tcPr>
          <w:p w14:paraId="1CC0E41B" w14:textId="77777777" w:rsidR="00467066" w:rsidRDefault="00000000">
            <w:pPr>
              <w:spacing w:before="60" w:after="60"/>
            </w:pPr>
            <w:r>
              <w:rPr>
                <w:sz w:val="18"/>
              </w:rPr>
              <w:t>Per-strait: disruption score (0–100), vessel traffic vs. baseline, risk factors, commodity channels at risk, estimated daily trade value at risk.</w:t>
            </w:r>
          </w:p>
        </w:tc>
      </w:tr>
      <w:tr w:rsidR="00467066" w14:paraId="2CDA0BCF" w14:textId="77777777">
        <w:tc>
          <w:tcPr>
            <w:tcW w:w="2381" w:type="dxa"/>
            <w:tcBorders>
              <w:left w:val="single" w:sz="4" w:space="0" w:color="1E2330"/>
              <w:bottom w:val="single" w:sz="4" w:space="0" w:color="2A3045"/>
              <w:right w:val="single" w:sz="4" w:space="0" w:color="1E2330"/>
            </w:tcBorders>
          </w:tcPr>
          <w:p w14:paraId="0847BB6A" w14:textId="77777777" w:rsidR="00467066" w:rsidRDefault="00000000">
            <w:pPr>
              <w:spacing w:before="60" w:after="60"/>
            </w:pPr>
            <w:r>
              <w:rPr>
                <w:sz w:val="18"/>
              </w:rPr>
              <w:t>Status Levels</w:t>
            </w:r>
          </w:p>
        </w:tc>
        <w:tc>
          <w:tcPr>
            <w:tcW w:w="7880" w:type="dxa"/>
            <w:tcBorders>
              <w:left w:val="single" w:sz="4" w:space="0" w:color="1E2330"/>
              <w:bottom w:val="single" w:sz="4" w:space="0" w:color="2A3045"/>
              <w:right w:val="single" w:sz="4" w:space="0" w:color="1E2330"/>
            </w:tcBorders>
          </w:tcPr>
          <w:p w14:paraId="42ED837C" w14:textId="77777777" w:rsidR="00467066" w:rsidRDefault="00000000">
            <w:pPr>
              <w:spacing w:before="60" w:after="60"/>
            </w:pPr>
            <w:r>
              <w:rPr>
                <w:sz w:val="18"/>
              </w:rPr>
              <w:t>NORMAL (0–25), CAUTION (25–50), ELEVATED (50–75), CRITICAL (75–100).</w:t>
            </w:r>
          </w:p>
        </w:tc>
      </w:tr>
      <w:tr w:rsidR="00467066" w14:paraId="0DAE710E" w14:textId="77777777">
        <w:tc>
          <w:tcPr>
            <w:tcW w:w="2381" w:type="dxa"/>
            <w:tcBorders>
              <w:left w:val="single" w:sz="4" w:space="0" w:color="1E2330"/>
              <w:bottom w:val="single" w:sz="4" w:space="0" w:color="2A3045"/>
              <w:right w:val="single" w:sz="4" w:space="0" w:color="1E2330"/>
            </w:tcBorders>
            <w:shd w:val="clear" w:color="auto" w:fill="161B27"/>
          </w:tcPr>
          <w:p w14:paraId="4403BCEC" w14:textId="77777777" w:rsidR="00467066" w:rsidRDefault="00000000">
            <w:pPr>
              <w:spacing w:before="60" w:after="60"/>
            </w:pPr>
            <w:r>
              <w:rPr>
                <w:sz w:val="18"/>
              </w:rPr>
              <w:t>Commodity Price Context</w:t>
            </w:r>
          </w:p>
        </w:tc>
        <w:tc>
          <w:tcPr>
            <w:tcW w:w="7880" w:type="dxa"/>
            <w:tcBorders>
              <w:left w:val="single" w:sz="4" w:space="0" w:color="1E2330"/>
              <w:bottom w:val="single" w:sz="4" w:space="0" w:color="2A3045"/>
              <w:right w:val="single" w:sz="4" w:space="0" w:color="1E2330"/>
            </w:tcBorders>
            <w:shd w:val="clear" w:color="auto" w:fill="161B27"/>
          </w:tcPr>
          <w:p w14:paraId="5E737077" w14:textId="77777777" w:rsidR="00467066" w:rsidRDefault="00000000">
            <w:pPr>
              <w:spacing w:before="60" w:after="60"/>
            </w:pPr>
            <w:r>
              <w:rPr>
                <w:sz w:val="18"/>
              </w:rPr>
              <w:t>Brent crude price with disruption events marked. WTI-Brent spread as supply route risk premium indicator.</w:t>
            </w:r>
          </w:p>
        </w:tc>
      </w:tr>
    </w:tbl>
    <w:p w14:paraId="7833E82B" w14:textId="77777777" w:rsidR="00467066" w:rsidRDefault="00467066">
      <w:pPr>
        <w:spacing w:after="0"/>
      </w:pPr>
    </w:p>
    <w:tbl>
      <w:tblPr>
        <w:tblW w:w="0" w:type="auto"/>
        <w:tblLook w:val="04A0" w:firstRow="1" w:lastRow="0" w:firstColumn="1" w:lastColumn="0" w:noHBand="0" w:noVBand="1"/>
      </w:tblPr>
      <w:tblGrid>
        <w:gridCol w:w="8784"/>
      </w:tblGrid>
      <w:tr w:rsidR="00467066" w14:paraId="45FCF2E6"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7A5EC1C3" w14:textId="77777777" w:rsidR="00467066" w:rsidRDefault="00000000">
            <w:pPr>
              <w:spacing w:before="80" w:after="40"/>
            </w:pPr>
            <w:r>
              <w:rPr>
                <w:b/>
                <w:color w:val="C9A84C"/>
                <w:sz w:val="16"/>
              </w:rPr>
              <w:t>INTERPRETATION</w:t>
            </w:r>
          </w:p>
          <w:p w14:paraId="203C57B1" w14:textId="77777777" w:rsidR="00467066" w:rsidRDefault="00000000">
            <w:pPr>
              <w:spacing w:after="80"/>
              <w:jc w:val="both"/>
            </w:pPr>
            <w:r>
              <w:rPr>
                <w:sz w:val="19"/>
              </w:rPr>
              <w:t>CRITICAL status on Hormuz has historically correlated with Brent price spikes within 5–10 trading days. The WTI-Brent spread widening is a real-time market signal of perceived supply route risk. Cross-reference with OVX on Overview.</w:t>
            </w:r>
          </w:p>
        </w:tc>
      </w:tr>
    </w:tbl>
    <w:p w14:paraId="13FF33FB" w14:textId="77777777" w:rsidR="00467066" w:rsidRDefault="00467066">
      <w:pPr>
        <w:spacing w:after="0"/>
      </w:pPr>
    </w:p>
    <w:p w14:paraId="4079D02B" w14:textId="77777777" w:rsidR="00467066" w:rsidRDefault="00467066">
      <w:pPr>
        <w:spacing w:after="0"/>
      </w:pPr>
    </w:p>
    <w:p w14:paraId="1C33CD00" w14:textId="77777777" w:rsidR="00467066" w:rsidRDefault="00000000">
      <w:pPr>
        <w:keepNext/>
        <w:spacing w:before="160" w:after="40"/>
      </w:pPr>
      <w:r>
        <w:rPr>
          <w:b/>
          <w:color w:val="FFFFFF"/>
        </w:rPr>
        <w:t>Performance Review</w:t>
      </w:r>
    </w:p>
    <w:p w14:paraId="0A4C4881" w14:textId="77777777" w:rsidR="00467066" w:rsidRDefault="00000000">
      <w:pPr>
        <w:spacing w:after="80"/>
        <w:jc w:val="both"/>
      </w:pPr>
      <w:r>
        <w:rPr>
          <w:i/>
          <w:color w:val="8890A1"/>
          <w:sz w:val="19"/>
        </w:rPr>
        <w:t>Model validation and signal accuracy metrics, all computed out-of-sample.</w:t>
      </w:r>
    </w:p>
    <w:tbl>
      <w:tblPr>
        <w:tblStyle w:val="TableGrid"/>
        <w:tblW w:w="0" w:type="auto"/>
        <w:tblLook w:val="04A0" w:firstRow="1" w:lastRow="0" w:firstColumn="1" w:lastColumn="0" w:noHBand="0" w:noVBand="1"/>
      </w:tblPr>
      <w:tblGrid>
        <w:gridCol w:w="2226"/>
        <w:gridCol w:w="7062"/>
      </w:tblGrid>
      <w:tr w:rsidR="00467066" w14:paraId="3E7495D1"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2B8625A0"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545E3DC5" w14:textId="77777777" w:rsidR="00467066" w:rsidRDefault="00000000">
            <w:pPr>
              <w:spacing w:before="60" w:after="60"/>
            </w:pPr>
            <w:r>
              <w:rPr>
                <w:b/>
                <w:color w:val="FFFFFF"/>
                <w:sz w:val="18"/>
              </w:rPr>
              <w:t>Description</w:t>
            </w:r>
          </w:p>
        </w:tc>
      </w:tr>
      <w:tr w:rsidR="00467066" w14:paraId="351939ED" w14:textId="77777777">
        <w:tc>
          <w:tcPr>
            <w:tcW w:w="2381" w:type="dxa"/>
            <w:tcBorders>
              <w:left w:val="single" w:sz="4" w:space="0" w:color="1E2330"/>
              <w:bottom w:val="single" w:sz="4" w:space="0" w:color="2A3045"/>
              <w:right w:val="single" w:sz="4" w:space="0" w:color="1E2330"/>
            </w:tcBorders>
          </w:tcPr>
          <w:p w14:paraId="19A4584E" w14:textId="77777777" w:rsidR="00467066" w:rsidRDefault="00000000">
            <w:pPr>
              <w:spacing w:before="60" w:after="60"/>
            </w:pPr>
            <w:r>
              <w:rPr>
                <w:sz w:val="18"/>
              </w:rPr>
              <w:t>Regime Detection</w:t>
            </w:r>
          </w:p>
        </w:tc>
        <w:tc>
          <w:tcPr>
            <w:tcW w:w="7880" w:type="dxa"/>
            <w:tcBorders>
              <w:left w:val="single" w:sz="4" w:space="0" w:color="1E2330"/>
              <w:bottom w:val="single" w:sz="4" w:space="0" w:color="2A3045"/>
              <w:right w:val="single" w:sz="4" w:space="0" w:color="1E2330"/>
            </w:tcBorders>
          </w:tcPr>
          <w:p w14:paraId="50DC78F5" w14:textId="77777777" w:rsidR="00467066" w:rsidRDefault="00000000">
            <w:pPr>
              <w:spacing w:before="60" w:after="60"/>
            </w:pPr>
            <w:r>
              <w:rPr>
                <w:sz w:val="18"/>
              </w:rPr>
              <w:t>Confusion matrix, balanced accuracy, precision, recall, F1 score, and AUC for rule-based and ML walk-forward classifiers.</w:t>
            </w:r>
          </w:p>
        </w:tc>
      </w:tr>
      <w:tr w:rsidR="00467066" w14:paraId="4193360D" w14:textId="77777777">
        <w:tc>
          <w:tcPr>
            <w:tcW w:w="2381" w:type="dxa"/>
            <w:tcBorders>
              <w:left w:val="single" w:sz="4" w:space="0" w:color="1E2330"/>
              <w:bottom w:val="single" w:sz="4" w:space="0" w:color="2A3045"/>
              <w:right w:val="single" w:sz="4" w:space="0" w:color="1E2330"/>
            </w:tcBorders>
            <w:shd w:val="clear" w:color="auto" w:fill="161B27"/>
          </w:tcPr>
          <w:p w14:paraId="23D01AA8" w14:textId="77777777" w:rsidR="00467066" w:rsidRDefault="00000000">
            <w:pPr>
              <w:spacing w:before="60" w:after="60"/>
            </w:pPr>
            <w:r>
              <w:rPr>
                <w:sz w:val="18"/>
              </w:rPr>
              <w:t>Granger Hit Rates</w:t>
            </w:r>
          </w:p>
        </w:tc>
        <w:tc>
          <w:tcPr>
            <w:tcW w:w="7880" w:type="dxa"/>
            <w:tcBorders>
              <w:left w:val="single" w:sz="4" w:space="0" w:color="1E2330"/>
              <w:bottom w:val="single" w:sz="4" w:space="0" w:color="2A3045"/>
              <w:right w:val="single" w:sz="4" w:space="0" w:color="1E2330"/>
            </w:tcBorders>
            <w:shd w:val="clear" w:color="auto" w:fill="161B27"/>
          </w:tcPr>
          <w:p w14:paraId="019B658B" w14:textId="77777777" w:rsidR="00467066" w:rsidRDefault="00000000">
            <w:pPr>
              <w:spacing w:before="60" w:after="60"/>
            </w:pPr>
            <w:r>
              <w:rPr>
                <w:sz w:val="18"/>
              </w:rPr>
              <w:t>Directional accuracy per significant asset pair. 'Edge' column shows hit rate minus 50% (positive edge = predictive value).</w:t>
            </w:r>
          </w:p>
        </w:tc>
      </w:tr>
      <w:tr w:rsidR="00467066" w14:paraId="44E274C5" w14:textId="77777777">
        <w:tc>
          <w:tcPr>
            <w:tcW w:w="2381" w:type="dxa"/>
            <w:tcBorders>
              <w:left w:val="single" w:sz="4" w:space="0" w:color="1E2330"/>
              <w:bottom w:val="single" w:sz="4" w:space="0" w:color="2A3045"/>
              <w:right w:val="single" w:sz="4" w:space="0" w:color="1E2330"/>
            </w:tcBorders>
          </w:tcPr>
          <w:p w14:paraId="478D5F2C" w14:textId="77777777" w:rsidR="00467066" w:rsidRDefault="00000000">
            <w:pPr>
              <w:spacing w:before="60" w:after="60"/>
            </w:pPr>
            <w:r>
              <w:rPr>
                <w:sz w:val="18"/>
              </w:rPr>
              <w:t>EWS Lead-Lag</w:t>
            </w:r>
          </w:p>
        </w:tc>
        <w:tc>
          <w:tcPr>
            <w:tcW w:w="7880" w:type="dxa"/>
            <w:tcBorders>
              <w:left w:val="single" w:sz="4" w:space="0" w:color="1E2330"/>
              <w:bottom w:val="single" w:sz="4" w:space="0" w:color="2A3045"/>
              <w:right w:val="single" w:sz="4" w:space="0" w:color="1E2330"/>
            </w:tcBorders>
          </w:tcPr>
          <w:p w14:paraId="1589071C" w14:textId="77777777" w:rsidR="00467066" w:rsidRDefault="00000000">
            <w:pPr>
              <w:spacing w:before="60" w:after="60"/>
            </w:pPr>
            <w:r>
              <w:rPr>
                <w:sz w:val="18"/>
              </w:rPr>
              <w:t>Correlation between composite risk score and VIX at lags of 0–20 days. Peak lag identifies the average lead time of the EWS over realised equity volatility.</w:t>
            </w:r>
          </w:p>
        </w:tc>
      </w:tr>
      <w:tr w:rsidR="00467066" w14:paraId="6CD259FE" w14:textId="77777777">
        <w:tc>
          <w:tcPr>
            <w:tcW w:w="2381" w:type="dxa"/>
            <w:tcBorders>
              <w:left w:val="single" w:sz="4" w:space="0" w:color="1E2330"/>
              <w:bottom w:val="single" w:sz="4" w:space="0" w:color="2A3045"/>
              <w:right w:val="single" w:sz="4" w:space="0" w:color="1E2330"/>
            </w:tcBorders>
            <w:shd w:val="clear" w:color="auto" w:fill="161B27"/>
          </w:tcPr>
          <w:p w14:paraId="3EA67ADD" w14:textId="77777777" w:rsidR="00467066" w:rsidRDefault="00000000">
            <w:pPr>
              <w:spacing w:before="60" w:after="60"/>
            </w:pPr>
            <w:r>
              <w:rPr>
                <w:sz w:val="18"/>
              </w:rPr>
              <w:t>COT Contrarian Signals</w:t>
            </w:r>
          </w:p>
        </w:tc>
        <w:tc>
          <w:tcPr>
            <w:tcW w:w="7880" w:type="dxa"/>
            <w:tcBorders>
              <w:left w:val="single" w:sz="4" w:space="0" w:color="1E2330"/>
              <w:bottom w:val="single" w:sz="4" w:space="0" w:color="2A3045"/>
              <w:right w:val="single" w:sz="4" w:space="0" w:color="1E2330"/>
            </w:tcBorders>
            <w:shd w:val="clear" w:color="auto" w:fill="161B27"/>
          </w:tcPr>
          <w:p w14:paraId="13C44D33" w14:textId="77777777" w:rsidR="00467066" w:rsidRDefault="00000000">
            <w:pPr>
              <w:spacing w:before="60" w:after="60"/>
            </w:pPr>
            <w:r>
              <w:rPr>
                <w:sz w:val="18"/>
              </w:rPr>
              <w:t>Win rate, mean reversion days, and average drawdown per commodity for COT extreme positioning signals.</w:t>
            </w:r>
          </w:p>
        </w:tc>
      </w:tr>
    </w:tbl>
    <w:p w14:paraId="5CD35584" w14:textId="77777777" w:rsidR="00467066" w:rsidRDefault="00467066">
      <w:pPr>
        <w:spacing w:after="0"/>
      </w:pPr>
    </w:p>
    <w:tbl>
      <w:tblPr>
        <w:tblW w:w="0" w:type="auto"/>
        <w:tblLook w:val="04A0" w:firstRow="1" w:lastRow="0" w:firstColumn="1" w:lastColumn="0" w:noHBand="0" w:noVBand="1"/>
      </w:tblPr>
      <w:tblGrid>
        <w:gridCol w:w="8784"/>
      </w:tblGrid>
      <w:tr w:rsidR="00467066" w14:paraId="6AA4CBCB"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3284868A" w14:textId="77777777" w:rsidR="00467066" w:rsidRDefault="00000000">
            <w:pPr>
              <w:spacing w:before="80" w:after="40"/>
            </w:pPr>
            <w:r>
              <w:rPr>
                <w:b/>
                <w:color w:val="C9A84C"/>
                <w:sz w:val="16"/>
              </w:rPr>
              <w:t>INTERPRETATION</w:t>
            </w:r>
          </w:p>
          <w:p w14:paraId="212A30F4" w14:textId="77777777" w:rsidR="00467066" w:rsidRDefault="00000000">
            <w:pPr>
              <w:spacing w:after="80"/>
              <w:jc w:val="both"/>
            </w:pPr>
            <w:r>
              <w:rPr>
                <w:sz w:val="19"/>
              </w:rPr>
              <w:t>Only Granger pairs with positive edge are used to generate trade ideas. The EWS lead-lag peak (typically 5–7 days) provides the operating horizon for acting on elevated early warning scores.</w:t>
            </w:r>
          </w:p>
        </w:tc>
      </w:tr>
    </w:tbl>
    <w:p w14:paraId="4F2B0BB4" w14:textId="77777777" w:rsidR="00467066" w:rsidRDefault="00467066">
      <w:pPr>
        <w:spacing w:after="0"/>
      </w:pPr>
    </w:p>
    <w:p w14:paraId="416CD3E1" w14:textId="77777777" w:rsidR="00467066" w:rsidRDefault="00467066">
      <w:pPr>
        <w:spacing w:after="0"/>
      </w:pPr>
    </w:p>
    <w:p w14:paraId="07093044" w14:textId="77777777" w:rsidR="00467066" w:rsidRDefault="00000000">
      <w:pPr>
        <w:keepNext/>
        <w:spacing w:before="160" w:after="40"/>
      </w:pPr>
      <w:r>
        <w:rPr>
          <w:b/>
          <w:color w:val="FFFFFF"/>
        </w:rPr>
        <w:t>AI Analyst</w:t>
      </w:r>
    </w:p>
    <w:p w14:paraId="068D45CC" w14:textId="77777777" w:rsidR="00467066" w:rsidRDefault="00000000">
      <w:pPr>
        <w:spacing w:after="80"/>
        <w:jc w:val="both"/>
      </w:pPr>
      <w:r>
        <w:rPr>
          <w:i/>
          <w:color w:val="8890A1"/>
          <w:sz w:val="19"/>
        </w:rPr>
        <w:t>Claude Sonnet / GPT-4o chatbot with full live dashboard state injected into every query.</w:t>
      </w:r>
    </w:p>
    <w:tbl>
      <w:tblPr>
        <w:tblStyle w:val="TableGrid"/>
        <w:tblW w:w="0" w:type="auto"/>
        <w:tblLook w:val="04A0" w:firstRow="1" w:lastRow="0" w:firstColumn="1" w:lastColumn="0" w:noHBand="0" w:noVBand="1"/>
      </w:tblPr>
      <w:tblGrid>
        <w:gridCol w:w="2222"/>
        <w:gridCol w:w="7066"/>
      </w:tblGrid>
      <w:tr w:rsidR="00467066" w14:paraId="7161A9A4"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74BB5336"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51742FFC" w14:textId="77777777" w:rsidR="00467066" w:rsidRDefault="00000000">
            <w:pPr>
              <w:spacing w:before="60" w:after="60"/>
            </w:pPr>
            <w:r>
              <w:rPr>
                <w:b/>
                <w:color w:val="FFFFFF"/>
                <w:sz w:val="18"/>
              </w:rPr>
              <w:t>Description</w:t>
            </w:r>
          </w:p>
        </w:tc>
      </w:tr>
      <w:tr w:rsidR="00467066" w14:paraId="3BA7D349" w14:textId="77777777">
        <w:tc>
          <w:tcPr>
            <w:tcW w:w="2381" w:type="dxa"/>
            <w:tcBorders>
              <w:left w:val="single" w:sz="4" w:space="0" w:color="1E2330"/>
              <w:bottom w:val="single" w:sz="4" w:space="0" w:color="2A3045"/>
              <w:right w:val="single" w:sz="4" w:space="0" w:color="1E2330"/>
            </w:tcBorders>
          </w:tcPr>
          <w:p w14:paraId="4AB5E347" w14:textId="77777777" w:rsidR="00467066" w:rsidRDefault="00000000">
            <w:pPr>
              <w:spacing w:before="60" w:after="60"/>
            </w:pPr>
            <w:r>
              <w:rPr>
                <w:sz w:val="18"/>
              </w:rPr>
              <w:t>Context Status Bar</w:t>
            </w:r>
          </w:p>
        </w:tc>
        <w:tc>
          <w:tcPr>
            <w:tcW w:w="7880" w:type="dxa"/>
            <w:tcBorders>
              <w:left w:val="single" w:sz="4" w:space="0" w:color="1E2330"/>
              <w:bottom w:val="single" w:sz="4" w:space="0" w:color="2A3045"/>
              <w:right w:val="single" w:sz="4" w:space="0" w:color="1E2330"/>
            </w:tcBorders>
          </w:tcPr>
          <w:p w14:paraId="3EDCE772" w14:textId="77777777" w:rsidR="00467066" w:rsidRDefault="00000000">
            <w:pPr>
              <w:spacing w:before="60" w:after="60"/>
            </w:pPr>
            <w:r>
              <w:rPr>
                <w:sz w:val="18"/>
              </w:rPr>
              <w:t>Shows age of injected market context. 'Refresh context' button forces a live update.</w:t>
            </w:r>
          </w:p>
        </w:tc>
      </w:tr>
      <w:tr w:rsidR="00467066" w14:paraId="5FD12403" w14:textId="77777777">
        <w:tc>
          <w:tcPr>
            <w:tcW w:w="2381" w:type="dxa"/>
            <w:tcBorders>
              <w:left w:val="single" w:sz="4" w:space="0" w:color="1E2330"/>
              <w:bottom w:val="single" w:sz="4" w:space="0" w:color="2A3045"/>
              <w:right w:val="single" w:sz="4" w:space="0" w:color="1E2330"/>
            </w:tcBorders>
            <w:shd w:val="clear" w:color="auto" w:fill="161B27"/>
          </w:tcPr>
          <w:p w14:paraId="30616D50" w14:textId="77777777" w:rsidR="00467066" w:rsidRDefault="00000000">
            <w:pPr>
              <w:spacing w:before="60" w:after="60"/>
            </w:pPr>
            <w:r>
              <w:rPr>
                <w:sz w:val="18"/>
              </w:rPr>
              <w:t>Suggested Questions</w:t>
            </w:r>
          </w:p>
        </w:tc>
        <w:tc>
          <w:tcPr>
            <w:tcW w:w="7880" w:type="dxa"/>
            <w:tcBorders>
              <w:left w:val="single" w:sz="4" w:space="0" w:color="1E2330"/>
              <w:bottom w:val="single" w:sz="4" w:space="0" w:color="2A3045"/>
              <w:right w:val="single" w:sz="4" w:space="0" w:color="1E2330"/>
            </w:tcBorders>
            <w:shd w:val="clear" w:color="auto" w:fill="161B27"/>
          </w:tcPr>
          <w:p w14:paraId="24AB6F14" w14:textId="77777777" w:rsidR="00467066" w:rsidRDefault="00000000">
            <w:pPr>
              <w:spacing w:before="60" w:after="60"/>
            </w:pPr>
            <w:r>
              <w:rPr>
                <w:sz w:val="18"/>
              </w:rPr>
              <w:t>Ten pre-built queries covering regime interpretation, spillover identification, hedge effectiveness, and scenario analysis.</w:t>
            </w:r>
          </w:p>
        </w:tc>
      </w:tr>
      <w:tr w:rsidR="00467066" w14:paraId="59C75A4D" w14:textId="77777777">
        <w:tc>
          <w:tcPr>
            <w:tcW w:w="2381" w:type="dxa"/>
            <w:tcBorders>
              <w:left w:val="single" w:sz="4" w:space="0" w:color="1E2330"/>
              <w:bottom w:val="single" w:sz="4" w:space="0" w:color="2A3045"/>
              <w:right w:val="single" w:sz="4" w:space="0" w:color="1E2330"/>
            </w:tcBorders>
          </w:tcPr>
          <w:p w14:paraId="755F6772" w14:textId="77777777" w:rsidR="00467066" w:rsidRDefault="00000000">
            <w:pPr>
              <w:spacing w:before="60" w:after="60"/>
            </w:pPr>
            <w:r>
              <w:rPr>
                <w:sz w:val="18"/>
              </w:rPr>
              <w:lastRenderedPageBreak/>
              <w:t>Chat Interface</w:t>
            </w:r>
          </w:p>
        </w:tc>
        <w:tc>
          <w:tcPr>
            <w:tcW w:w="7880" w:type="dxa"/>
            <w:tcBorders>
              <w:left w:val="single" w:sz="4" w:space="0" w:color="1E2330"/>
              <w:bottom w:val="single" w:sz="4" w:space="0" w:color="2A3045"/>
              <w:right w:val="single" w:sz="4" w:space="0" w:color="1E2330"/>
            </w:tcBorders>
          </w:tcPr>
          <w:p w14:paraId="681070E1" w14:textId="77777777" w:rsidR="00467066" w:rsidRDefault="00000000">
            <w:pPr>
              <w:spacing w:before="60" w:after="60"/>
            </w:pPr>
            <w:r>
              <w:rPr>
                <w:sz w:val="18"/>
              </w:rPr>
              <w:t>Free-form text input with real-time response streaming. Full conversation history maintained within session.</w:t>
            </w:r>
          </w:p>
        </w:tc>
      </w:tr>
      <w:tr w:rsidR="00467066" w14:paraId="7FA88666" w14:textId="77777777">
        <w:tc>
          <w:tcPr>
            <w:tcW w:w="2381" w:type="dxa"/>
            <w:tcBorders>
              <w:left w:val="single" w:sz="4" w:space="0" w:color="1E2330"/>
              <w:bottom w:val="single" w:sz="4" w:space="0" w:color="2A3045"/>
              <w:right w:val="single" w:sz="4" w:space="0" w:color="1E2330"/>
            </w:tcBorders>
            <w:shd w:val="clear" w:color="auto" w:fill="161B27"/>
          </w:tcPr>
          <w:p w14:paraId="4FE031C2" w14:textId="77777777" w:rsidR="00467066" w:rsidRDefault="00000000">
            <w:pPr>
              <w:spacing w:before="60" w:after="60"/>
            </w:pPr>
            <w:r>
              <w:rPr>
                <w:sz w:val="18"/>
              </w:rPr>
              <w:t>Context Inspector</w:t>
            </w:r>
          </w:p>
        </w:tc>
        <w:tc>
          <w:tcPr>
            <w:tcW w:w="7880" w:type="dxa"/>
            <w:tcBorders>
              <w:left w:val="single" w:sz="4" w:space="0" w:color="1E2330"/>
              <w:bottom w:val="single" w:sz="4" w:space="0" w:color="2A3045"/>
              <w:right w:val="single" w:sz="4" w:space="0" w:color="1E2330"/>
            </w:tcBorders>
            <w:shd w:val="clear" w:color="auto" w:fill="161B27"/>
          </w:tcPr>
          <w:p w14:paraId="66E1CDFE" w14:textId="77777777" w:rsidR="00467066" w:rsidRDefault="00000000">
            <w:pPr>
              <w:spacing w:before="60" w:after="60"/>
            </w:pPr>
            <w:r>
              <w:rPr>
                <w:sz w:val="18"/>
              </w:rPr>
              <w:t>Expandable panel showing the exact market state text injected into every query for full transparency.</w:t>
            </w:r>
          </w:p>
        </w:tc>
      </w:tr>
      <w:tr w:rsidR="00467066" w14:paraId="0037429F" w14:textId="77777777">
        <w:tc>
          <w:tcPr>
            <w:tcW w:w="2381" w:type="dxa"/>
            <w:tcBorders>
              <w:left w:val="single" w:sz="4" w:space="0" w:color="1E2330"/>
              <w:bottom w:val="single" w:sz="4" w:space="0" w:color="2A3045"/>
              <w:right w:val="single" w:sz="4" w:space="0" w:color="1E2330"/>
            </w:tcBorders>
          </w:tcPr>
          <w:p w14:paraId="7F39044A" w14:textId="77777777" w:rsidR="00467066" w:rsidRDefault="00000000">
            <w:pPr>
              <w:spacing w:before="60" w:after="60"/>
            </w:pPr>
            <w:r>
              <w:rPr>
                <w:sz w:val="18"/>
              </w:rPr>
              <w:t>Agent Activity Log</w:t>
            </w:r>
          </w:p>
        </w:tc>
        <w:tc>
          <w:tcPr>
            <w:tcW w:w="7880" w:type="dxa"/>
            <w:tcBorders>
              <w:left w:val="single" w:sz="4" w:space="0" w:color="1E2330"/>
              <w:bottom w:val="single" w:sz="4" w:space="0" w:color="2A3045"/>
              <w:right w:val="single" w:sz="4" w:space="0" w:color="1E2330"/>
            </w:tcBorders>
          </w:tcPr>
          <w:p w14:paraId="49669A38" w14:textId="77777777" w:rsidR="00467066" w:rsidRDefault="00000000">
            <w:pPr>
              <w:spacing w:before="60" w:after="60"/>
            </w:pPr>
            <w:r>
              <w:rPr>
                <w:sz w:val="18"/>
              </w:rPr>
              <w:t>Structured audit trail of every agent action, routing decision, and escalation from the current session.</w:t>
            </w:r>
          </w:p>
        </w:tc>
      </w:tr>
    </w:tbl>
    <w:p w14:paraId="63036CEE" w14:textId="77777777" w:rsidR="00467066" w:rsidRDefault="00467066">
      <w:pPr>
        <w:spacing w:after="0"/>
      </w:pPr>
    </w:p>
    <w:tbl>
      <w:tblPr>
        <w:tblW w:w="0" w:type="auto"/>
        <w:tblLook w:val="04A0" w:firstRow="1" w:lastRow="0" w:firstColumn="1" w:lastColumn="0" w:noHBand="0" w:noVBand="1"/>
      </w:tblPr>
      <w:tblGrid>
        <w:gridCol w:w="8784"/>
      </w:tblGrid>
      <w:tr w:rsidR="00467066" w14:paraId="67DC6A02"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1576D5E2" w14:textId="77777777" w:rsidR="00467066" w:rsidRDefault="00000000">
            <w:pPr>
              <w:spacing w:before="80" w:after="40"/>
            </w:pPr>
            <w:r>
              <w:rPr>
                <w:b/>
                <w:color w:val="C9A84C"/>
                <w:sz w:val="16"/>
              </w:rPr>
              <w:t>INTERPRETATION</w:t>
            </w:r>
          </w:p>
          <w:p w14:paraId="0AF804CA" w14:textId="77777777" w:rsidR="00467066" w:rsidRDefault="00000000">
            <w:pPr>
              <w:spacing w:after="80"/>
              <w:jc w:val="both"/>
            </w:pPr>
            <w:r>
              <w:rPr>
                <w:sz w:val="19"/>
              </w:rPr>
              <w:t>The AI Analyst's responses are grounded in injected dashboard state, not training data. The context inspector allows verification of what data the model used for any given response.</w:t>
            </w:r>
          </w:p>
        </w:tc>
      </w:tr>
    </w:tbl>
    <w:p w14:paraId="0DDBCA83" w14:textId="77777777" w:rsidR="00467066" w:rsidRDefault="00467066">
      <w:pPr>
        <w:spacing w:after="0"/>
      </w:pPr>
    </w:p>
    <w:p w14:paraId="43F4B9C3" w14:textId="77777777" w:rsidR="00467066" w:rsidRDefault="00467066">
      <w:pPr>
        <w:spacing w:after="0"/>
      </w:pPr>
    </w:p>
    <w:p w14:paraId="1E875432" w14:textId="77777777" w:rsidR="00467066" w:rsidRDefault="00000000">
      <w:pPr>
        <w:keepNext/>
        <w:spacing w:before="160" w:after="40"/>
      </w:pPr>
      <w:r>
        <w:rPr>
          <w:b/>
          <w:color w:val="FFFFFF"/>
        </w:rPr>
        <w:t>Insights</w:t>
      </w:r>
    </w:p>
    <w:p w14:paraId="48B5BA49" w14:textId="77777777" w:rsidR="00467066" w:rsidRDefault="00000000">
      <w:pPr>
        <w:spacing w:after="80"/>
        <w:jc w:val="both"/>
      </w:pPr>
      <w:r>
        <w:rPr>
          <w:i/>
          <w:color w:val="8890A1"/>
          <w:sz w:val="19"/>
        </w:rPr>
        <w:t>Plain-language verdicts synthesising all analytical layers into actionable one-sentence directives.</w:t>
      </w:r>
    </w:p>
    <w:tbl>
      <w:tblPr>
        <w:tblStyle w:val="TableGrid"/>
        <w:tblW w:w="0" w:type="auto"/>
        <w:tblLook w:val="04A0" w:firstRow="1" w:lastRow="0" w:firstColumn="1" w:lastColumn="0" w:noHBand="0" w:noVBand="1"/>
      </w:tblPr>
      <w:tblGrid>
        <w:gridCol w:w="2241"/>
        <w:gridCol w:w="7047"/>
      </w:tblGrid>
      <w:tr w:rsidR="00467066" w14:paraId="6A495473" w14:textId="77777777">
        <w:trPr>
          <w:tblHeader/>
        </w:trPr>
        <w:tc>
          <w:tcPr>
            <w:tcW w:w="238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7EB85E3A" w14:textId="77777777" w:rsidR="00467066" w:rsidRDefault="00000000">
            <w:pPr>
              <w:spacing w:before="60" w:after="60"/>
            </w:pPr>
            <w:r>
              <w:rPr>
                <w:b/>
                <w:color w:val="FFFFFF"/>
                <w:sz w:val="18"/>
              </w:rPr>
              <w:t>Component</w:t>
            </w:r>
          </w:p>
        </w:tc>
        <w:tc>
          <w:tcPr>
            <w:tcW w:w="788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0203E3DD" w14:textId="77777777" w:rsidR="00467066" w:rsidRDefault="00000000">
            <w:pPr>
              <w:spacing w:before="60" w:after="60"/>
            </w:pPr>
            <w:r>
              <w:rPr>
                <w:b/>
                <w:color w:val="FFFFFF"/>
                <w:sz w:val="18"/>
              </w:rPr>
              <w:t>Description</w:t>
            </w:r>
          </w:p>
        </w:tc>
      </w:tr>
      <w:tr w:rsidR="00467066" w14:paraId="4D205756" w14:textId="77777777">
        <w:tc>
          <w:tcPr>
            <w:tcW w:w="2381" w:type="dxa"/>
            <w:tcBorders>
              <w:left w:val="single" w:sz="4" w:space="0" w:color="1E2330"/>
              <w:bottom w:val="single" w:sz="4" w:space="0" w:color="2A3045"/>
              <w:right w:val="single" w:sz="4" w:space="0" w:color="1E2330"/>
            </w:tcBorders>
          </w:tcPr>
          <w:p w14:paraId="1A399E58" w14:textId="77777777" w:rsidR="00467066" w:rsidRDefault="00000000">
            <w:pPr>
              <w:spacing w:before="60" w:after="60"/>
            </w:pPr>
            <w:r>
              <w:rPr>
                <w:sz w:val="18"/>
              </w:rPr>
              <w:t>Overall Stress Card</w:t>
            </w:r>
          </w:p>
        </w:tc>
        <w:tc>
          <w:tcPr>
            <w:tcW w:w="7880" w:type="dxa"/>
            <w:tcBorders>
              <w:left w:val="single" w:sz="4" w:space="0" w:color="1E2330"/>
              <w:bottom w:val="single" w:sz="4" w:space="0" w:color="2A3045"/>
              <w:right w:val="single" w:sz="4" w:space="0" w:color="1E2330"/>
            </w:tcBorders>
          </w:tcPr>
          <w:p w14:paraId="2F7C42ED" w14:textId="77777777" w:rsidR="00467066" w:rsidRDefault="00000000">
            <w:pPr>
              <w:spacing w:before="60" w:after="60"/>
            </w:pPr>
            <w:r>
              <w:rPr>
                <w:sz w:val="18"/>
              </w:rPr>
              <w:t>Risk score interpretation with action directive and confidence score.</w:t>
            </w:r>
          </w:p>
        </w:tc>
      </w:tr>
      <w:tr w:rsidR="00467066" w14:paraId="3CEFF1BE" w14:textId="77777777">
        <w:tc>
          <w:tcPr>
            <w:tcW w:w="2381" w:type="dxa"/>
            <w:tcBorders>
              <w:left w:val="single" w:sz="4" w:space="0" w:color="1E2330"/>
              <w:bottom w:val="single" w:sz="4" w:space="0" w:color="2A3045"/>
              <w:right w:val="single" w:sz="4" w:space="0" w:color="1E2330"/>
            </w:tcBorders>
            <w:shd w:val="clear" w:color="auto" w:fill="161B27"/>
          </w:tcPr>
          <w:p w14:paraId="6CC364E4" w14:textId="77777777" w:rsidR="00467066" w:rsidRDefault="00000000">
            <w:pPr>
              <w:spacing w:before="60" w:after="60"/>
            </w:pPr>
            <w:r>
              <w:rPr>
                <w:sz w:val="18"/>
              </w:rPr>
              <w:t>Diversification Status Card</w:t>
            </w:r>
          </w:p>
        </w:tc>
        <w:tc>
          <w:tcPr>
            <w:tcW w:w="7880" w:type="dxa"/>
            <w:tcBorders>
              <w:left w:val="single" w:sz="4" w:space="0" w:color="1E2330"/>
              <w:bottom w:val="single" w:sz="4" w:space="0" w:color="2A3045"/>
              <w:right w:val="single" w:sz="4" w:space="0" w:color="1E2330"/>
            </w:tcBorders>
            <w:shd w:val="clear" w:color="auto" w:fill="161B27"/>
          </w:tcPr>
          <w:p w14:paraId="1F027930" w14:textId="77777777" w:rsidR="00467066" w:rsidRDefault="00000000">
            <w:pPr>
              <w:spacing w:before="60" w:after="60"/>
            </w:pPr>
            <w:r>
              <w:rPr>
                <w:sz w:val="18"/>
              </w:rPr>
              <w:t>Regime-based hedge effectiveness. Green = working. Red = broken.</w:t>
            </w:r>
          </w:p>
        </w:tc>
      </w:tr>
      <w:tr w:rsidR="00467066" w14:paraId="15C4EDA7" w14:textId="77777777">
        <w:tc>
          <w:tcPr>
            <w:tcW w:w="2381" w:type="dxa"/>
            <w:tcBorders>
              <w:left w:val="single" w:sz="4" w:space="0" w:color="1E2330"/>
              <w:bottom w:val="single" w:sz="4" w:space="0" w:color="2A3045"/>
              <w:right w:val="single" w:sz="4" w:space="0" w:color="1E2330"/>
            </w:tcBorders>
          </w:tcPr>
          <w:p w14:paraId="5C19CE8D" w14:textId="77777777" w:rsidR="00467066" w:rsidRDefault="00000000">
            <w:pPr>
              <w:spacing w:before="60" w:after="60"/>
            </w:pPr>
            <w:r>
              <w:rPr>
                <w:sz w:val="18"/>
              </w:rPr>
              <w:t>Leading Commodity Card</w:t>
            </w:r>
          </w:p>
        </w:tc>
        <w:tc>
          <w:tcPr>
            <w:tcW w:w="7880" w:type="dxa"/>
            <w:tcBorders>
              <w:left w:val="single" w:sz="4" w:space="0" w:color="1E2330"/>
              <w:bottom w:val="single" w:sz="4" w:space="0" w:color="2A3045"/>
              <w:right w:val="single" w:sz="4" w:space="0" w:color="1E2330"/>
            </w:tcBorders>
          </w:tcPr>
          <w:p w14:paraId="6515F0D4" w14:textId="77777777" w:rsidR="00467066" w:rsidRDefault="00000000">
            <w:pPr>
              <w:spacing w:before="60" w:after="60"/>
            </w:pPr>
            <w:r>
              <w:rPr>
                <w:sz w:val="18"/>
              </w:rPr>
              <w:t>Commodity with the highest current absolute correlation to the equity average.</w:t>
            </w:r>
          </w:p>
        </w:tc>
      </w:tr>
      <w:tr w:rsidR="00467066" w14:paraId="12A62138" w14:textId="77777777">
        <w:tc>
          <w:tcPr>
            <w:tcW w:w="2381" w:type="dxa"/>
            <w:tcBorders>
              <w:left w:val="single" w:sz="4" w:space="0" w:color="1E2330"/>
              <w:bottom w:val="single" w:sz="4" w:space="0" w:color="2A3045"/>
              <w:right w:val="single" w:sz="4" w:space="0" w:color="1E2330"/>
            </w:tcBorders>
            <w:shd w:val="clear" w:color="auto" w:fill="161B27"/>
          </w:tcPr>
          <w:p w14:paraId="3EDDE414" w14:textId="77777777" w:rsidR="00467066" w:rsidRDefault="00000000">
            <w:pPr>
              <w:spacing w:before="60" w:after="60"/>
            </w:pPr>
            <w:r>
              <w:rPr>
                <w:sz w:val="18"/>
              </w:rPr>
              <w:t>Early Warning Card</w:t>
            </w:r>
          </w:p>
        </w:tc>
        <w:tc>
          <w:tcPr>
            <w:tcW w:w="7880" w:type="dxa"/>
            <w:tcBorders>
              <w:left w:val="single" w:sz="4" w:space="0" w:color="1E2330"/>
              <w:bottom w:val="single" w:sz="4" w:space="0" w:color="2A3045"/>
              <w:right w:val="single" w:sz="4" w:space="0" w:color="1E2330"/>
            </w:tcBorders>
            <w:shd w:val="clear" w:color="auto" w:fill="161B27"/>
          </w:tcPr>
          <w:p w14:paraId="6183A6E2" w14:textId="77777777" w:rsidR="00467066" w:rsidRDefault="00000000">
            <w:pPr>
              <w:spacing w:before="60" w:after="60"/>
            </w:pPr>
            <w:r>
              <w:rPr>
                <w:sz w:val="18"/>
              </w:rPr>
              <w:t>EWS composite score with regime transition probability context.</w:t>
            </w:r>
          </w:p>
        </w:tc>
      </w:tr>
      <w:tr w:rsidR="00467066" w14:paraId="4A34AB1D" w14:textId="77777777">
        <w:tc>
          <w:tcPr>
            <w:tcW w:w="2381" w:type="dxa"/>
            <w:tcBorders>
              <w:left w:val="single" w:sz="4" w:space="0" w:color="1E2330"/>
              <w:bottom w:val="single" w:sz="4" w:space="0" w:color="2A3045"/>
              <w:right w:val="single" w:sz="4" w:space="0" w:color="1E2330"/>
            </w:tcBorders>
          </w:tcPr>
          <w:p w14:paraId="0A551127" w14:textId="77777777" w:rsidR="00467066" w:rsidRDefault="00000000">
            <w:pPr>
              <w:spacing w:before="60" w:after="60"/>
            </w:pPr>
            <w:r>
              <w:rPr>
                <w:sz w:val="18"/>
              </w:rPr>
              <w:t>Private Credit Risk Card</w:t>
            </w:r>
          </w:p>
        </w:tc>
        <w:tc>
          <w:tcPr>
            <w:tcW w:w="7880" w:type="dxa"/>
            <w:tcBorders>
              <w:left w:val="single" w:sz="4" w:space="0" w:color="1E2330"/>
              <w:bottom w:val="single" w:sz="4" w:space="0" w:color="2A3045"/>
              <w:right w:val="single" w:sz="4" w:space="0" w:color="1E2330"/>
            </w:tcBorders>
          </w:tcPr>
          <w:p w14:paraId="7C7FB44B" w14:textId="77777777" w:rsidR="00467066" w:rsidRDefault="00000000">
            <w:pPr>
              <w:spacing w:before="60" w:after="60"/>
            </w:pPr>
            <w:r>
              <w:rPr>
                <w:sz w:val="18"/>
              </w:rPr>
              <w:t>HY OAS, BKLN, BDC, CDX HY composite signal.</w:t>
            </w:r>
          </w:p>
        </w:tc>
      </w:tr>
      <w:tr w:rsidR="00467066" w14:paraId="0693A502" w14:textId="77777777">
        <w:tc>
          <w:tcPr>
            <w:tcW w:w="2381" w:type="dxa"/>
            <w:tcBorders>
              <w:left w:val="single" w:sz="4" w:space="0" w:color="1E2330"/>
              <w:bottom w:val="single" w:sz="4" w:space="0" w:color="2A3045"/>
              <w:right w:val="single" w:sz="4" w:space="0" w:color="1E2330"/>
            </w:tcBorders>
            <w:shd w:val="clear" w:color="auto" w:fill="161B27"/>
          </w:tcPr>
          <w:p w14:paraId="619559C4" w14:textId="77777777" w:rsidR="00467066" w:rsidRDefault="00000000">
            <w:pPr>
              <w:spacing w:before="60" w:after="60"/>
            </w:pPr>
            <w:r>
              <w:rPr>
                <w:sz w:val="18"/>
              </w:rPr>
              <w:t>India / Rupee Card</w:t>
            </w:r>
          </w:p>
        </w:tc>
        <w:tc>
          <w:tcPr>
            <w:tcW w:w="7880" w:type="dxa"/>
            <w:tcBorders>
              <w:left w:val="single" w:sz="4" w:space="0" w:color="1E2330"/>
              <w:bottom w:val="single" w:sz="4" w:space="0" w:color="2A3045"/>
              <w:right w:val="single" w:sz="4" w:space="0" w:color="1E2330"/>
            </w:tcBorders>
            <w:shd w:val="clear" w:color="auto" w:fill="161B27"/>
          </w:tcPr>
          <w:p w14:paraId="39A19310" w14:textId="77777777" w:rsidR="00467066" w:rsidRDefault="00000000">
            <w:pPr>
              <w:spacing w:before="60" w:after="60"/>
            </w:pPr>
            <w:r>
              <w:rPr>
                <w:sz w:val="18"/>
              </w:rPr>
              <w:t>Oil dependency, rupee transmission, and Nifty 50 driver assessment.</w:t>
            </w:r>
          </w:p>
        </w:tc>
      </w:tr>
    </w:tbl>
    <w:p w14:paraId="692DE92F" w14:textId="77777777" w:rsidR="00467066" w:rsidRDefault="00467066">
      <w:pPr>
        <w:spacing w:after="0"/>
      </w:pPr>
    </w:p>
    <w:tbl>
      <w:tblPr>
        <w:tblW w:w="0" w:type="auto"/>
        <w:tblLook w:val="04A0" w:firstRow="1" w:lastRow="0" w:firstColumn="1" w:lastColumn="0" w:noHBand="0" w:noVBand="1"/>
      </w:tblPr>
      <w:tblGrid>
        <w:gridCol w:w="8784"/>
      </w:tblGrid>
      <w:tr w:rsidR="00467066" w14:paraId="257A0BEC" w14:textId="77777777">
        <w:tc>
          <w:tcPr>
            <w:tcW w:w="8784" w:type="dxa"/>
            <w:tcBorders>
              <w:top w:val="single" w:sz="6" w:space="0" w:color="C9A84C"/>
              <w:left w:val="single" w:sz="24" w:space="0" w:color="C9A84C"/>
              <w:bottom w:val="single" w:sz="6" w:space="0" w:color="C9A84C"/>
              <w:right w:val="single" w:sz="6" w:space="0" w:color="1E2330"/>
            </w:tcBorders>
            <w:shd w:val="clear" w:color="auto" w:fill="1E2330"/>
          </w:tcPr>
          <w:p w14:paraId="21579767" w14:textId="77777777" w:rsidR="00467066" w:rsidRDefault="00000000">
            <w:pPr>
              <w:spacing w:before="80" w:after="40"/>
            </w:pPr>
            <w:r>
              <w:rPr>
                <w:b/>
                <w:color w:val="C9A84C"/>
                <w:sz w:val="16"/>
              </w:rPr>
              <w:t>INTERPRETATION</w:t>
            </w:r>
          </w:p>
          <w:p w14:paraId="38581067" w14:textId="77777777" w:rsidR="00467066" w:rsidRDefault="00000000">
            <w:pPr>
              <w:spacing w:after="80"/>
              <w:jc w:val="both"/>
            </w:pPr>
            <w:r>
              <w:rPr>
                <w:sz w:val="19"/>
              </w:rPr>
              <w:t>Confidence below 60% indicates model uncertainty; treat as directional signal only. Use Insights as a starting point for deeper analysis on the relevant analytical page.</w:t>
            </w:r>
          </w:p>
        </w:tc>
      </w:tr>
    </w:tbl>
    <w:p w14:paraId="562821AB" w14:textId="77777777" w:rsidR="00467066" w:rsidRDefault="00467066">
      <w:pPr>
        <w:spacing w:after="0"/>
      </w:pPr>
    </w:p>
    <w:p w14:paraId="5CA07B28" w14:textId="77777777" w:rsidR="00467066" w:rsidRDefault="00467066">
      <w:pPr>
        <w:spacing w:after="0"/>
      </w:pPr>
    </w:p>
    <w:p w14:paraId="13A185CD" w14:textId="77777777" w:rsidR="00467066" w:rsidRDefault="00000000">
      <w:r>
        <w:br w:type="page"/>
      </w:r>
    </w:p>
    <w:p w14:paraId="3696BBE6" w14:textId="77777777" w:rsidR="00467066" w:rsidRDefault="00000000">
      <w:pPr>
        <w:keepNext/>
        <w:spacing w:before="240" w:after="20"/>
      </w:pPr>
      <w:r>
        <w:rPr>
          <w:color w:val="C9A84C"/>
          <w:sz w:val="15"/>
        </w:rPr>
        <w:lastRenderedPageBreak/>
        <w:t>SECTION 7</w:t>
      </w:r>
    </w:p>
    <w:p w14:paraId="4FB349C2" w14:textId="77777777" w:rsidR="00467066" w:rsidRDefault="00000000">
      <w:pPr>
        <w:keepNext/>
        <w:pBdr>
          <w:bottom w:val="single" w:sz="10" w:space="4" w:color="C9A84C"/>
        </w:pBdr>
        <w:spacing w:after="60"/>
      </w:pPr>
      <w:r>
        <w:rPr>
          <w:b/>
          <w:color w:val="FFFFFF"/>
          <w:sz w:val="28"/>
        </w:rPr>
        <w:t>AI Workforce Reference</w:t>
      </w:r>
    </w:p>
    <w:p w14:paraId="2C218433" w14:textId="77777777" w:rsidR="00467066" w:rsidRDefault="00000000">
      <w:pPr>
        <w:spacing w:before="40" w:after="160"/>
        <w:jc w:val="both"/>
      </w:pPr>
      <w:r>
        <w:rPr>
          <w:i/>
          <w:color w:val="8890A1"/>
          <w:sz w:val="18"/>
        </w:rPr>
        <w:t>Architecture, dependency structure, and output interpretation for all seven agents.</w:t>
      </w:r>
    </w:p>
    <w:p w14:paraId="1CD96183" w14:textId="77777777" w:rsidR="00467066" w:rsidRDefault="00467066">
      <w:pPr>
        <w:spacing w:after="0"/>
      </w:pPr>
    </w:p>
    <w:p w14:paraId="5A7E8EEB" w14:textId="77777777" w:rsidR="00467066" w:rsidRDefault="00000000">
      <w:pPr>
        <w:jc w:val="both"/>
      </w:pPr>
      <w:r>
        <w:t>The AI Workforce consists of seven specialised agents organised into three sequential rounds. Agents within a round run in parallel; each round waits for the prior round to complete before starting. Every agent receives the structured outputs of its upstream peers before generating its own analysis.</w:t>
      </w:r>
    </w:p>
    <w:p w14:paraId="443DAD48" w14:textId="77777777" w:rsidR="00467066" w:rsidRDefault="00467066">
      <w:pPr>
        <w:spacing w:after="0"/>
      </w:pPr>
    </w:p>
    <w:p w14:paraId="0D2D69D1" w14:textId="77777777" w:rsidR="00467066" w:rsidRDefault="00000000">
      <w:pPr>
        <w:keepNext/>
        <w:spacing w:before="120" w:after="60"/>
      </w:pPr>
      <w:r>
        <w:rPr>
          <w:b/>
          <w:color w:val="8890A1"/>
          <w:sz w:val="18"/>
        </w:rPr>
        <w:t>Table 7.1 — Agent Pipeline Architecture</w:t>
      </w:r>
    </w:p>
    <w:tbl>
      <w:tblPr>
        <w:tblStyle w:val="TableGrid"/>
        <w:tblW w:w="0" w:type="auto"/>
        <w:tblLook w:val="04A0" w:firstRow="1" w:lastRow="0" w:firstColumn="1" w:lastColumn="0" w:noHBand="0" w:noVBand="1"/>
      </w:tblPr>
      <w:tblGrid>
        <w:gridCol w:w="826"/>
        <w:gridCol w:w="1905"/>
        <w:gridCol w:w="2745"/>
        <w:gridCol w:w="3812"/>
      </w:tblGrid>
      <w:tr w:rsidR="00467066" w14:paraId="46530908" w14:textId="77777777">
        <w:trPr>
          <w:tblHeader/>
        </w:trPr>
        <w:tc>
          <w:tcPr>
            <w:tcW w:w="850"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2241356B" w14:textId="77777777" w:rsidR="00467066" w:rsidRDefault="00000000">
            <w:pPr>
              <w:spacing w:before="60" w:after="60"/>
            </w:pPr>
            <w:r>
              <w:rPr>
                <w:b/>
                <w:color w:val="FFFFFF"/>
                <w:sz w:val="18"/>
              </w:rPr>
              <w:t>Round</w:t>
            </w:r>
          </w:p>
        </w:tc>
        <w:tc>
          <w:tcPr>
            <w:tcW w:w="204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3AAB1014" w14:textId="77777777" w:rsidR="00467066" w:rsidRDefault="00000000">
            <w:pPr>
              <w:spacing w:before="60" w:after="60"/>
            </w:pPr>
            <w:r>
              <w:rPr>
                <w:b/>
                <w:color w:val="FFFFFF"/>
                <w:sz w:val="18"/>
              </w:rPr>
              <w:t>Agent</w:t>
            </w:r>
          </w:p>
        </w:tc>
        <w:tc>
          <w:tcPr>
            <w:tcW w:w="3061"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4F94B0AC" w14:textId="77777777" w:rsidR="00467066" w:rsidRDefault="00000000">
            <w:pPr>
              <w:spacing w:before="60" w:after="60"/>
            </w:pPr>
            <w:r>
              <w:rPr>
                <w:b/>
                <w:color w:val="FFFFFF"/>
                <w:sz w:val="18"/>
              </w:rPr>
              <w:t>Role</w:t>
            </w:r>
          </w:p>
        </w:tc>
        <w:tc>
          <w:tcPr>
            <w:tcW w:w="4309"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164A956C" w14:textId="77777777" w:rsidR="00467066" w:rsidRDefault="00000000">
            <w:pPr>
              <w:spacing w:before="60" w:after="60"/>
            </w:pPr>
            <w:r>
              <w:rPr>
                <w:b/>
                <w:color w:val="FFFFFF"/>
                <w:sz w:val="18"/>
              </w:rPr>
              <w:t>Inputs Received</w:t>
            </w:r>
          </w:p>
        </w:tc>
      </w:tr>
      <w:tr w:rsidR="00467066" w14:paraId="3F009ADB" w14:textId="77777777">
        <w:tc>
          <w:tcPr>
            <w:tcW w:w="850" w:type="dxa"/>
            <w:tcBorders>
              <w:left w:val="single" w:sz="4" w:space="0" w:color="1E2330"/>
              <w:bottom w:val="single" w:sz="4" w:space="0" w:color="2A3045"/>
              <w:right w:val="single" w:sz="4" w:space="0" w:color="1E2330"/>
            </w:tcBorders>
          </w:tcPr>
          <w:p w14:paraId="7A8E459B" w14:textId="77777777" w:rsidR="00467066" w:rsidRDefault="00000000">
            <w:pPr>
              <w:spacing w:before="60" w:after="60"/>
            </w:pPr>
            <w:r>
              <w:rPr>
                <w:sz w:val="18"/>
              </w:rPr>
              <w:t>1</w:t>
            </w:r>
          </w:p>
        </w:tc>
        <w:tc>
          <w:tcPr>
            <w:tcW w:w="2041" w:type="dxa"/>
            <w:tcBorders>
              <w:left w:val="single" w:sz="4" w:space="0" w:color="1E2330"/>
              <w:bottom w:val="single" w:sz="4" w:space="0" w:color="2A3045"/>
              <w:right w:val="single" w:sz="4" w:space="0" w:color="1E2330"/>
            </w:tcBorders>
          </w:tcPr>
          <w:p w14:paraId="3F113302" w14:textId="77777777" w:rsidR="00467066" w:rsidRDefault="00000000">
            <w:pPr>
              <w:spacing w:before="60" w:after="60"/>
            </w:pPr>
            <w:r>
              <w:rPr>
                <w:sz w:val="18"/>
              </w:rPr>
              <w:t>Signal Auditor</w:t>
            </w:r>
          </w:p>
        </w:tc>
        <w:tc>
          <w:tcPr>
            <w:tcW w:w="3061" w:type="dxa"/>
            <w:tcBorders>
              <w:left w:val="single" w:sz="4" w:space="0" w:color="1E2330"/>
              <w:bottom w:val="single" w:sz="4" w:space="0" w:color="2A3045"/>
              <w:right w:val="single" w:sz="4" w:space="0" w:color="1E2330"/>
            </w:tcBorders>
          </w:tcPr>
          <w:p w14:paraId="11DEBC8E" w14:textId="77777777" w:rsidR="00467066" w:rsidRDefault="00000000">
            <w:pPr>
              <w:spacing w:before="60" w:after="60"/>
            </w:pPr>
            <w:r>
              <w:rPr>
                <w:sz w:val="18"/>
              </w:rPr>
              <w:t>Calibrates confidence scores from Granger hit rates</w:t>
            </w:r>
          </w:p>
        </w:tc>
        <w:tc>
          <w:tcPr>
            <w:tcW w:w="4309" w:type="dxa"/>
            <w:tcBorders>
              <w:left w:val="single" w:sz="4" w:space="0" w:color="1E2330"/>
              <w:bottom w:val="single" w:sz="4" w:space="0" w:color="2A3045"/>
              <w:right w:val="single" w:sz="4" w:space="0" w:color="1E2330"/>
            </w:tcBorders>
          </w:tcPr>
          <w:p w14:paraId="28F44B7C" w14:textId="77777777" w:rsidR="00467066" w:rsidRDefault="00000000">
            <w:pPr>
              <w:spacing w:before="60" w:after="60"/>
            </w:pPr>
            <w:r>
              <w:rPr>
                <w:sz w:val="18"/>
              </w:rPr>
              <w:t>Performance Review backtest data</w:t>
            </w:r>
          </w:p>
        </w:tc>
      </w:tr>
      <w:tr w:rsidR="00467066" w14:paraId="2E8341EC" w14:textId="77777777">
        <w:tc>
          <w:tcPr>
            <w:tcW w:w="850" w:type="dxa"/>
            <w:tcBorders>
              <w:left w:val="single" w:sz="4" w:space="0" w:color="1E2330"/>
              <w:bottom w:val="single" w:sz="4" w:space="0" w:color="2A3045"/>
              <w:right w:val="single" w:sz="4" w:space="0" w:color="1E2330"/>
            </w:tcBorders>
            <w:shd w:val="clear" w:color="auto" w:fill="161B27"/>
          </w:tcPr>
          <w:p w14:paraId="15418FFD" w14:textId="77777777" w:rsidR="00467066" w:rsidRDefault="00000000">
            <w:pPr>
              <w:spacing w:before="60" w:after="60"/>
            </w:pPr>
            <w:r>
              <w:rPr>
                <w:sz w:val="18"/>
              </w:rPr>
              <w:t>1</w:t>
            </w:r>
          </w:p>
        </w:tc>
        <w:tc>
          <w:tcPr>
            <w:tcW w:w="2041" w:type="dxa"/>
            <w:tcBorders>
              <w:left w:val="single" w:sz="4" w:space="0" w:color="1E2330"/>
              <w:bottom w:val="single" w:sz="4" w:space="0" w:color="2A3045"/>
              <w:right w:val="single" w:sz="4" w:space="0" w:color="1E2330"/>
            </w:tcBorders>
            <w:shd w:val="clear" w:color="auto" w:fill="161B27"/>
          </w:tcPr>
          <w:p w14:paraId="0F3D9AE1" w14:textId="77777777" w:rsidR="00467066" w:rsidRDefault="00000000">
            <w:pPr>
              <w:spacing w:before="60" w:after="60"/>
            </w:pPr>
            <w:r>
              <w:rPr>
                <w:sz w:val="18"/>
              </w:rPr>
              <w:t>Macro Strategist</w:t>
            </w:r>
          </w:p>
        </w:tc>
        <w:tc>
          <w:tcPr>
            <w:tcW w:w="3061" w:type="dxa"/>
            <w:tcBorders>
              <w:left w:val="single" w:sz="4" w:space="0" w:color="1E2330"/>
              <w:bottom w:val="single" w:sz="4" w:space="0" w:color="2A3045"/>
              <w:right w:val="single" w:sz="4" w:space="0" w:color="1E2330"/>
            </w:tcBorders>
            <w:shd w:val="clear" w:color="auto" w:fill="161B27"/>
          </w:tcPr>
          <w:p w14:paraId="496B6588" w14:textId="77777777" w:rsidR="00467066" w:rsidRDefault="00000000">
            <w:pPr>
              <w:spacing w:before="60" w:after="60"/>
            </w:pPr>
            <w:r>
              <w:rPr>
                <w:sz w:val="18"/>
              </w:rPr>
              <w:t>Yield curve, inflation, Fed posture, GDP context</w:t>
            </w:r>
          </w:p>
        </w:tc>
        <w:tc>
          <w:tcPr>
            <w:tcW w:w="4309" w:type="dxa"/>
            <w:tcBorders>
              <w:left w:val="single" w:sz="4" w:space="0" w:color="1E2330"/>
              <w:bottom w:val="single" w:sz="4" w:space="0" w:color="2A3045"/>
              <w:right w:val="single" w:sz="4" w:space="0" w:color="1E2330"/>
            </w:tcBorders>
            <w:shd w:val="clear" w:color="auto" w:fill="161B27"/>
          </w:tcPr>
          <w:p w14:paraId="3822EA4C" w14:textId="77777777" w:rsidR="00467066" w:rsidRDefault="00000000">
            <w:pPr>
              <w:spacing w:before="60" w:after="60"/>
            </w:pPr>
            <w:r>
              <w:rPr>
                <w:sz w:val="18"/>
              </w:rPr>
              <w:t>FRED macro data + Signal Auditor confidence</w:t>
            </w:r>
          </w:p>
        </w:tc>
      </w:tr>
      <w:tr w:rsidR="00467066" w14:paraId="77CEC661" w14:textId="77777777">
        <w:tc>
          <w:tcPr>
            <w:tcW w:w="850" w:type="dxa"/>
            <w:tcBorders>
              <w:left w:val="single" w:sz="4" w:space="0" w:color="1E2330"/>
              <w:bottom w:val="single" w:sz="4" w:space="0" w:color="2A3045"/>
              <w:right w:val="single" w:sz="4" w:space="0" w:color="1E2330"/>
            </w:tcBorders>
          </w:tcPr>
          <w:p w14:paraId="7C84CC2E" w14:textId="77777777" w:rsidR="00467066" w:rsidRDefault="00000000">
            <w:pPr>
              <w:spacing w:before="60" w:after="60"/>
            </w:pPr>
            <w:r>
              <w:rPr>
                <w:sz w:val="18"/>
              </w:rPr>
              <w:t>1</w:t>
            </w:r>
          </w:p>
        </w:tc>
        <w:tc>
          <w:tcPr>
            <w:tcW w:w="2041" w:type="dxa"/>
            <w:tcBorders>
              <w:left w:val="single" w:sz="4" w:space="0" w:color="1E2330"/>
              <w:bottom w:val="single" w:sz="4" w:space="0" w:color="2A3045"/>
              <w:right w:val="single" w:sz="4" w:space="0" w:color="1E2330"/>
            </w:tcBorders>
          </w:tcPr>
          <w:p w14:paraId="0D99EB90" w14:textId="77777777" w:rsidR="00467066" w:rsidRDefault="00000000">
            <w:pPr>
              <w:spacing w:before="60" w:after="60"/>
            </w:pPr>
            <w:r>
              <w:rPr>
                <w:sz w:val="18"/>
              </w:rPr>
              <w:t>Geopolitical Analyst</w:t>
            </w:r>
          </w:p>
        </w:tc>
        <w:tc>
          <w:tcPr>
            <w:tcW w:w="3061" w:type="dxa"/>
            <w:tcBorders>
              <w:left w:val="single" w:sz="4" w:space="0" w:color="1E2330"/>
              <w:bottom w:val="single" w:sz="4" w:space="0" w:color="2A3045"/>
              <w:right w:val="single" w:sz="4" w:space="0" w:color="1E2330"/>
            </w:tcBorders>
          </w:tcPr>
          <w:p w14:paraId="64EEA789" w14:textId="77777777" w:rsidR="00467066" w:rsidRDefault="00000000">
            <w:pPr>
              <w:spacing w:before="60" w:after="60"/>
            </w:pPr>
            <w:r>
              <w:rPr>
                <w:sz w:val="18"/>
              </w:rPr>
              <w:t>Active conflict risk, sanctions, strait disruption</w:t>
            </w:r>
          </w:p>
        </w:tc>
        <w:tc>
          <w:tcPr>
            <w:tcW w:w="4309" w:type="dxa"/>
            <w:tcBorders>
              <w:left w:val="single" w:sz="4" w:space="0" w:color="1E2330"/>
              <w:bottom w:val="single" w:sz="4" w:space="0" w:color="2A3045"/>
              <w:right w:val="single" w:sz="4" w:space="0" w:color="1E2330"/>
            </w:tcBorders>
          </w:tcPr>
          <w:p w14:paraId="329E23C3" w14:textId="77777777" w:rsidR="00467066" w:rsidRDefault="00000000">
            <w:pPr>
              <w:spacing w:before="60" w:after="60"/>
            </w:pPr>
            <w:r>
              <w:rPr>
                <w:sz w:val="18"/>
              </w:rPr>
              <w:t>Active events + Strait Watch scores + RSS feed</w:t>
            </w:r>
          </w:p>
        </w:tc>
      </w:tr>
      <w:tr w:rsidR="00467066" w14:paraId="7498F334" w14:textId="77777777">
        <w:tc>
          <w:tcPr>
            <w:tcW w:w="850" w:type="dxa"/>
            <w:tcBorders>
              <w:left w:val="single" w:sz="4" w:space="0" w:color="1E2330"/>
              <w:bottom w:val="single" w:sz="4" w:space="0" w:color="2A3045"/>
              <w:right w:val="single" w:sz="4" w:space="0" w:color="1E2330"/>
            </w:tcBorders>
            <w:shd w:val="clear" w:color="auto" w:fill="161B27"/>
          </w:tcPr>
          <w:p w14:paraId="529D6F93" w14:textId="77777777" w:rsidR="00467066" w:rsidRDefault="00000000">
            <w:pPr>
              <w:spacing w:before="60" w:after="60"/>
            </w:pPr>
            <w:r>
              <w:rPr>
                <w:sz w:val="18"/>
              </w:rPr>
              <w:t>2</w:t>
            </w:r>
          </w:p>
        </w:tc>
        <w:tc>
          <w:tcPr>
            <w:tcW w:w="2041" w:type="dxa"/>
            <w:tcBorders>
              <w:left w:val="single" w:sz="4" w:space="0" w:color="1E2330"/>
              <w:bottom w:val="single" w:sz="4" w:space="0" w:color="2A3045"/>
              <w:right w:val="single" w:sz="4" w:space="0" w:color="1E2330"/>
            </w:tcBorders>
            <w:shd w:val="clear" w:color="auto" w:fill="161B27"/>
          </w:tcPr>
          <w:p w14:paraId="7CCE294C" w14:textId="77777777" w:rsidR="00467066" w:rsidRDefault="00000000">
            <w:pPr>
              <w:spacing w:before="60" w:after="60"/>
            </w:pPr>
            <w:r>
              <w:rPr>
                <w:sz w:val="18"/>
              </w:rPr>
              <w:t>Risk Officer</w:t>
            </w:r>
          </w:p>
        </w:tc>
        <w:tc>
          <w:tcPr>
            <w:tcW w:w="3061" w:type="dxa"/>
            <w:tcBorders>
              <w:left w:val="single" w:sz="4" w:space="0" w:color="1E2330"/>
              <w:bottom w:val="single" w:sz="4" w:space="0" w:color="2A3045"/>
              <w:right w:val="single" w:sz="4" w:space="0" w:color="1E2330"/>
            </w:tcBorders>
            <w:shd w:val="clear" w:color="auto" w:fill="161B27"/>
          </w:tcPr>
          <w:p w14:paraId="0C135315" w14:textId="77777777" w:rsidR="00467066" w:rsidRDefault="00000000">
            <w:pPr>
              <w:spacing w:before="60" w:after="60"/>
            </w:pPr>
            <w:r>
              <w:rPr>
                <w:sz w:val="18"/>
              </w:rPr>
              <w:t>Synthesises Round 1 into morning briefing</w:t>
            </w:r>
          </w:p>
        </w:tc>
        <w:tc>
          <w:tcPr>
            <w:tcW w:w="4309" w:type="dxa"/>
            <w:tcBorders>
              <w:left w:val="single" w:sz="4" w:space="0" w:color="1E2330"/>
              <w:bottom w:val="single" w:sz="4" w:space="0" w:color="2A3045"/>
              <w:right w:val="single" w:sz="4" w:space="0" w:color="1E2330"/>
            </w:tcBorders>
            <w:shd w:val="clear" w:color="auto" w:fill="161B27"/>
          </w:tcPr>
          <w:p w14:paraId="5C66F384" w14:textId="77777777" w:rsidR="00467066" w:rsidRDefault="00000000">
            <w:pPr>
              <w:spacing w:before="60" w:after="60"/>
            </w:pPr>
            <w:r>
              <w:rPr>
                <w:sz w:val="18"/>
              </w:rPr>
              <w:t>Signal Auditor + Macro Strategist + Geopolitical Analyst</w:t>
            </w:r>
          </w:p>
        </w:tc>
      </w:tr>
      <w:tr w:rsidR="00467066" w14:paraId="31AD3123" w14:textId="77777777">
        <w:tc>
          <w:tcPr>
            <w:tcW w:w="850" w:type="dxa"/>
            <w:tcBorders>
              <w:left w:val="single" w:sz="4" w:space="0" w:color="1E2330"/>
              <w:bottom w:val="single" w:sz="4" w:space="0" w:color="2A3045"/>
              <w:right w:val="single" w:sz="4" w:space="0" w:color="1E2330"/>
            </w:tcBorders>
          </w:tcPr>
          <w:p w14:paraId="2AB71371" w14:textId="77777777" w:rsidR="00467066" w:rsidRDefault="00000000">
            <w:pPr>
              <w:spacing w:before="60" w:after="60"/>
            </w:pPr>
            <w:r>
              <w:rPr>
                <w:sz w:val="18"/>
              </w:rPr>
              <w:t>2</w:t>
            </w:r>
          </w:p>
        </w:tc>
        <w:tc>
          <w:tcPr>
            <w:tcW w:w="2041" w:type="dxa"/>
            <w:tcBorders>
              <w:left w:val="single" w:sz="4" w:space="0" w:color="1E2330"/>
              <w:bottom w:val="single" w:sz="4" w:space="0" w:color="2A3045"/>
              <w:right w:val="single" w:sz="4" w:space="0" w:color="1E2330"/>
            </w:tcBorders>
          </w:tcPr>
          <w:p w14:paraId="4C71B223" w14:textId="77777777" w:rsidR="00467066" w:rsidRDefault="00000000">
            <w:pPr>
              <w:spacing w:before="60" w:after="60"/>
            </w:pPr>
            <w:r>
              <w:rPr>
                <w:sz w:val="18"/>
              </w:rPr>
              <w:t>Commodities Specialist</w:t>
            </w:r>
          </w:p>
        </w:tc>
        <w:tc>
          <w:tcPr>
            <w:tcW w:w="3061" w:type="dxa"/>
            <w:tcBorders>
              <w:left w:val="single" w:sz="4" w:space="0" w:color="1E2330"/>
              <w:bottom w:val="single" w:sz="4" w:space="0" w:color="2A3045"/>
              <w:right w:val="single" w:sz="4" w:space="0" w:color="1E2330"/>
            </w:tcBorders>
          </w:tcPr>
          <w:p w14:paraId="40CBCB9F" w14:textId="77777777" w:rsidR="00467066" w:rsidRDefault="00000000">
            <w:pPr>
              <w:spacing w:before="60" w:after="60"/>
            </w:pPr>
            <w:r>
              <w:rPr>
                <w:sz w:val="18"/>
              </w:rPr>
              <w:t>COT positioning, supply shocks, sector rotation</w:t>
            </w:r>
          </w:p>
        </w:tc>
        <w:tc>
          <w:tcPr>
            <w:tcW w:w="4309" w:type="dxa"/>
            <w:tcBorders>
              <w:left w:val="single" w:sz="4" w:space="0" w:color="1E2330"/>
              <w:bottom w:val="single" w:sz="4" w:space="0" w:color="2A3045"/>
              <w:right w:val="single" w:sz="4" w:space="0" w:color="1E2330"/>
            </w:tcBorders>
          </w:tcPr>
          <w:p w14:paraId="654F639B" w14:textId="77777777" w:rsidR="00467066" w:rsidRDefault="00000000">
            <w:pPr>
              <w:spacing w:before="60" w:after="60"/>
            </w:pPr>
            <w:r>
              <w:rPr>
                <w:sz w:val="18"/>
              </w:rPr>
              <w:t>Commodity data + Signal Auditor + Macro Strategist</w:t>
            </w:r>
          </w:p>
        </w:tc>
      </w:tr>
      <w:tr w:rsidR="00467066" w14:paraId="0B19B0C1" w14:textId="77777777">
        <w:tc>
          <w:tcPr>
            <w:tcW w:w="850" w:type="dxa"/>
            <w:tcBorders>
              <w:left w:val="single" w:sz="4" w:space="0" w:color="1E2330"/>
              <w:bottom w:val="single" w:sz="4" w:space="0" w:color="2A3045"/>
              <w:right w:val="single" w:sz="4" w:space="0" w:color="1E2330"/>
            </w:tcBorders>
            <w:shd w:val="clear" w:color="auto" w:fill="161B27"/>
          </w:tcPr>
          <w:p w14:paraId="5C42E0E8" w14:textId="77777777" w:rsidR="00467066" w:rsidRDefault="00000000">
            <w:pPr>
              <w:spacing w:before="60" w:after="60"/>
            </w:pPr>
            <w:r>
              <w:rPr>
                <w:sz w:val="18"/>
              </w:rPr>
              <w:t>3</w:t>
            </w:r>
          </w:p>
        </w:tc>
        <w:tc>
          <w:tcPr>
            <w:tcW w:w="2041" w:type="dxa"/>
            <w:tcBorders>
              <w:left w:val="single" w:sz="4" w:space="0" w:color="1E2330"/>
              <w:bottom w:val="single" w:sz="4" w:space="0" w:color="2A3045"/>
              <w:right w:val="single" w:sz="4" w:space="0" w:color="1E2330"/>
            </w:tcBorders>
            <w:shd w:val="clear" w:color="auto" w:fill="161B27"/>
          </w:tcPr>
          <w:p w14:paraId="0CBB1248" w14:textId="77777777" w:rsidR="00467066" w:rsidRDefault="00000000">
            <w:pPr>
              <w:spacing w:before="60" w:after="60"/>
            </w:pPr>
            <w:r>
              <w:rPr>
                <w:sz w:val="18"/>
              </w:rPr>
              <w:t>Stress Engineer</w:t>
            </w:r>
          </w:p>
        </w:tc>
        <w:tc>
          <w:tcPr>
            <w:tcW w:w="3061" w:type="dxa"/>
            <w:tcBorders>
              <w:left w:val="single" w:sz="4" w:space="0" w:color="1E2330"/>
              <w:bottom w:val="single" w:sz="4" w:space="0" w:color="2A3045"/>
              <w:right w:val="single" w:sz="4" w:space="0" w:color="1E2330"/>
            </w:tcBorders>
            <w:shd w:val="clear" w:color="auto" w:fill="161B27"/>
          </w:tcPr>
          <w:p w14:paraId="7FB8FA24" w14:textId="77777777" w:rsidR="00467066" w:rsidRDefault="00000000">
            <w:pPr>
              <w:spacing w:before="60" w:after="60"/>
            </w:pPr>
            <w:r>
              <w:rPr>
                <w:sz w:val="18"/>
              </w:rPr>
              <w:t>Scenario stress, tail risk, portfolio shock analysis</w:t>
            </w:r>
          </w:p>
        </w:tc>
        <w:tc>
          <w:tcPr>
            <w:tcW w:w="4309" w:type="dxa"/>
            <w:tcBorders>
              <w:left w:val="single" w:sz="4" w:space="0" w:color="1E2330"/>
              <w:bottom w:val="single" w:sz="4" w:space="0" w:color="2A3045"/>
              <w:right w:val="single" w:sz="4" w:space="0" w:color="1E2330"/>
            </w:tcBorders>
            <w:shd w:val="clear" w:color="auto" w:fill="161B27"/>
          </w:tcPr>
          <w:p w14:paraId="76613ACD" w14:textId="77777777" w:rsidR="00467066" w:rsidRDefault="00000000">
            <w:pPr>
              <w:spacing w:before="60" w:after="60"/>
            </w:pPr>
            <w:r>
              <w:rPr>
                <w:sz w:val="18"/>
              </w:rPr>
              <w:t>All Round 1 outputs + Risk Officer + Commodities Specialist</w:t>
            </w:r>
          </w:p>
        </w:tc>
      </w:tr>
      <w:tr w:rsidR="00467066" w14:paraId="70140CE7" w14:textId="77777777">
        <w:tc>
          <w:tcPr>
            <w:tcW w:w="850" w:type="dxa"/>
            <w:tcBorders>
              <w:left w:val="single" w:sz="4" w:space="0" w:color="1E2330"/>
              <w:bottom w:val="single" w:sz="4" w:space="0" w:color="2A3045"/>
              <w:right w:val="single" w:sz="4" w:space="0" w:color="1E2330"/>
            </w:tcBorders>
          </w:tcPr>
          <w:p w14:paraId="739E8D57" w14:textId="77777777" w:rsidR="00467066" w:rsidRDefault="00000000">
            <w:pPr>
              <w:spacing w:before="60" w:after="60"/>
            </w:pPr>
            <w:r>
              <w:rPr>
                <w:sz w:val="18"/>
              </w:rPr>
              <w:t>3</w:t>
            </w:r>
          </w:p>
        </w:tc>
        <w:tc>
          <w:tcPr>
            <w:tcW w:w="2041" w:type="dxa"/>
            <w:tcBorders>
              <w:left w:val="single" w:sz="4" w:space="0" w:color="1E2330"/>
              <w:bottom w:val="single" w:sz="4" w:space="0" w:color="2A3045"/>
              <w:right w:val="single" w:sz="4" w:space="0" w:color="1E2330"/>
            </w:tcBorders>
          </w:tcPr>
          <w:p w14:paraId="24A12969" w14:textId="77777777" w:rsidR="00467066" w:rsidRDefault="00000000">
            <w:pPr>
              <w:spacing w:before="60" w:after="60"/>
            </w:pPr>
            <w:r>
              <w:rPr>
                <w:sz w:val="18"/>
              </w:rPr>
              <w:t>Trade Structurer</w:t>
            </w:r>
          </w:p>
        </w:tc>
        <w:tc>
          <w:tcPr>
            <w:tcW w:w="3061" w:type="dxa"/>
            <w:tcBorders>
              <w:left w:val="single" w:sz="4" w:space="0" w:color="1E2330"/>
              <w:bottom w:val="single" w:sz="4" w:space="0" w:color="2A3045"/>
              <w:right w:val="single" w:sz="4" w:space="0" w:color="1E2330"/>
            </w:tcBorders>
          </w:tcPr>
          <w:p w14:paraId="55BE5CB6" w14:textId="77777777" w:rsidR="00467066" w:rsidRDefault="00000000">
            <w:pPr>
              <w:spacing w:before="60" w:after="60"/>
            </w:pPr>
            <w:r>
              <w:rPr>
                <w:sz w:val="18"/>
              </w:rPr>
              <w:t>Regime-triggered trade ideas with full peer context</w:t>
            </w:r>
          </w:p>
        </w:tc>
        <w:tc>
          <w:tcPr>
            <w:tcW w:w="4309" w:type="dxa"/>
            <w:tcBorders>
              <w:left w:val="single" w:sz="4" w:space="0" w:color="1E2330"/>
              <w:bottom w:val="single" w:sz="4" w:space="0" w:color="2A3045"/>
              <w:right w:val="single" w:sz="4" w:space="0" w:color="1E2330"/>
            </w:tcBorders>
          </w:tcPr>
          <w:p w14:paraId="02F79B78" w14:textId="77777777" w:rsidR="00467066" w:rsidRDefault="00000000">
            <w:pPr>
              <w:spacing w:before="60" w:after="60"/>
            </w:pPr>
            <w:r>
              <w:rPr>
                <w:sz w:val="18"/>
              </w:rPr>
              <w:t>All six previous agents' structured outputs</w:t>
            </w:r>
          </w:p>
        </w:tc>
      </w:tr>
    </w:tbl>
    <w:p w14:paraId="4C3FF09B" w14:textId="77777777" w:rsidR="00467066" w:rsidRDefault="00467066">
      <w:pPr>
        <w:spacing w:after="0"/>
      </w:pPr>
    </w:p>
    <w:p w14:paraId="4BFE5049" w14:textId="77777777" w:rsidR="00467066" w:rsidRDefault="00467066">
      <w:pPr>
        <w:spacing w:after="0"/>
      </w:pPr>
    </w:p>
    <w:p w14:paraId="765AE286" w14:textId="77777777" w:rsidR="00467066" w:rsidRDefault="00000000">
      <w:pPr>
        <w:jc w:val="both"/>
      </w:pPr>
      <w:r>
        <w:t>Divergence Detection: The orchestrator automatically compares agent conclusions across four dimensions — macro direction, geopolitical risk level, commodity positioning, and overall risk posture. When agents reach materially conflicting conclusions, a divergence flag is generated and displayed on the Overview page.</w:t>
      </w:r>
    </w:p>
    <w:p w14:paraId="17B11F00" w14:textId="77777777" w:rsidR="00467066" w:rsidRDefault="00000000">
      <w:pPr>
        <w:jc w:val="both"/>
      </w:pPr>
      <w:r>
        <w:t>Cache and Invalidation: Agent outputs are cached for one hour. If a correlation regime change is detected between cache writes, all agents are automatically invalidated and re-run on the next page load.</w:t>
      </w:r>
    </w:p>
    <w:p w14:paraId="00FF0145" w14:textId="77777777" w:rsidR="00467066" w:rsidRDefault="00000000">
      <w:pPr>
        <w:jc w:val="both"/>
      </w:pPr>
      <w:r>
        <w:t>Chief Quality Officer (CQO): A separate CQO agent runs on each analytical page independently. It audits the page's methodology and outputs a structured note flagging assumption violations, data limitations, and model caveats.</w:t>
      </w:r>
    </w:p>
    <w:p w14:paraId="51E0655E" w14:textId="77777777" w:rsidR="00467066" w:rsidRDefault="00000000">
      <w:r>
        <w:br w:type="page"/>
      </w:r>
    </w:p>
    <w:p w14:paraId="289DB4EC" w14:textId="77777777" w:rsidR="00467066" w:rsidRDefault="00000000">
      <w:pPr>
        <w:keepNext/>
        <w:spacing w:before="240" w:after="20"/>
      </w:pPr>
      <w:r>
        <w:rPr>
          <w:color w:val="C9A84C"/>
          <w:sz w:val="15"/>
        </w:rPr>
        <w:lastRenderedPageBreak/>
        <w:t>SECTION 8</w:t>
      </w:r>
    </w:p>
    <w:p w14:paraId="453284A5" w14:textId="77777777" w:rsidR="00467066" w:rsidRDefault="00000000">
      <w:pPr>
        <w:keepNext/>
        <w:pBdr>
          <w:bottom w:val="single" w:sz="10" w:space="4" w:color="C9A84C"/>
        </w:pBdr>
        <w:spacing w:after="60"/>
      </w:pPr>
      <w:r>
        <w:rPr>
          <w:b/>
          <w:color w:val="FFFFFF"/>
          <w:sz w:val="28"/>
        </w:rPr>
        <w:t>Interpreting Key Outputs</w:t>
      </w:r>
    </w:p>
    <w:p w14:paraId="3E178FA6" w14:textId="77777777" w:rsidR="00467066" w:rsidRDefault="00000000">
      <w:pPr>
        <w:spacing w:before="40" w:after="160"/>
        <w:jc w:val="both"/>
      </w:pPr>
      <w:r>
        <w:rPr>
          <w:i/>
          <w:color w:val="8890A1"/>
          <w:sz w:val="18"/>
        </w:rPr>
        <w:t>Reference guide for the platform's most important quantitative outputs.</w:t>
      </w:r>
    </w:p>
    <w:p w14:paraId="28EEA7C0" w14:textId="77777777" w:rsidR="00467066" w:rsidRDefault="00467066">
      <w:pPr>
        <w:spacing w:after="0"/>
      </w:pPr>
    </w:p>
    <w:p w14:paraId="66A63F6C" w14:textId="77777777" w:rsidR="00467066" w:rsidRDefault="00000000">
      <w:pPr>
        <w:keepNext/>
        <w:spacing w:before="160" w:after="40"/>
      </w:pPr>
      <w:r>
        <w:rPr>
          <w:b/>
          <w:color w:val="FFFFFF"/>
        </w:rPr>
        <w:t>Correlation Regime</w:t>
      </w:r>
    </w:p>
    <w:p w14:paraId="12DC07CD" w14:textId="77777777" w:rsidR="00467066" w:rsidRDefault="00000000">
      <w:pPr>
        <w:spacing w:after="160"/>
        <w:jc w:val="both"/>
      </w:pPr>
      <w:r>
        <w:t>Four-state classification based on rolling 60-day average absolute pairwise correlation across all equity-commodity pairs.</w:t>
      </w:r>
      <w:r>
        <w:br/>
        <w:t xml:space="preserve">  •  Decorrelated (&lt; 0.15): Low average correlation. Diversification benefits strong.</w:t>
      </w:r>
      <w:r>
        <w:br/>
        <w:t xml:space="preserve">  •  Normal (0.15–0.45): Standard market environment. Traditional allocation strategies functional.</w:t>
      </w:r>
      <w:r>
        <w:br/>
        <w:t xml:space="preserve">  •  Elevated (0.45–0.60): Above-average co-movement. Diversification weakening.</w:t>
      </w:r>
      <w:r>
        <w:br/>
        <w:t xml:space="preserve">  •  Crisis (&gt; 0.60): High systemic correlation. Diversification largely eliminated.</w:t>
      </w:r>
    </w:p>
    <w:p w14:paraId="1E23F6BA" w14:textId="77777777" w:rsidR="00467066" w:rsidRDefault="00000000">
      <w:pPr>
        <w:keepNext/>
        <w:spacing w:before="160" w:after="40"/>
      </w:pPr>
      <w:r>
        <w:rPr>
          <w:b/>
          <w:color w:val="FFFFFF"/>
        </w:rPr>
        <w:t>Composite Risk Score (0–100)</w:t>
      </w:r>
    </w:p>
    <w:p w14:paraId="64BCFA56" w14:textId="77777777" w:rsidR="00467066" w:rsidRDefault="00000000">
      <w:pPr>
        <w:spacing w:after="160"/>
        <w:jc w:val="both"/>
      </w:pPr>
      <w:r>
        <w:t>Weighted average of five components: Correlation Level, Volatility Regime, Early Warning Score, Macro Posture, and Geopolitical Stress. Scores below 30 represent low-stress environments; scores above 55 represent elevated-stress environments warranting risk reduction.</w:t>
      </w:r>
    </w:p>
    <w:p w14:paraId="40DC9AFF" w14:textId="77777777" w:rsidR="00467066" w:rsidRDefault="00000000">
      <w:pPr>
        <w:keepNext/>
        <w:spacing w:before="160" w:after="40"/>
      </w:pPr>
      <w:r>
        <w:rPr>
          <w:b/>
          <w:color w:val="FFFFFF"/>
        </w:rPr>
        <w:t>Diebold-Yilmaz Total Spillover Index</w:t>
      </w:r>
    </w:p>
    <w:p w14:paraId="6A32F5BC" w14:textId="77777777" w:rsidR="00467066" w:rsidRDefault="00000000">
      <w:pPr>
        <w:spacing w:after="160"/>
        <w:jc w:val="both"/>
      </w:pPr>
      <w:r>
        <w:t>Ranges from 0% to 100%. Represents the fraction of total forecast error variance attributable to cross-asset shocks. Values above 50% indicate a highly interconnected system. Values above 70% indicate systemic stress comparable to the 2008–2009 GFC.</w:t>
      </w:r>
    </w:p>
    <w:p w14:paraId="400A29FA" w14:textId="77777777" w:rsidR="00467066" w:rsidRDefault="00000000">
      <w:pPr>
        <w:keepNext/>
        <w:spacing w:before="160" w:after="40"/>
      </w:pPr>
      <w:r>
        <w:rPr>
          <w:b/>
          <w:color w:val="FFFFFF"/>
        </w:rPr>
        <w:t>Mean Days to Crisis (Markov)</w:t>
      </w:r>
    </w:p>
    <w:p w14:paraId="60F93F40" w14:textId="77777777" w:rsidR="00467066" w:rsidRDefault="00000000">
      <w:pPr>
        <w:spacing w:after="160"/>
        <w:jc w:val="both"/>
      </w:pPr>
      <w:r>
        <w:t>The expected number of trading days to first enter the Crisis regime from the current regime, computed as the mean first-passage time in the estimated Markov chain. This is a probabilistic expectation and should be treated as a planning horizon, not a precise prediction.</w:t>
      </w:r>
    </w:p>
    <w:p w14:paraId="54FC5583" w14:textId="77777777" w:rsidR="00467066" w:rsidRDefault="00000000">
      <w:pPr>
        <w:keepNext/>
        <w:spacing w:before="160" w:after="40"/>
      </w:pPr>
      <w:r>
        <w:rPr>
          <w:b/>
          <w:color w:val="FFFFFF"/>
        </w:rPr>
        <w:t>Value at Risk (VaR) and Expected Shortfall (ES)</w:t>
      </w:r>
    </w:p>
    <w:p w14:paraId="6F696591" w14:textId="77777777" w:rsidR="00467066" w:rsidRDefault="00000000">
      <w:pPr>
        <w:spacing w:after="160"/>
        <w:jc w:val="both"/>
      </w:pPr>
      <w:r>
        <w:t>VaR at confidence level c is the loss threshold not exceeded with probability c. VaR 95% is the loss level exceeded on 5% of historical observation days. ES (also known as Conditional VaR or CVaR) is the expected loss given that the loss exceeds the VaR threshold — a coherent risk measure that captures the average magnitude of tail losses, not just their threshold.</w:t>
      </w:r>
    </w:p>
    <w:p w14:paraId="396A69DB" w14:textId="77777777" w:rsidR="00467066" w:rsidRDefault="00000000">
      <w:r>
        <w:br w:type="page"/>
      </w:r>
    </w:p>
    <w:p w14:paraId="426BCBE7" w14:textId="77777777" w:rsidR="00467066" w:rsidRDefault="00000000">
      <w:pPr>
        <w:keepNext/>
        <w:spacing w:before="240" w:after="20"/>
      </w:pPr>
      <w:r>
        <w:rPr>
          <w:color w:val="C9A84C"/>
          <w:sz w:val="15"/>
        </w:rPr>
        <w:lastRenderedPageBreak/>
        <w:t>SECTION 9</w:t>
      </w:r>
    </w:p>
    <w:p w14:paraId="3C7A327D" w14:textId="77777777" w:rsidR="00467066" w:rsidRDefault="00000000">
      <w:pPr>
        <w:keepNext/>
        <w:pBdr>
          <w:bottom w:val="single" w:sz="10" w:space="4" w:color="C9A84C"/>
        </w:pBdr>
        <w:spacing w:after="60"/>
      </w:pPr>
      <w:r>
        <w:rPr>
          <w:b/>
          <w:color w:val="FFFFFF"/>
          <w:sz w:val="28"/>
        </w:rPr>
        <w:t>Troubleshooting and FAQ</w:t>
      </w:r>
    </w:p>
    <w:p w14:paraId="36EFA985" w14:textId="77777777" w:rsidR="00467066" w:rsidRDefault="00000000">
      <w:pPr>
        <w:spacing w:before="40" w:after="160"/>
        <w:jc w:val="both"/>
      </w:pPr>
      <w:r>
        <w:rPr>
          <w:i/>
          <w:color w:val="8890A1"/>
          <w:sz w:val="18"/>
        </w:rPr>
        <w:t>Common issues and their resolution.</w:t>
      </w:r>
    </w:p>
    <w:p w14:paraId="2347316E" w14:textId="77777777" w:rsidR="00467066" w:rsidRDefault="00467066">
      <w:pPr>
        <w:spacing w:after="0"/>
      </w:pPr>
    </w:p>
    <w:tbl>
      <w:tblPr>
        <w:tblStyle w:val="TableGrid"/>
        <w:tblW w:w="0" w:type="auto"/>
        <w:tblLook w:val="04A0" w:firstRow="1" w:lastRow="0" w:firstColumn="1" w:lastColumn="0" w:noHBand="0" w:noVBand="1"/>
      </w:tblPr>
      <w:tblGrid>
        <w:gridCol w:w="2895"/>
        <w:gridCol w:w="6393"/>
      </w:tblGrid>
      <w:tr w:rsidR="00467066" w14:paraId="75CE38F0" w14:textId="77777777">
        <w:trPr>
          <w:tblHeader/>
        </w:trPr>
        <w:tc>
          <w:tcPr>
            <w:tcW w:w="3118"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7D4001D4" w14:textId="77777777" w:rsidR="00467066" w:rsidRDefault="00000000">
            <w:pPr>
              <w:spacing w:before="60" w:after="60"/>
            </w:pPr>
            <w:r>
              <w:rPr>
                <w:b/>
                <w:color w:val="FFFFFF"/>
                <w:sz w:val="18"/>
              </w:rPr>
              <w:t>Issue</w:t>
            </w:r>
          </w:p>
        </w:tc>
        <w:tc>
          <w:tcPr>
            <w:tcW w:w="7143" w:type="dxa"/>
            <w:tcBorders>
              <w:top w:val="single" w:sz="6" w:space="0" w:color="1E2330"/>
              <w:left w:val="single" w:sz="6" w:space="0" w:color="1E2330"/>
              <w:bottom w:val="single" w:sz="12" w:space="0" w:color="C9A84C"/>
              <w:right w:val="single" w:sz="6" w:space="0" w:color="1E2330"/>
            </w:tcBorders>
            <w:shd w:val="clear" w:color="auto" w:fill="1E2330"/>
            <w:vAlign w:val="center"/>
          </w:tcPr>
          <w:p w14:paraId="1B931D0D" w14:textId="77777777" w:rsidR="00467066" w:rsidRDefault="00000000">
            <w:pPr>
              <w:spacing w:before="60" w:after="60"/>
            </w:pPr>
            <w:r>
              <w:rPr>
                <w:b/>
                <w:color w:val="FFFFFF"/>
                <w:sz w:val="18"/>
              </w:rPr>
              <w:t>Resolution</w:t>
            </w:r>
          </w:p>
        </w:tc>
      </w:tr>
      <w:tr w:rsidR="00467066" w14:paraId="2FDDB9F5" w14:textId="77777777">
        <w:tc>
          <w:tcPr>
            <w:tcW w:w="3118" w:type="dxa"/>
            <w:tcBorders>
              <w:left w:val="single" w:sz="4" w:space="0" w:color="1E2330"/>
              <w:bottom w:val="single" w:sz="4" w:space="0" w:color="2A3045"/>
              <w:right w:val="single" w:sz="4" w:space="0" w:color="1E2330"/>
            </w:tcBorders>
          </w:tcPr>
          <w:p w14:paraId="036B3864" w14:textId="77777777" w:rsidR="00467066" w:rsidRDefault="00000000">
            <w:pPr>
              <w:spacing w:before="60" w:after="60"/>
            </w:pPr>
            <w:r>
              <w:rPr>
                <w:sz w:val="18"/>
              </w:rPr>
              <w:t>AI agents show 'Add API key' message</w:t>
            </w:r>
          </w:p>
        </w:tc>
        <w:tc>
          <w:tcPr>
            <w:tcW w:w="7143" w:type="dxa"/>
            <w:tcBorders>
              <w:left w:val="single" w:sz="4" w:space="0" w:color="1E2330"/>
              <w:bottom w:val="single" w:sz="4" w:space="0" w:color="2A3045"/>
              <w:right w:val="single" w:sz="4" w:space="0" w:color="1E2330"/>
            </w:tcBorders>
          </w:tcPr>
          <w:p w14:paraId="435F08B4" w14:textId="77777777" w:rsidR="00467066" w:rsidRDefault="00000000">
            <w:pPr>
              <w:spacing w:before="60" w:after="60"/>
            </w:pPr>
            <w:r>
              <w:rPr>
                <w:sz w:val="18"/>
              </w:rPr>
              <w:t>No API key is configured. Add anthropic_api_key (preferred) or openai_api_key to .streamlit/secrets.toml under the [keys] section. On Render, use a Secret File — not Environment Variables.</w:t>
            </w:r>
          </w:p>
        </w:tc>
      </w:tr>
      <w:tr w:rsidR="00467066" w14:paraId="5D57A84E" w14:textId="77777777">
        <w:tc>
          <w:tcPr>
            <w:tcW w:w="3118" w:type="dxa"/>
            <w:tcBorders>
              <w:left w:val="single" w:sz="4" w:space="0" w:color="1E2330"/>
              <w:bottom w:val="single" w:sz="4" w:space="0" w:color="2A3045"/>
              <w:right w:val="single" w:sz="4" w:space="0" w:color="1E2330"/>
            </w:tcBorders>
            <w:shd w:val="clear" w:color="auto" w:fill="161B27"/>
          </w:tcPr>
          <w:p w14:paraId="6833BA4D" w14:textId="77777777" w:rsidR="00467066" w:rsidRDefault="00000000">
            <w:pPr>
              <w:spacing w:before="60" w:after="60"/>
            </w:pPr>
            <w:r>
              <w:rPr>
                <w:sz w:val="18"/>
              </w:rPr>
              <w:t>Macro Dashboard shows no data</w:t>
            </w:r>
          </w:p>
        </w:tc>
        <w:tc>
          <w:tcPr>
            <w:tcW w:w="7143" w:type="dxa"/>
            <w:tcBorders>
              <w:left w:val="single" w:sz="4" w:space="0" w:color="1E2330"/>
              <w:bottom w:val="single" w:sz="4" w:space="0" w:color="2A3045"/>
              <w:right w:val="single" w:sz="4" w:space="0" w:color="1E2330"/>
            </w:tcBorders>
            <w:shd w:val="clear" w:color="auto" w:fill="161B27"/>
          </w:tcPr>
          <w:p w14:paraId="237F150F" w14:textId="77777777" w:rsidR="00467066" w:rsidRDefault="00000000">
            <w:pPr>
              <w:spacing w:before="60" w:after="60"/>
            </w:pPr>
            <w:r>
              <w:rPr>
                <w:sz w:val="18"/>
              </w:rPr>
              <w:t>The FRED API key is missing or invalid. Add fred_api_key to .streamlit/secrets.toml. A free key is available at fred.stlouisfed.org.</w:t>
            </w:r>
          </w:p>
        </w:tc>
      </w:tr>
      <w:tr w:rsidR="00467066" w14:paraId="1DE07E62" w14:textId="77777777">
        <w:tc>
          <w:tcPr>
            <w:tcW w:w="3118" w:type="dxa"/>
            <w:tcBorders>
              <w:left w:val="single" w:sz="4" w:space="0" w:color="1E2330"/>
              <w:bottom w:val="single" w:sz="4" w:space="0" w:color="2A3045"/>
              <w:right w:val="single" w:sz="4" w:space="0" w:color="1E2330"/>
            </w:tcBorders>
          </w:tcPr>
          <w:p w14:paraId="06E09999" w14:textId="77777777" w:rsidR="00467066" w:rsidRDefault="00000000">
            <w:pPr>
              <w:spacing w:before="60" w:after="60"/>
            </w:pPr>
            <w:r>
              <w:rPr>
                <w:sz w:val="18"/>
              </w:rPr>
              <w:t>yfinance returns empty data for a ticker</w:t>
            </w:r>
          </w:p>
        </w:tc>
        <w:tc>
          <w:tcPr>
            <w:tcW w:w="7143" w:type="dxa"/>
            <w:tcBorders>
              <w:left w:val="single" w:sz="4" w:space="0" w:color="1E2330"/>
              <w:bottom w:val="single" w:sz="4" w:space="0" w:color="2A3045"/>
              <w:right w:val="single" w:sz="4" w:space="0" w:color="1E2330"/>
            </w:tcBorders>
          </w:tcPr>
          <w:p w14:paraId="71712D37" w14:textId="77777777" w:rsidR="00467066" w:rsidRDefault="00000000">
            <w:pPr>
              <w:spacing w:before="60" w:after="60"/>
            </w:pPr>
            <w:r>
              <w:rPr>
                <w:sz w:val="18"/>
              </w:rPr>
              <w:t>Yahoo Finance may be temporarily rate-limiting. Wait 60 seconds and reload. If persistent, verify the ticker symbol at finance.yahoo.com.</w:t>
            </w:r>
          </w:p>
        </w:tc>
      </w:tr>
      <w:tr w:rsidR="00467066" w14:paraId="6DBE3466" w14:textId="77777777">
        <w:tc>
          <w:tcPr>
            <w:tcW w:w="3118" w:type="dxa"/>
            <w:tcBorders>
              <w:left w:val="single" w:sz="4" w:space="0" w:color="1E2330"/>
              <w:bottom w:val="single" w:sz="4" w:space="0" w:color="2A3045"/>
              <w:right w:val="single" w:sz="4" w:space="0" w:color="1E2330"/>
            </w:tcBorders>
            <w:shd w:val="clear" w:color="auto" w:fill="161B27"/>
          </w:tcPr>
          <w:p w14:paraId="485D428E" w14:textId="77777777" w:rsidR="00467066" w:rsidRDefault="00000000">
            <w:pPr>
              <w:spacing w:before="60" w:after="60"/>
            </w:pPr>
            <w:r>
              <w:rPr>
                <w:sz w:val="18"/>
              </w:rPr>
              <w:t>DCC-GARCH model fails to converge</w:t>
            </w:r>
          </w:p>
        </w:tc>
        <w:tc>
          <w:tcPr>
            <w:tcW w:w="7143" w:type="dxa"/>
            <w:tcBorders>
              <w:left w:val="single" w:sz="4" w:space="0" w:color="1E2330"/>
              <w:bottom w:val="single" w:sz="4" w:space="0" w:color="2A3045"/>
              <w:right w:val="single" w:sz="4" w:space="0" w:color="1E2330"/>
            </w:tcBorders>
            <w:shd w:val="clear" w:color="auto" w:fill="161B27"/>
          </w:tcPr>
          <w:p w14:paraId="3CCF09F8" w14:textId="77777777" w:rsidR="00467066" w:rsidRDefault="00000000">
            <w:pPr>
              <w:spacing w:before="60" w:after="60"/>
            </w:pPr>
            <w:r>
              <w:rPr>
                <w:sz w:val="18"/>
              </w:rPr>
              <w:t>Can occur with very short data windows or extreme return distributions. The platform falls back to rolling Pearson automatically. Increase the data lookback window or reduce the number of selected assets.</w:t>
            </w:r>
          </w:p>
        </w:tc>
      </w:tr>
      <w:tr w:rsidR="00467066" w14:paraId="6D2E88B5" w14:textId="77777777">
        <w:tc>
          <w:tcPr>
            <w:tcW w:w="3118" w:type="dxa"/>
            <w:tcBorders>
              <w:left w:val="single" w:sz="4" w:space="0" w:color="1E2330"/>
              <w:bottom w:val="single" w:sz="4" w:space="0" w:color="2A3045"/>
              <w:right w:val="single" w:sz="4" w:space="0" w:color="1E2330"/>
            </w:tcBorders>
          </w:tcPr>
          <w:p w14:paraId="34ED2DEF" w14:textId="77777777" w:rsidR="00467066" w:rsidRDefault="00000000">
            <w:pPr>
              <w:spacing w:before="60" w:after="60"/>
            </w:pPr>
            <w:r>
              <w:rPr>
                <w:sz w:val="18"/>
              </w:rPr>
              <w:t>AI Workforce error on Overview page</w:t>
            </w:r>
          </w:p>
        </w:tc>
        <w:tc>
          <w:tcPr>
            <w:tcW w:w="7143" w:type="dxa"/>
            <w:tcBorders>
              <w:left w:val="single" w:sz="4" w:space="0" w:color="1E2330"/>
              <w:bottom w:val="single" w:sz="4" w:space="0" w:color="2A3045"/>
              <w:right w:val="single" w:sz="4" w:space="0" w:color="1E2330"/>
            </w:tcBorders>
          </w:tcPr>
          <w:p w14:paraId="0A07ED7D" w14:textId="77777777" w:rsidR="00467066" w:rsidRDefault="00000000">
            <w:pPr>
              <w:spacing w:before="60" w:after="60"/>
            </w:pPr>
            <w:r>
              <w:rPr>
                <w:sz w:val="18"/>
              </w:rPr>
              <w:t>Check the error details expander for the full traceback. Common causes: API key invalid or rate-limited; data fetch failure; session state inconsistency. Refresh the page to reinitialise the agent pipeline.</w:t>
            </w:r>
          </w:p>
        </w:tc>
      </w:tr>
      <w:tr w:rsidR="00467066" w14:paraId="1AA28D23" w14:textId="77777777">
        <w:tc>
          <w:tcPr>
            <w:tcW w:w="3118" w:type="dxa"/>
            <w:tcBorders>
              <w:left w:val="single" w:sz="4" w:space="0" w:color="1E2330"/>
              <w:bottom w:val="single" w:sz="4" w:space="0" w:color="2A3045"/>
              <w:right w:val="single" w:sz="4" w:space="0" w:color="1E2330"/>
            </w:tcBorders>
            <w:shd w:val="clear" w:color="auto" w:fill="161B27"/>
          </w:tcPr>
          <w:p w14:paraId="2D3F7FB7" w14:textId="77777777" w:rsidR="00467066" w:rsidRDefault="00000000">
            <w:pPr>
              <w:spacing w:before="60" w:after="60"/>
            </w:pPr>
            <w:r>
              <w:rPr>
                <w:sz w:val="18"/>
              </w:rPr>
              <w:t>Granger heatmap shows no significant pairs</w:t>
            </w:r>
          </w:p>
        </w:tc>
        <w:tc>
          <w:tcPr>
            <w:tcW w:w="7143" w:type="dxa"/>
            <w:tcBorders>
              <w:left w:val="single" w:sz="4" w:space="0" w:color="1E2330"/>
              <w:bottom w:val="single" w:sz="4" w:space="0" w:color="2A3045"/>
              <w:right w:val="single" w:sz="4" w:space="0" w:color="1E2330"/>
            </w:tcBorders>
            <w:shd w:val="clear" w:color="auto" w:fill="161B27"/>
          </w:tcPr>
          <w:p w14:paraId="781361F9" w14:textId="77777777" w:rsidR="00467066" w:rsidRDefault="00000000">
            <w:pPr>
              <w:spacing w:before="60" w:after="60"/>
            </w:pPr>
            <w:r>
              <w:rPr>
                <w:sz w:val="18"/>
              </w:rPr>
              <w:t>Increase the maximum lag parameter (default: 5 days) in the Spillover Analytics panel. Expand the asset selection — small sets reduce statistical power.</w:t>
            </w:r>
          </w:p>
        </w:tc>
      </w:tr>
      <w:tr w:rsidR="00467066" w14:paraId="713AD67B" w14:textId="77777777">
        <w:tc>
          <w:tcPr>
            <w:tcW w:w="3118" w:type="dxa"/>
            <w:tcBorders>
              <w:left w:val="single" w:sz="4" w:space="0" w:color="1E2330"/>
              <w:bottom w:val="single" w:sz="4" w:space="0" w:color="2A3045"/>
              <w:right w:val="single" w:sz="4" w:space="0" w:color="1E2330"/>
            </w:tcBorders>
          </w:tcPr>
          <w:p w14:paraId="690D3EF8" w14:textId="77777777" w:rsidR="00467066" w:rsidRDefault="00000000">
            <w:pPr>
              <w:spacing w:before="60" w:after="60"/>
            </w:pPr>
            <w:r>
              <w:rPr>
                <w:sz w:val="18"/>
              </w:rPr>
              <w:t>PDF report download not working</w:t>
            </w:r>
          </w:p>
        </w:tc>
        <w:tc>
          <w:tcPr>
            <w:tcW w:w="7143" w:type="dxa"/>
            <w:tcBorders>
              <w:left w:val="single" w:sz="4" w:space="0" w:color="1E2330"/>
              <w:bottom w:val="single" w:sz="4" w:space="0" w:color="2A3045"/>
              <w:right w:val="single" w:sz="4" w:space="0" w:color="1E2330"/>
            </w:tcBorders>
          </w:tcPr>
          <w:p w14:paraId="3C35A655" w14:textId="77777777" w:rsidR="00467066" w:rsidRDefault="00000000">
            <w:pPr>
              <w:spacing w:before="60" w:after="60"/>
            </w:pPr>
            <w:r>
              <w:rPr>
                <w:sz w:val="18"/>
              </w:rPr>
              <w:t>Ensure reportlab and Pillow are installed: pip install reportlab Pillow.</w:t>
            </w:r>
          </w:p>
        </w:tc>
      </w:tr>
      <w:tr w:rsidR="00467066" w14:paraId="4007ECBE" w14:textId="77777777">
        <w:tc>
          <w:tcPr>
            <w:tcW w:w="3118" w:type="dxa"/>
            <w:tcBorders>
              <w:left w:val="single" w:sz="4" w:space="0" w:color="1E2330"/>
              <w:bottom w:val="single" w:sz="4" w:space="0" w:color="2A3045"/>
              <w:right w:val="single" w:sz="4" w:space="0" w:color="1E2330"/>
            </w:tcBorders>
            <w:shd w:val="clear" w:color="auto" w:fill="161B27"/>
          </w:tcPr>
          <w:p w14:paraId="79431116" w14:textId="77777777" w:rsidR="00467066" w:rsidRDefault="00000000">
            <w:pPr>
              <w:spacing w:before="60" w:after="60"/>
            </w:pPr>
            <w:r>
              <w:rPr>
                <w:sz w:val="18"/>
              </w:rPr>
              <w:t>Streamlit shows 'ScriptRunContext' error</w:t>
            </w:r>
          </w:p>
        </w:tc>
        <w:tc>
          <w:tcPr>
            <w:tcW w:w="7143" w:type="dxa"/>
            <w:tcBorders>
              <w:left w:val="single" w:sz="4" w:space="0" w:color="1E2330"/>
              <w:bottom w:val="single" w:sz="4" w:space="0" w:color="2A3045"/>
              <w:right w:val="single" w:sz="4" w:space="0" w:color="1E2330"/>
            </w:tcBorders>
            <w:shd w:val="clear" w:color="auto" w:fill="161B27"/>
          </w:tcPr>
          <w:p w14:paraId="1CF3621E" w14:textId="77777777" w:rsidR="00467066" w:rsidRDefault="00000000">
            <w:pPr>
              <w:spacing w:before="60" w:after="60"/>
            </w:pPr>
            <w:r>
              <w:rPr>
                <w:sz w:val="18"/>
              </w:rPr>
              <w:t>Thread-safety caching issue. Refresh the page. If persistent, clear the Streamlit cache from the top-right hamburger menu.</w:t>
            </w:r>
          </w:p>
        </w:tc>
      </w:tr>
    </w:tbl>
    <w:p w14:paraId="0B1218AE" w14:textId="77777777" w:rsidR="00467066" w:rsidRDefault="00467066">
      <w:pPr>
        <w:spacing w:after="0"/>
      </w:pPr>
    </w:p>
    <w:p w14:paraId="50499504" w14:textId="77777777" w:rsidR="00467066" w:rsidRDefault="00467066">
      <w:pPr>
        <w:spacing w:after="0"/>
      </w:pPr>
    </w:p>
    <w:p w14:paraId="31E69112" w14:textId="77777777" w:rsidR="00467066" w:rsidRDefault="00000000">
      <w:pPr>
        <w:jc w:val="both"/>
      </w:pPr>
      <w:r>
        <w:rPr>
          <w:i/>
          <w:color w:val="8890A1"/>
          <w:sz w:val="18"/>
        </w:rPr>
        <w:t>For questions or issue reports, please contact the development team via the GitHub repository at github.com/HPATKAR/equity-commodities-spillover.</w:t>
      </w:r>
    </w:p>
    <w:p w14:paraId="7558387A" w14:textId="77777777" w:rsidR="00467066" w:rsidRDefault="00467066">
      <w:pPr>
        <w:spacing w:after="0"/>
      </w:pPr>
    </w:p>
    <w:p w14:paraId="547B9176" w14:textId="77777777" w:rsidR="00467066" w:rsidRDefault="00467066">
      <w:pPr>
        <w:pBdr>
          <w:bottom w:val="single" w:sz="6" w:space="4" w:color="C9A84C"/>
        </w:pBdr>
        <w:spacing w:after="60"/>
      </w:pPr>
    </w:p>
    <w:p w14:paraId="23884059" w14:textId="77777777" w:rsidR="00467066" w:rsidRDefault="00000000">
      <w:pPr>
        <w:spacing w:after="0"/>
        <w:jc w:val="center"/>
      </w:pPr>
      <w:r>
        <w:rPr>
          <w:color w:val="8890A1"/>
          <w:sz w:val="16"/>
        </w:rPr>
        <w:t>Equity-Commodities Spillover Monitor  ·  Purdue University  ·  Mitchell E. Daniels, Jr. School of Business  ·  MGMT 69000-120: AI for Finance  ·  Heramb S. Patkar  ·  Jiahe Miao  ·  Ilian Zalomai  ·  April 2026</w:t>
      </w:r>
    </w:p>
    <w:sectPr w:rsidR="00467066" w:rsidSect="00A006EF">
      <w:headerReference w:type="even" r:id="rId8"/>
      <w:headerReference w:type="default" r:id="rId9"/>
      <w:footerReference w:type="even" r:id="rId10"/>
      <w:footerReference w:type="default" r:id="rId11"/>
      <w:headerReference w:type="first" r:id="rId12"/>
      <w:footerReference w:type="first" r:id="rId13"/>
      <w:pgSz w:w="11906" w:h="16838"/>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C6575" w14:textId="77777777" w:rsidR="001C48BB" w:rsidRDefault="001C48BB" w:rsidP="00694A66">
      <w:pPr>
        <w:spacing w:after="0" w:line="240" w:lineRule="auto"/>
      </w:pPr>
      <w:r>
        <w:separator/>
      </w:r>
    </w:p>
  </w:endnote>
  <w:endnote w:type="continuationSeparator" w:id="0">
    <w:p w14:paraId="49B51970" w14:textId="77777777" w:rsidR="001C48BB" w:rsidRDefault="001C48BB" w:rsidP="00694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5603478"/>
      <w:docPartObj>
        <w:docPartGallery w:val="Page Numbers (Bottom of Page)"/>
        <w:docPartUnique/>
      </w:docPartObj>
    </w:sdtPr>
    <w:sdtContent>
      <w:p w14:paraId="0D39C5AF" w14:textId="44D13783" w:rsidR="00A006EF" w:rsidRDefault="00A006EF" w:rsidP="00002D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744138457"/>
      <w:docPartObj>
        <w:docPartGallery w:val="Page Numbers (Bottom of Page)"/>
        <w:docPartUnique/>
      </w:docPartObj>
    </w:sdtPr>
    <w:sdtContent>
      <w:p w14:paraId="4835999F" w14:textId="553193FA" w:rsidR="00DC58C5" w:rsidRDefault="00DC58C5" w:rsidP="00A006E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77289C4" w14:textId="77777777" w:rsidR="00DC58C5" w:rsidRDefault="00DC58C5" w:rsidP="00DC58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6516877"/>
      <w:docPartObj>
        <w:docPartGallery w:val="Page Numbers (Bottom of Page)"/>
        <w:docPartUnique/>
      </w:docPartObj>
    </w:sdtPr>
    <w:sdtContent>
      <w:p w14:paraId="12597E12" w14:textId="6773128C" w:rsidR="00A006EF" w:rsidRDefault="00A006EF" w:rsidP="00002D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7D8A6C5" w14:textId="7713E69F" w:rsidR="00A957B7" w:rsidRDefault="00A006EF" w:rsidP="00DC58C5">
    <w:pPr>
      <w:pStyle w:val="Footer"/>
      <w:ind w:right="360"/>
    </w:pPr>
    <w:r>
      <w:rPr>
        <w:noProof/>
      </w:rPr>
      <w:drawing>
        <wp:inline distT="0" distB="0" distL="0" distR="0" wp14:anchorId="310356AF" wp14:editId="29F6581A">
          <wp:extent cx="390049" cy="240030"/>
          <wp:effectExtent l="0" t="0" r="3810" b="1270"/>
          <wp:docPr id="1203617707" name="Picture 4" descr="Cross-Asset Spillover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oss-Asset Spillover Monit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049" cy="24003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DF9" w14:textId="77777777" w:rsidR="00B70131" w:rsidRDefault="00B701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C4D59" w14:textId="77777777" w:rsidR="001C48BB" w:rsidRDefault="001C48BB" w:rsidP="00694A66">
      <w:pPr>
        <w:spacing w:after="0" w:line="240" w:lineRule="auto"/>
      </w:pPr>
      <w:r>
        <w:separator/>
      </w:r>
    </w:p>
  </w:footnote>
  <w:footnote w:type="continuationSeparator" w:id="0">
    <w:p w14:paraId="2D081298" w14:textId="77777777" w:rsidR="001C48BB" w:rsidRDefault="001C48BB" w:rsidP="00694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7FF3" w14:textId="77777777" w:rsidR="00694A66" w:rsidRDefault="00694A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B8280" w14:textId="6392AFC8" w:rsidR="00694A66" w:rsidRDefault="00694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9304" w14:textId="77777777" w:rsidR="00694A66" w:rsidRDefault="00694A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495721">
    <w:abstractNumId w:val="8"/>
  </w:num>
  <w:num w:numId="2" w16cid:durableId="1811364166">
    <w:abstractNumId w:val="6"/>
  </w:num>
  <w:num w:numId="3" w16cid:durableId="2103064948">
    <w:abstractNumId w:val="5"/>
  </w:num>
  <w:num w:numId="4" w16cid:durableId="1609046064">
    <w:abstractNumId w:val="4"/>
  </w:num>
  <w:num w:numId="5" w16cid:durableId="171603212">
    <w:abstractNumId w:val="7"/>
  </w:num>
  <w:num w:numId="6" w16cid:durableId="1105998399">
    <w:abstractNumId w:val="3"/>
  </w:num>
  <w:num w:numId="7" w16cid:durableId="585849953">
    <w:abstractNumId w:val="2"/>
  </w:num>
  <w:num w:numId="8" w16cid:durableId="2109426988">
    <w:abstractNumId w:val="1"/>
  </w:num>
  <w:num w:numId="9" w16cid:durableId="122880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322"/>
    <w:rsid w:val="0015074B"/>
    <w:rsid w:val="001C48BB"/>
    <w:rsid w:val="0029639D"/>
    <w:rsid w:val="00326F90"/>
    <w:rsid w:val="00467066"/>
    <w:rsid w:val="00694A66"/>
    <w:rsid w:val="008D22A8"/>
    <w:rsid w:val="00983757"/>
    <w:rsid w:val="00A006EF"/>
    <w:rsid w:val="00A957B7"/>
    <w:rsid w:val="00AA1D8D"/>
    <w:rsid w:val="00B04AF8"/>
    <w:rsid w:val="00B47730"/>
    <w:rsid w:val="00B70131"/>
    <w:rsid w:val="00CB0664"/>
    <w:rsid w:val="00DC58C5"/>
    <w:rsid w:val="00F525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201E2"/>
  <w14:defaultImageDpi w14:val="300"/>
  <w15:docId w15:val="{3F7B7678-0D9E-D74E-8673-307FA1A0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D4D8E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C5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5446</Words>
  <Characters>35237</Characters>
  <Application>Microsoft Office Word</Application>
  <DocSecurity>0</DocSecurity>
  <Lines>1006</Lines>
  <Paragraphs>739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Heramb Sanjeev Patkar</cp:lastModifiedBy>
  <cp:revision>3</cp:revision>
  <cp:lastPrinted>2026-04-03T19:15:00Z</cp:lastPrinted>
  <dcterms:created xsi:type="dcterms:W3CDTF">2026-04-03T19:15:00Z</dcterms:created>
  <dcterms:modified xsi:type="dcterms:W3CDTF">2026-04-03T19:16:00Z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02d9253aaec0cc958650b0837978ed985c8f8f801c6eeb0d62d6e3b5c4c4d036</vt:lpwstr>
  </property>
</Properties>
</file>