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Equity-Commodities Spillover Monitor</w:t>
      </w:r>
    </w:p>
    <w:p>
      <w:pPr>
        <w:spacing w:after="80"/>
        <w:jc w:val="center"/>
      </w:pPr>
      <w:r>
        <w:rPr>
          <w:color w:val="555555"/>
          <w:sz w:val="24"/>
        </w:rPr>
        <w:t>Weekly Development Update  ·  Apr 14–21, 2026</w:t>
      </w:r>
    </w:p>
    <w:p>
      <w:pPr>
        <w:jc w:val="center"/>
      </w:pPr>
      <w:r>
        <w:rPr>
          <w:b/>
          <w:color w:val="2C3E50"/>
          <w:sz w:val="22"/>
        </w:rPr>
        <w:t>Heramb Patkar  ·  Ilian  ·  Jiahe</w:t>
      </w:r>
    </w:p>
    <w:p>
      <w:pPr>
        <w:pBdr>
          <w:bottom w:val="single" w:sz="6" w:space="1" w:color="CCCCCC"/>
        </w:pBdr>
        <w:spacing w:after="80"/>
      </w:pPr>
    </w:p>
    <w:p/>
    <w:p>
      <w:pPr>
        <w:pStyle w:val="Heading1"/>
      </w:pPr>
      <w:r>
        <w:rPr>
          <w:color w:val="1A1A2E"/>
        </w:rPr>
        <w:t>1. Risk Score Recalibration</w:t>
      </w:r>
    </w:p>
    <w:p>
      <w:pPr>
        <w:spacing w:after="120"/>
      </w:pPr>
      <w:r>
        <w:rPr>
          <w:sz w:val="22"/>
        </w:rPr>
        <w:t>The composite Global Risk Score was systematically underreporting during active geopolitical stress — scoring 2015 volatility-shock periods higher than live conflict situations. We traced this to three structural issues in the scoring pipeline and corrected all three.</w:t>
      </w:r>
    </w:p>
    <w:p>
      <w:pPr>
        <w:pStyle w:val="ListBullet"/>
        <w:spacing w:after="60"/>
      </w:pPr>
      <w:r>
        <w:rPr>
          <w:b/>
          <w:sz w:val="22"/>
        </w:rPr>
        <w:t>OLS residualization removed.</w:t>
      </w:r>
      <w:r>
        <w:rPr>
          <w:sz w:val="22"/>
        </w:rPr>
        <w:t xml:space="preserve"> Removed OLS residualization from the commodity vol sub-score, which was stripping the oil signal during geopolitical shocks — the exact moment it should spike.</w:t>
      </w:r>
    </w:p>
    <w:p>
      <w:pPr>
        <w:pStyle w:val="ListBullet"/>
        <w:spacing w:after="60"/>
      </w:pPr>
      <w:r>
        <w:rPr>
          <w:b/>
          <w:sz w:val="22"/>
        </w:rPr>
        <w:t>Oil+gold joint elevation signal added.</w:t>
      </w:r>
      <w:r>
        <w:rPr>
          <w:sz w:val="22"/>
        </w:rPr>
        <w:t xml:space="preserve"> Oil and gold rising simultaneously is an empirical war signature. The model now rewards joint elevation explicitly via a dedicated sub-signal, improving sensitivity to supply-disruption regimes.</w:t>
      </w:r>
    </w:p>
    <w:p>
      <w:pPr>
        <w:pStyle w:val="ListBullet"/>
        <w:spacing w:after="60"/>
      </w:pPr>
      <w:r>
        <w:rPr>
          <w:b/>
          <w:sz w:val="22"/>
        </w:rPr>
        <w:t>EWM span extended to 252 days.</w:t>
      </w:r>
      <w:r>
        <w:rPr>
          <w:sz w:val="22"/>
        </w:rPr>
        <w:t xml:space="preserve"> Switched EWM span to 252 trading days (one year) to prevent the model from treating a sustained crisis as the 'new normal' and deflating scores over time.</w:t>
      </w:r>
    </w:p>
    <w:p>
      <w:pPr>
        <w:pStyle w:val="ListBullet"/>
        <w:spacing w:after="60"/>
      </w:pPr>
      <w:r>
        <w:rPr>
          <w:b/>
          <w:sz w:val="22"/>
        </w:rPr>
        <w:t>Sub-score weights amplified.</w:t>
      </w:r>
      <w:r>
        <w:rPr>
          <w:sz w:val="22"/>
        </w:rPr>
        <w:t xml:space="preserve"> Strengthened safe-haven score weights (gold scale 14→16, geo boost 3×→5×) and remapped the z-score conversion so z=+2 now corresponds to ~80 instead of ~74.</w:t>
      </w:r>
    </w:p>
    <w:p>
      <w:pPr>
        <w:pStyle w:val="ListBullet"/>
        <w:spacing w:after="60"/>
      </w:pPr>
      <w:r>
        <w:rPr>
          <w:b/>
          <w:sz w:val="22"/>
        </w:rPr>
        <w:t>Gauge precision improved.</w:t>
      </w:r>
      <w:r>
        <w:rPr>
          <w:sz w:val="22"/>
        </w:rPr>
        <w:t xml:space="preserve"> Added one-decimal display on the risk gauge (e.g. 76.3 vs 77.1) so incremental movement becomes visible to the user.</w:t>
      </w:r>
    </w:p>
    <w:p/>
    <w:p>
      <w:pPr>
        <w:pStyle w:val="Heading1"/>
      </w:pPr>
      <w:r>
        <w:rPr>
          <w:color w:val="1A1A2E"/>
        </w:rPr>
        <w:t>2. Portfolio HHI Breadth Multiplier</w:t>
      </w:r>
    </w:p>
    <w:p>
      <w:pPr>
        <w:spacing w:after="120"/>
      </w:pPr>
      <w:r>
        <w:rPr>
          <w:sz w:val="22"/>
        </w:rPr>
        <w:t>The portfolio-level CIS/TPS aggregation had a structural paradox: adding more active conflicts lowered the score because the weighted average diluted concentrated signals. A portfolio with one severe conflict was being scored lower than it should be relative to one with many minor ones.</w:t>
      </w:r>
    </w:p>
    <w:p>
      <w:pPr>
        <w:spacing w:after="120"/>
      </w:pPr>
      <w:r>
        <w:rPr>
          <w:sz w:val="22"/>
        </w:rPr>
        <w:t>We introduced an HHI-based effective-N multiplier (n_eff^0.25). When portfolio risk is concentrated in one or two conflicts, the aggregated score receives a breadth premium. Diversified exposure remains flat. This mirrors how institutional risk systems handle concentration risk and eliminates the multi-conflict dilution paradox.</w:t>
      </w:r>
    </w:p>
    <w:p/>
    <w:p>
      <w:pPr>
        <w:pStyle w:val="Heading1"/>
      </w:pPr>
      <w:r>
        <w:rPr>
          <w:color w:val="1A1A2E"/>
        </w:rPr>
        <w:t>3. GDELT Rate Limiting (429 Fix)</w:t>
      </w:r>
    </w:p>
    <w:p>
      <w:pPr>
        <w:spacing w:after="120"/>
      </w:pPr>
      <w:r>
        <w:rPr>
          <w:sz w:val="22"/>
        </w:rPr>
        <w:t>On cold start, the six-conflict GDELT loop was firing 12 back-to-back HTTP requests, triggering GDELT's CDN rate limiter and producing DATA DEGRADED warnings across all pages. We implemented a three-layer fix:</w:t>
      </w:r>
    </w:p>
    <w:p>
      <w:pPr>
        <w:pStyle w:val="ListBullet"/>
        <w:spacing w:after="60"/>
      </w:pPr>
      <w:r>
        <w:rPr>
          <w:b/>
          <w:sz w:val="22"/>
        </w:rPr>
        <w:t>Intra-conflict throttle.</w:t>
      </w:r>
      <w:r>
        <w:rPr>
          <w:sz w:val="22"/>
        </w:rPr>
        <w:t xml:space="preserve"> 0.8s pause inserted between the TimelineVol and ArtList calls within each conflict fetch.</w:t>
      </w:r>
    </w:p>
    <w:p>
      <w:pPr>
        <w:pStyle w:val="ListBullet"/>
        <w:spacing w:after="60"/>
      </w:pPr>
      <w:r>
        <w:rPr>
          <w:b/>
          <w:sz w:val="22"/>
        </w:rPr>
        <w:t>Inter-conflict delay.</w:t>
      </w:r>
      <w:r>
        <w:rPr>
          <w:sz w:val="22"/>
        </w:rPr>
        <w:t xml:space="preserve"> 1.5s pause between conflicts, applied only for live fetches — cached results skip the sleep entirely.</w:t>
      </w:r>
    </w:p>
    <w:p>
      <w:pPr>
        <w:pStyle w:val="ListBullet"/>
        <w:spacing w:after="60"/>
      </w:pPr>
      <w:r>
        <w:rPr>
          <w:b/>
          <w:sz w:val="22"/>
        </w:rPr>
        <w:t>429 retry with backoff.</w:t>
      </w:r>
      <w:r>
        <w:rPr>
          <w:sz w:val="22"/>
        </w:rPr>
        <w:t xml:space="preserve"> One automatic retry with 4s exponential backoff specifically on HTTP 429 responses.</w:t>
      </w:r>
    </w:p>
    <w:p>
      <w:pPr>
        <w:pStyle w:val="ListBullet"/>
        <w:spacing w:after="60"/>
      </w:pPr>
      <w:r>
        <w:rPr>
          <w:b/>
          <w:sz w:val="22"/>
        </w:rPr>
        <w:t>Outer Streamlit cache.</w:t>
      </w:r>
      <w:r>
        <w:rPr>
          <w:sz w:val="22"/>
        </w:rPr>
        <w:t xml:space="preserve"> Added @st.cache_data(ttl=3h) to the outer fetch_all_gdelt_signals function, so the 9–12s cold start happens at most once per three-hour session.</w:t>
      </w:r>
    </w:p>
    <w:p/>
    <w:p>
      <w:pPr>
        <w:pStyle w:val="Heading1"/>
      </w:pPr>
      <w:r>
        <w:rPr>
          <w:color w:val="1A1A2E"/>
        </w:rPr>
        <w:t>4. Performance — Page Load Speed</w:t>
      </w:r>
    </w:p>
    <w:p>
      <w:pPr>
        <w:spacing w:after="120"/>
      </w:pPr>
      <w:r>
        <w:rPr>
          <w:sz w:val="22"/>
        </w:rPr>
        <w:t>Every page was re-running expensive computations on each visit. The primary offenders were VAR model fits (Diebold-Yilmaz, rolling DY), transfer entropy matrix computation, Granger causality grid, and repeated yfinance price downloads.</w:t>
      </w:r>
    </w:p>
    <w:p>
      <w:pPr>
        <w:pStyle w:val="ListBullet"/>
        <w:spacing w:after="60"/>
      </w:pPr>
      <w:r>
        <w:rPr>
          <w:b/>
          <w:sz w:val="22"/>
        </w:rPr>
        <w:t>Spillover computations cached.</w:t>
      </w:r>
      <w:r>
        <w:rPr>
          <w:sz w:val="22"/>
        </w:rPr>
        <w:t xml:space="preserve"> @st.cache_data(ttl=3600) added to granger_grid, transfer_entropy_matrix, diebold_yilmaz, and rolling_diebold_yilmaz. After first load, all four return from memory in under 100ms.</w:t>
      </w:r>
    </w:p>
    <w:p>
      <w:pPr>
        <w:pStyle w:val="ListBullet"/>
        <w:spacing w:after="60"/>
      </w:pPr>
      <w:r>
        <w:rPr>
          <w:b/>
          <w:sz w:val="22"/>
        </w:rPr>
        <w:t>Data loader TTLs extended.</w:t>
      </w:r>
      <w:r>
        <w:rPr>
          <w:sz w:val="22"/>
        </w:rPr>
        <w:t xml:space="preserve"> Price loader TTLs increased from 5 minutes to 30 minutes. FRED macro TTL extended from 1 hour to 24 hours — FRED updates once daily, so sub-hourly fetching was unnecessary.</w:t>
      </w:r>
    </w:p>
    <w:p>
      <w:pPr>
        <w:pStyle w:val="ListBullet"/>
        <w:spacing w:after="60"/>
      </w:pPr>
      <w:r>
        <w:rPr>
          <w:b/>
          <w:sz w:val="22"/>
        </w:rPr>
        <w:t>Conflict scoring TTL extended.</w:t>
      </w:r>
      <w:r>
        <w:rPr>
          <w:sz w:val="22"/>
        </w:rPr>
        <w:t xml:space="preserve"> Conflict scoring (CIS/TPS) TTL increased from 5 minutes to 1 hour, eliminating recomputation on every page switch.</w:t>
      </w:r>
    </w:p>
    <w:p/>
    <w:p>
      <w:pPr>
        <w:pStyle w:val="Heading1"/>
      </w:pPr>
      <w:r>
        <w:rPr>
          <w:color w:val="1A1A2E"/>
        </w:rPr>
        <w:t>5. UI/UX Polish</w:t>
      </w:r>
    </w:p>
    <w:p>
      <w:pPr>
        <w:pStyle w:val="ListBullet"/>
        <w:spacing w:after="60"/>
      </w:pPr>
      <w:r>
        <w:rPr>
          <w:b/>
          <w:sz w:val="22"/>
        </w:rPr>
        <w:t>Raw exception banners silenced.</w:t>
      </w:r>
      <w:r>
        <w:rPr>
          <w:sz w:val="22"/>
        </w:rPr>
        <w:t xml:space="preserve"> st.error() and st.warning() blocks surfacing raw API exceptions, auth errors, and configuration instructions to end users were converted to silent pass.</w:t>
      </w:r>
    </w:p>
    <w:p>
      <w:pPr>
        <w:pStyle w:val="ListBullet"/>
        <w:spacing w:after="60"/>
      </w:pPr>
      <w:r>
        <w:rPr>
          <w:b/>
          <w:sz w:val="22"/>
        </w:rPr>
        <w:t>Optional source failures suppressed.</w:t>
      </w:r>
      <w:r>
        <w:rPr>
          <w:sz w:val="22"/>
        </w:rPr>
        <w:t xml:space="preserve"> GDELT and ACLED failures removed from the DATA DEGRADED command center banner. These are optional enrichment sources — their transient failures (JSONDecodeError, 429) were generating alarming-looking banners that had no actionable meaning for the user. Failures are still tracked internally for diagnostics.</w:t>
      </w:r>
    </w:p>
    <w:p>
      <w:pPr>
        <w:pStyle w:val="ListBullet"/>
        <w:spacing w:after="60"/>
      </w:pPr>
      <w:r>
        <w:rPr>
          <w:b/>
          <w:sz w:val="22"/>
        </w:rPr>
        <w:t>Streamlit deprecation migration.</w:t>
      </w:r>
      <w:r>
        <w:rPr>
          <w:sz w:val="22"/>
        </w:rPr>
        <w:t xml:space="preserve"> 53 call sites updated from the deprecated use_container_width=True API to width='stretch' across 14 files.</w:t>
      </w:r>
    </w:p>
    <w:p>
      <w:pPr>
        <w:pStyle w:val="ListBullet"/>
        <w:spacing w:after="60"/>
      </w:pPr>
      <w:r>
        <w:rPr>
          <w:b/>
          <w:sz w:val="22"/>
        </w:rPr>
        <w:t>Label clarity improvements.</w:t>
      </w:r>
      <w:r>
        <w:rPr>
          <w:sz w:val="22"/>
        </w:rPr>
        <w:t xml:space="preserve"> CIS/TPS acronyms spelled out inline on the Geopolitical page; source attribution label clarified from 'CIS SRC' to 'SOURCE'.</w:t>
      </w:r>
    </w:p>
    <w:p/>
    <w:p>
      <w:pPr>
        <w:pBdr>
          <w:bottom w:val="single" w:sz="6" w:space="1" w:color="CCCCCC"/>
        </w:pBdr>
        <w:spacing w:after="80"/>
      </w:pPr>
    </w:p>
    <w:p>
      <w:pPr>
        <w:jc w:val="center"/>
      </w:pPr>
      <w:r>
        <w:rPr>
          <w:color w:val="999999"/>
          <w:sz w:val="18"/>
        </w:rPr>
        <w:t>Generated April 21, 2026  ·  Equity-Commodities Spillover Monitor  ·  Purdue University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