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keepNext/>
        <w:keepLines/>
        <w:spacing w:lineRule="auto" w:line="240" w:before="480" w:after="240"/>
        <w:jc w:val="center"/>
        <w:rPr/>
      </w:pPr>
      <w:r>
        <w:rPr/>
        <w:t xml:space="preserve">User Documentation </w:t>
      </w:r>
    </w:p>
    <w:p>
      <w:pPr>
        <w:pStyle w:val="Heading1"/>
        <w:spacing w:before="480" w:after="0"/>
        <w:rPr/>
      </w:pPr>
      <w:r>
        <w:rPr/>
        <w:t>1</w:t>
        <w:tab/>
        <w:t>Pipeline architecture and function</w:t>
      </w:r>
    </w:p>
    <w:p>
      <w:pPr>
        <w:pStyle w:val="Normal"/>
        <w:spacing w:before="180" w:after="180"/>
        <w:rPr/>
      </w:pPr>
      <w:r>
        <w:rPr/>
        <w:t>This pipeline implements the GATK's best practices for germline variant calling in Whole Genome and Whole Exome Next Generation Sequencing datasets (</w:t>
      </w:r>
      <w:hyperlink r:id="rId2">
        <w:r>
          <w:rPr>
            <w:rStyle w:val="InternetLink"/>
            <w:color w:val="000080"/>
            <w:u w:val="single"/>
          </w:rPr>
          <w:t>https://software.broadinstitute.org/gatk/best-practices/</w:t>
        </w:r>
      </w:hyperlink>
      <w:r>
        <w:rPr/>
        <w:t>), given a cohort of samples.</w:t>
      </w:r>
    </w:p>
    <w:p>
      <w:pPr>
        <w:pStyle w:val="Normal"/>
        <w:spacing w:before="180" w:after="180"/>
        <w:rPr/>
      </w:pPr>
      <w:r>
        <w:rPr/>
        <w:t>In its latest version, 3.6,  the best practices include the stages shown in Figure [1] below, which are:</w:t>
      </w:r>
    </w:p>
    <w:p>
      <w:pPr>
        <w:pStyle w:val="Normal"/>
        <w:numPr>
          <w:ilvl w:val="0"/>
          <w:numId w:val="1"/>
        </w:numPr>
        <w:ind w:left="720" w:right="0" w:firstLine="360"/>
        <w:rPr/>
      </w:pPr>
      <w:r>
        <w:rPr/>
        <w:t xml:space="preserve">Mapping to the reference genome </w:t>
      </w:r>
    </w:p>
    <w:p>
      <w:pPr>
        <w:pStyle w:val="Normal"/>
        <w:numPr>
          <w:ilvl w:val="0"/>
          <w:numId w:val="1"/>
        </w:numPr>
        <w:ind w:left="720" w:right="0" w:firstLine="360"/>
        <w:rPr/>
      </w:pPr>
      <w:r>
        <w:rPr/>
        <w:t xml:space="preserve">Marking duplicates </w:t>
      </w:r>
    </w:p>
    <w:p>
      <w:pPr>
        <w:pStyle w:val="Normal"/>
        <w:numPr>
          <w:ilvl w:val="0"/>
          <w:numId w:val="1"/>
        </w:numPr>
        <w:ind w:left="720" w:right="0" w:firstLine="360"/>
        <w:rPr/>
      </w:pPr>
      <w:r>
        <w:rPr/>
        <w:t>Base recalibration (BQSR)</w:t>
      </w:r>
    </w:p>
    <w:p>
      <w:pPr>
        <w:pStyle w:val="Normal"/>
        <w:numPr>
          <w:ilvl w:val="0"/>
          <w:numId w:val="1"/>
        </w:numPr>
        <w:ind w:left="720" w:right="0" w:firstLine="360"/>
        <w:rPr/>
      </w:pPr>
      <w:r>
        <w:rPr/>
        <w:t>Variant calling –----- (processing done per sample)</w:t>
      </w:r>
    </w:p>
    <w:p>
      <w:pPr>
        <w:pStyle w:val="Normal"/>
        <w:numPr>
          <w:ilvl w:val="0"/>
          <w:numId w:val="1"/>
        </w:numPr>
        <w:ind w:left="720" w:right="0" w:firstLine="360"/>
        <w:rPr/>
      </w:pPr>
      <w:r>
        <w:rPr/>
        <w:t>Joint genotyping –----- (processing done for all samples together)</w:t>
      </w:r>
    </w:p>
    <w:p>
      <w:pPr>
        <w:pStyle w:val="Normal"/>
        <w:spacing w:before="180" w:after="180"/>
        <w:rPr/>
      </w:pPr>
      <w:r>
        <w:rPr/>
        <w:t xml:space="preserve">These stages are implemented in this pipeline, with an optional  “Indel Realignment” step (which was recommended in previous GATK best practices &lt; 3.6) </w:t>
      </w:r>
    </w:p>
    <w:p>
      <w:pPr>
        <w:pStyle w:val="Normal"/>
        <w:spacing w:before="180" w:after="180"/>
        <w:rPr/>
      </w:pPr>
      <w:r>
        <w:rPr/>
        <w:t>With an optional additional stage of checking the quality of input data and trimming, the pipeline can also be run as: Alignment stage only, Complete variant calling with realignment and Complete variant calling without realignment depending on the user’s ANALYSIS setting.</w:t>
      </w:r>
    </w:p>
    <w:p>
      <w:pPr>
        <w:pStyle w:val="Title"/>
        <w:spacing w:before="480" w:after="240"/>
        <w:rPr/>
      </w:pPr>
      <w:bookmarkStart w:id="0" w:name="_5gqwfmpxrsjj"/>
      <w:bookmarkStart w:id="1" w:name="_5gqwfmpxrsjj"/>
      <w:bookmarkEnd w:id="1"/>
      <w:r>
        <w:rPr/>
      </w:r>
    </w:p>
    <w:p>
      <w:pPr>
        <w:pStyle w:val="Normal"/>
        <w:spacing w:before="180" w:after="180"/>
        <w:jc w:val="center"/>
        <w:rPr>
          <w:sz w:val="20"/>
          <w:szCs w:val="20"/>
        </w:rPr>
      </w:pPr>
      <w:r>
        <w:rPr>
          <w:sz w:val="20"/>
          <w:szCs w:val="20"/>
        </w:rPr>
        <w:t>Figure 1: Best Practices for Germline SNPs and Indels in Whole Genomes and Exomes</w:t>
      </w:r>
    </w:p>
    <w:p>
      <w:pPr>
        <w:pStyle w:val="Normal"/>
        <w:spacing w:before="180" w:after="180"/>
        <w:rPr/>
      </w:pPr>
      <w:r>
        <w:rPr/>
      </w:r>
    </w:p>
    <w:p>
      <w:pPr>
        <w:pStyle w:val="Normal"/>
        <w:spacing w:before="180" w:after="180"/>
        <w:rPr/>
      </w:pPr>
      <w:r>
        <w:rPr/>
        <w:t>Under the hood, this pipeline splits and merges files at different stages to achieve optimal usage of resources.  This parallelization of data processing is shown in Figure [2] below:</w:t>
      </w:r>
    </w:p>
    <w:p>
      <w:pPr>
        <w:pStyle w:val="Normal"/>
        <w:spacing w:before="180" w:after="180"/>
        <w:rPr/>
      </w:pPr>
      <w:r>
        <w:rPr/>
      </w:r>
    </w:p>
    <w:p>
      <w:pPr>
        <w:pStyle w:val="Normal"/>
        <w:spacing w:before="180" w:after="180"/>
        <w:jc w:val="center"/>
        <w:rPr>
          <w:sz w:val="20"/>
          <w:szCs w:val="20"/>
        </w:rPr>
      </w:pPr>
      <w:r>
        <w:rPr>
          <w:sz w:val="20"/>
          <w:szCs w:val="20"/>
        </w:rPr>
        <w:t>Figure 2: Pipeline details</w:t>
      </w:r>
    </w:p>
    <w:p>
      <w:pPr>
        <w:pStyle w:val="Normal"/>
        <w:spacing w:before="180" w:after="180"/>
        <w:rPr/>
      </w:pPr>
      <w:r>
        <w:rPr/>
      </w:r>
    </w:p>
    <w:p>
      <w:pPr>
        <w:pStyle w:val="Heading1"/>
        <w:spacing w:before="480" w:after="0"/>
        <w:rPr/>
      </w:pPr>
      <w:r>
        <w:rPr/>
        <w:t>2</w:t>
        <w:tab/>
        <w:t>Dependencies</w:t>
      </w:r>
    </w:p>
    <w:p>
      <w:pPr>
        <w:pStyle w:val="Heading2"/>
        <w:spacing w:before="200" w:after="0"/>
        <w:rPr/>
      </w:pPr>
      <w:bookmarkStart w:id="2" w:name="_xe39gjy1bfl7"/>
      <w:bookmarkEnd w:id="2"/>
      <w:r>
        <w:rPr/>
        <w:t>2.1</w:t>
        <w:tab/>
        <w:t>Software tools</w:t>
      </w:r>
    </w:p>
    <w:p>
      <w:pPr>
        <w:pStyle w:val="Normal"/>
        <w:spacing w:before="180" w:after="180"/>
        <w:rPr/>
      </w:pPr>
      <w:r>
        <w:rPr/>
        <w:t>The pipeline implements the stages of Figure [1] and [2], while allowing different software tools at some of the stages depending on user's preference. These are as shown in table [1] below, and it is assumed that the user would specify the path to each of them in his runfile as shown in section 2.3.</w:t>
      </w:r>
    </w:p>
    <w:p>
      <w:pPr>
        <w:pStyle w:val="Normal"/>
        <w:spacing w:before="180" w:after="180"/>
        <w:jc w:val="center"/>
        <w:rPr>
          <w:sz w:val="20"/>
          <w:szCs w:val="20"/>
        </w:rPr>
      </w:pPr>
      <w:r>
        <w:rPr>
          <w:sz w:val="20"/>
          <w:szCs w:val="20"/>
        </w:rPr>
        <w:t>Table 1: Pipeline tools</w:t>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6" w:type="dxa"/>
          <w:bottom w:w="0" w:type="dxa"/>
          <w:right w:w="108" w:type="dxa"/>
        </w:tblCellMar>
      </w:tblPr>
      <w:tblGrid>
        <w:gridCol w:w="3899"/>
        <w:gridCol w:w="5730"/>
      </w:tblGrid>
      <w:tr>
        <w:trPr>
          <w:cantSplit w:val="false"/>
        </w:trPr>
        <w:tc>
          <w:tcPr>
            <w:tcW w:w="3899" w:type="dxa"/>
            <w:tcBorders>
              <w:top w:val="single" w:sz="4" w:space="0" w:color="000001"/>
              <w:left w:val="single" w:sz="4" w:space="0" w:color="000001"/>
              <w:bottom w:val="single" w:sz="4" w:space="0" w:color="000001"/>
              <w:insideH w:val="single" w:sz="4" w:space="0" w:color="000001"/>
              <w:right w:val="nil"/>
              <w:insideV w:val="nil"/>
            </w:tcBorders>
            <w:shd w:fill="9FC5E8" w:val="clear"/>
            <w:tcMar>
              <w:left w:w="46" w:type="dxa"/>
            </w:tcMar>
            <w:vAlign w:val="center"/>
          </w:tcPr>
          <w:p>
            <w:pPr>
              <w:pStyle w:val="Normal"/>
              <w:widowControl/>
              <w:spacing w:lineRule="auto" w:line="240" w:before="180" w:after="180"/>
              <w:jc w:val="center"/>
              <w:rPr>
                <w:rFonts w:eastAsia="Cambria" w:cs="Cambria"/>
                <w:b/>
                <w:color w:val="00000A"/>
                <w:sz w:val="24"/>
                <w:szCs w:val="24"/>
              </w:rPr>
            </w:pPr>
            <w:r>
              <w:rPr>
                <w:rFonts w:eastAsia="Cambria" w:cs="Cambria"/>
                <w:b/>
                <w:color w:val="00000A"/>
                <w:sz w:val="24"/>
                <w:szCs w:val="24"/>
              </w:rPr>
              <w:t>Stage</w:t>
            </w:r>
          </w:p>
        </w:tc>
        <w:tc>
          <w:tcPr>
            <w:tcW w:w="57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9FC5E8" w:val="clear"/>
            <w:tcMar>
              <w:left w:w="46" w:type="dxa"/>
            </w:tcMar>
            <w:vAlign w:val="center"/>
          </w:tcPr>
          <w:p>
            <w:pPr>
              <w:pStyle w:val="Normal"/>
              <w:widowControl/>
              <w:spacing w:lineRule="auto" w:line="240" w:before="180" w:after="180"/>
              <w:jc w:val="center"/>
              <w:rPr>
                <w:b/>
              </w:rPr>
            </w:pPr>
            <w:r>
              <w:rPr>
                <w:rFonts w:eastAsia="Cambria" w:cs="Cambria"/>
                <w:b/>
                <w:color w:val="00000A"/>
                <w:sz w:val="24"/>
                <w:szCs w:val="24"/>
              </w:rPr>
              <w:t xml:space="preserve">Tool </w:t>
            </w:r>
            <w:r>
              <w:rPr>
                <w:b/>
              </w:rPr>
              <w:t>options</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Quality control</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Fastqc</w:t>
            </w:r>
            <w:r>
              <w:rPr/>
              <w:t xml:space="preserve"> (</w:t>
            </w:r>
            <w:hyperlink r:id="rId3">
              <w:r>
                <w:rPr>
                  <w:rStyle w:val="InternetLink"/>
                  <w:rFonts w:eastAsia="Cambria" w:cs="Cambria"/>
                  <w:b w:val="false"/>
                  <w:color w:val="1155CC"/>
                  <w:sz w:val="24"/>
                  <w:szCs w:val="24"/>
                  <w:u w:val="single"/>
                </w:rPr>
                <w:t>http://www.bioinformatics.babraham.ac.uk/projects/fastqc/</w:t>
              </w:r>
            </w:hyperlink>
            <w:r>
              <w:rPr>
                <w:rFonts w:eastAsia="Cambria" w:cs="Cambria"/>
                <w:b w:val="false"/>
                <w:color w:val="00000A"/>
                <w:sz w:val="24"/>
                <w:szCs w:val="24"/>
              </w:rPr>
              <w:t xml:space="preserve"> )</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Illumina reads trimming</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pPr>
            <w:r>
              <w:rPr>
                <w:rFonts w:eastAsia="Cambria" w:cs="Cambria"/>
                <w:b w:val="false"/>
                <w:color w:val="00000A"/>
                <w:sz w:val="24"/>
                <w:szCs w:val="24"/>
              </w:rPr>
              <w:t>Trimmomatic</w:t>
            </w:r>
            <w:r>
              <w:rPr/>
              <w:t xml:space="preserve"> (</w:t>
            </w:r>
            <w:hyperlink r:id="rId4">
              <w:r>
                <w:rPr>
                  <w:rStyle w:val="InternetLink"/>
                  <w:rFonts w:eastAsia="Cambria" w:cs="Cambria"/>
                  <w:b w:val="false"/>
                  <w:color w:val="1155CC"/>
                  <w:sz w:val="24"/>
                  <w:szCs w:val="24"/>
                  <w:u w:val="single"/>
                </w:rPr>
                <w:t>http://www.usadellab.org/cms/?page=trimmomatic</w:t>
              </w:r>
            </w:hyperlink>
            <w:r>
              <w:rPr>
                <w:rFonts w:eastAsia="Cambria" w:cs="Cambria"/>
                <w:b w:val="false"/>
                <w:color w:val="00000A"/>
                <w:sz w:val="24"/>
                <w:szCs w:val="24"/>
              </w:rPr>
              <w:t xml:space="preserve"> </w:t>
            </w:r>
            <w:r>
              <w:rPr/>
              <w:t>)</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Alignment</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Bwa mem (</w:t>
            </w:r>
            <w:hyperlink r:id="rId5">
              <w:r>
                <w:rPr>
                  <w:rStyle w:val="InternetLink"/>
                  <w:rFonts w:eastAsia="Cambria" w:cs="Cambria"/>
                  <w:b w:val="false"/>
                  <w:color w:val="000080"/>
                  <w:sz w:val="24"/>
                  <w:szCs w:val="24"/>
                  <w:u w:val="single"/>
                </w:rPr>
                <w:t>https://github.com/lh3/bwa</w:t>
              </w:r>
            </w:hyperlink>
            <w:r>
              <w:rPr>
                <w:rFonts w:eastAsia="Cambria" w:cs="Cambria"/>
                <w:b w:val="false"/>
                <w:color w:val="00000A"/>
                <w:sz w:val="24"/>
                <w:szCs w:val="24"/>
              </w:rPr>
              <w:t xml:space="preserve"> ), Novoalign (</w:t>
            </w:r>
            <w:hyperlink r:id="rId6">
              <w:r>
                <w:rPr>
                  <w:rStyle w:val="InternetLink"/>
                  <w:rFonts w:eastAsia="Cambria" w:cs="Cambria"/>
                  <w:b w:val="false"/>
                  <w:color w:val="000080"/>
                  <w:sz w:val="24"/>
                  <w:szCs w:val="24"/>
                  <w:u w:val="single"/>
                </w:rPr>
                <w:t>http://novocraft.com/</w:t>
              </w:r>
            </w:hyperlink>
            <w:r>
              <w:rPr>
                <w:rFonts w:eastAsia="Cambria" w:cs="Cambria"/>
                <w:b w:val="false"/>
                <w:color w:val="00000A"/>
                <w:sz w:val="24"/>
                <w:szCs w:val="24"/>
              </w:rPr>
              <w:t xml:space="preserve"> )</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Marking duplicates</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Samblaster (</w:t>
            </w:r>
            <w:hyperlink r:id="rId7">
              <w:r>
                <w:rPr>
                  <w:rStyle w:val="InternetLink"/>
                  <w:rFonts w:eastAsia="Cambria" w:cs="Cambria"/>
                  <w:b w:val="false"/>
                  <w:color w:val="000080"/>
                  <w:sz w:val="24"/>
                  <w:szCs w:val="24"/>
                  <w:u w:val="single"/>
                </w:rPr>
                <w:t>https://github.com/GregoryFaust/samblaster</w:t>
              </w:r>
            </w:hyperlink>
            <w:r>
              <w:rPr>
                <w:rFonts w:eastAsia="Cambria" w:cs="Cambria"/>
                <w:b w:val="false"/>
                <w:color w:val="00000A"/>
                <w:sz w:val="24"/>
                <w:szCs w:val="24"/>
              </w:rPr>
              <w:t xml:space="preserve"> ), Novosort ( </w:t>
            </w:r>
            <w:hyperlink r:id="rId8">
              <w:r>
                <w:rPr>
                  <w:rStyle w:val="InternetLink"/>
                  <w:rFonts w:eastAsia="Cambria" w:cs="Cambria"/>
                  <w:b w:val="false"/>
                  <w:color w:val="000080"/>
                  <w:sz w:val="24"/>
                  <w:szCs w:val="24"/>
                  <w:u w:val="single"/>
                </w:rPr>
                <w:t>http://novocraft.com/</w:t>
              </w:r>
            </w:hyperlink>
            <w:r>
              <w:rPr>
                <w:rFonts w:eastAsia="Cambria" w:cs="Cambria"/>
                <w:b w:val="false"/>
                <w:color w:val="00000A"/>
                <w:sz w:val="24"/>
                <w:szCs w:val="24"/>
              </w:rPr>
              <w:t xml:space="preserve"> ),  Picard (</w:t>
            </w:r>
            <w:hyperlink r:id="rId9">
              <w:r>
                <w:rPr>
                  <w:rStyle w:val="InternetLink"/>
                  <w:rFonts w:eastAsia="Cambria" w:cs="Cambria"/>
                  <w:b w:val="false"/>
                  <w:color w:val="000080"/>
                  <w:sz w:val="24"/>
                  <w:szCs w:val="24"/>
                  <w:u w:val="single"/>
                </w:rPr>
                <w:t>https://broadinstitute.github.io/picard/</w:t>
              </w:r>
            </w:hyperlink>
            <w:r>
              <w:rPr>
                <w:rFonts w:eastAsia="Cambria" w:cs="Cambria"/>
                <w:b w:val="false"/>
                <w:color w:val="00000A"/>
                <w:sz w:val="24"/>
                <w:szCs w:val="24"/>
              </w:rPr>
              <w:t xml:space="preserve"> ), </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Indel realignment</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GATK (</w:t>
            </w:r>
            <w:hyperlink r:id="rId10">
              <w:r>
                <w:rPr>
                  <w:rStyle w:val="InternetLink"/>
                  <w:rFonts w:eastAsia="Cambria" w:cs="Cambria"/>
                  <w:b w:val="false"/>
                  <w:color w:val="1155CC"/>
                  <w:sz w:val="24"/>
                  <w:szCs w:val="24"/>
                  <w:u w:val="single"/>
                </w:rPr>
                <w:t>https://software.broadinstitute.org/gatk/download/</w:t>
              </w:r>
            </w:hyperlink>
            <w:r>
              <w:rPr>
                <w:rFonts w:eastAsia="Cambria" w:cs="Cambria"/>
                <w:b w:val="false"/>
                <w:color w:val="00000A"/>
                <w:sz w:val="24"/>
                <w:szCs w:val="24"/>
              </w:rPr>
              <w:t xml:space="preserve"> )</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Base recalibration</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GATK (</w:t>
            </w:r>
            <w:hyperlink r:id="rId11">
              <w:r>
                <w:rPr>
                  <w:rStyle w:val="InternetLink"/>
                  <w:rFonts w:eastAsia="Cambria" w:cs="Cambria"/>
                  <w:b w:val="false"/>
                  <w:color w:val="1155CC"/>
                  <w:sz w:val="24"/>
                  <w:szCs w:val="24"/>
                  <w:u w:val="single"/>
                </w:rPr>
                <w:t>https://software.broadinstitute.org/gatk/download/</w:t>
              </w:r>
            </w:hyperlink>
            <w:r>
              <w:rPr>
                <w:rFonts w:eastAsia="Cambria" w:cs="Cambria"/>
                <w:b w:val="false"/>
                <w:color w:val="00000A"/>
                <w:sz w:val="24"/>
                <w:szCs w:val="24"/>
              </w:rPr>
              <w:t xml:space="preserve"> )</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Calling variants</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 xml:space="preserve">GATK  (Haplotypecaller: </w:t>
            </w:r>
            <w:hyperlink r:id="rId12">
              <w:r>
                <w:rPr>
                  <w:rStyle w:val="InternetLink"/>
                  <w:rFonts w:eastAsia="Cambria" w:cs="Cambria"/>
                  <w:b w:val="false"/>
                  <w:color w:val="1155CC"/>
                  <w:sz w:val="24"/>
                  <w:szCs w:val="24"/>
                  <w:u w:val="single"/>
                </w:rPr>
                <w:t>https://www.broadinstitute.org/gatk/gatkdocs/org_broadinstitute_gatk_tools_walkers_haplotypecaller_HaplotypeCaller.php</w:t>
              </w:r>
            </w:hyperlink>
            <w:r>
              <w:rPr>
                <w:rFonts w:eastAsia="Cambria" w:cs="Cambria"/>
                <w:b w:val="false"/>
                <w:color w:val="00000A"/>
                <w:sz w:val="24"/>
                <w:szCs w:val="24"/>
              </w:rPr>
              <w:t xml:space="preserve"> )</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Joint calling of variants</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 xml:space="preserve">GATK (Genotypegvcf: </w:t>
            </w:r>
            <w:hyperlink r:id="rId13">
              <w:r>
                <w:rPr>
                  <w:rStyle w:val="InternetLink"/>
                  <w:rFonts w:eastAsia="Cambria" w:cs="Cambria"/>
                  <w:b w:val="false"/>
                  <w:color w:val="1155CC"/>
                  <w:sz w:val="24"/>
                  <w:szCs w:val="24"/>
                  <w:u w:val="single"/>
                </w:rPr>
                <w:t>https://www.broadinstitute.org/gatk/gatkdocs/org_broadinstitute_gatk_tools_walkers_variantutils_GenotypeGVCFs.php</w:t>
              </w:r>
            </w:hyperlink>
            <w:r>
              <w:rPr>
                <w:rFonts w:eastAsia="Cambria" w:cs="Cambria"/>
                <w:b w:val="false"/>
                <w:color w:val="00000A"/>
                <w:sz w:val="24"/>
                <w:szCs w:val="24"/>
              </w:rPr>
              <w:t xml:space="preserve"> )</w:t>
            </w:r>
          </w:p>
        </w:tc>
      </w:tr>
      <w:tr>
        <w:trPr>
          <w:cantSplit w:val="false"/>
        </w:trPr>
        <w:tc>
          <w:tcPr>
            <w:tcW w:w="3899" w:type="dxa"/>
            <w:tcBorders>
              <w:top w:val="nil"/>
              <w:left w:val="single" w:sz="4" w:space="0" w:color="000001"/>
              <w:bottom w:val="single" w:sz="4" w:space="0" w:color="000001"/>
              <w:insideH w:val="single" w:sz="4" w:space="0" w:color="000001"/>
              <w:right w:val="nil"/>
              <w:insideV w:val="nil"/>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Miscelleneos</w:t>
            </w:r>
          </w:p>
        </w:tc>
        <w:tc>
          <w:tcPr>
            <w:tcW w:w="57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6" w:type="dxa"/>
            </w:tcMar>
            <w:vAlign w:val="center"/>
          </w:tcPr>
          <w:p>
            <w:pPr>
              <w:pStyle w:val="Normal"/>
              <w:widowControl/>
              <w:spacing w:lineRule="auto" w:line="240" w:before="180" w:after="180"/>
              <w:jc w:val="center"/>
              <w:rPr>
                <w:rFonts w:eastAsia="Cambria" w:cs="Cambria"/>
                <w:b w:val="false"/>
                <w:color w:val="00000A"/>
                <w:sz w:val="24"/>
                <w:szCs w:val="24"/>
              </w:rPr>
            </w:pPr>
            <w:r>
              <w:rPr>
                <w:rFonts w:eastAsia="Cambria" w:cs="Cambria"/>
                <w:b w:val="false"/>
                <w:color w:val="00000A"/>
                <w:sz w:val="24"/>
                <w:szCs w:val="24"/>
              </w:rPr>
              <w:t>Samtools (</w:t>
            </w:r>
            <w:hyperlink r:id="rId14">
              <w:r>
                <w:rPr>
                  <w:rStyle w:val="InternetLink"/>
                  <w:rFonts w:eastAsia="Cambria" w:cs="Cambria"/>
                  <w:b w:val="false"/>
                  <w:color w:val="1155CC"/>
                  <w:sz w:val="24"/>
                  <w:szCs w:val="24"/>
                  <w:u w:val="single"/>
                </w:rPr>
                <w:t>http://samtools.github.io/</w:t>
              </w:r>
            </w:hyperlink>
            <w:r>
              <w:rPr>
                <w:rFonts w:eastAsia="Cambria" w:cs="Cambria"/>
                <w:b w:val="false"/>
                <w:color w:val="00000A"/>
                <w:sz w:val="24"/>
                <w:szCs w:val="24"/>
              </w:rPr>
              <w:t xml:space="preserve"> )</w:t>
            </w:r>
          </w:p>
        </w:tc>
      </w:tr>
    </w:tbl>
    <w:p>
      <w:pPr>
        <w:pStyle w:val="Normal"/>
        <w:spacing w:before="180" w:after="180"/>
        <w:rPr/>
      </w:pPr>
      <w:r>
        <w:rPr/>
      </w:r>
    </w:p>
    <w:p>
      <w:pPr>
        <w:pStyle w:val="Heading2"/>
        <w:spacing w:before="200" w:after="0"/>
        <w:rPr/>
      </w:pPr>
      <w:bookmarkStart w:id="3" w:name="_1cjmc7ye6pe4"/>
      <w:bookmarkEnd w:id="3"/>
      <w:r>
        <w:rPr/>
        <w:t>2.2</w:t>
        <w:tab/>
        <w:t>Databases and resources</w:t>
      </w:r>
    </w:p>
    <w:p>
      <w:pPr>
        <w:pStyle w:val="Normal"/>
        <w:spacing w:before="180" w:after="180"/>
        <w:rPr/>
      </w:pPr>
      <w:r>
        <w:rPr/>
        <w:t>For this pipeline to work a number of standard files for calling variants are needed, namely the reference sequence, database of known variants and the adapter sequence to be trimmed. The full path to all these needs to be specified in the User’s runfile as specified in section 2.3</w:t>
      </w:r>
    </w:p>
    <w:p>
      <w:pPr>
        <w:pStyle w:val="Normal"/>
        <w:spacing w:before="180" w:after="180"/>
        <w:rPr/>
      </w:pPr>
      <w:r>
        <w:rPr/>
        <w:t>It is important to note that the reference sequence should be prepared first, following the GATK’s guideline (</w:t>
      </w:r>
      <w:hyperlink r:id="rId15">
        <w:r>
          <w:rPr>
            <w:rStyle w:val="InternetLink"/>
            <w:color w:val="1155CC"/>
            <w:u w:val="single"/>
          </w:rPr>
          <w:t>http://gatkforums.broadinstitute.org/wdl/discussion/2798/howto-prepare-a-reference-for-use-with-bwa-and-gatk</w:t>
        </w:r>
      </w:hyperlink>
      <w:r>
        <w:rPr/>
        <w:t xml:space="preserve">). </w:t>
      </w:r>
    </w:p>
    <w:p>
      <w:pPr>
        <w:pStyle w:val="Normal"/>
        <w:spacing w:before="180" w:after="180"/>
        <w:rPr/>
      </w:pPr>
      <w:r>
        <w:rPr/>
        <w:t xml:space="preserve">For working with human data, one can download most of the needed files from the GATK’s resource bundle: </w:t>
      </w:r>
      <w:hyperlink r:id="rId16">
        <w:r>
          <w:rPr>
            <w:rStyle w:val="InternetLink"/>
            <w:color w:val="1155CC"/>
            <w:u w:val="single"/>
          </w:rPr>
          <w:t>http://gatkforums.broadinstitute.org/gatk/discussion/1213/whats-in-the-resource-bundle-and-how-can-i-get-it</w:t>
        </w:r>
      </w:hyperlink>
      <w:r>
        <w:rPr/>
        <w:t xml:space="preserve"> . Missing from the bundle are the index files for the aligner, which are specific to the tool that would be used for alignment (i.e., bwa or novoalign in this pipeline)</w:t>
      </w:r>
    </w:p>
    <w:p>
      <w:pPr>
        <w:pStyle w:val="Normal"/>
        <w:spacing w:before="180" w:after="180"/>
        <w:rPr/>
      </w:pPr>
      <w:r>
        <w:rPr/>
        <w:t xml:space="preserve">To achieve the parallelization of Figure [2] in the realignment/recalibration stages, the pipeline needs a separate vcf file for each chromosome/contig, and each should be named as: </w:t>
      </w:r>
      <w:r>
        <w:rPr>
          <w:rFonts w:eastAsia="Consolas" w:cs="Consolas" w:ascii="Consolas" w:hAnsi="Consolas"/>
          <w:sz w:val="20"/>
          <w:szCs w:val="20"/>
        </w:rPr>
        <w:t>*${chr_name}.vcf</w:t>
      </w:r>
      <w:r>
        <w:rPr/>
        <w:t>. If working with the GATK bundle, the sample script (</w:t>
      </w:r>
      <w:hyperlink r:id="rId17">
        <w:r>
          <w:rPr>
            <w:rStyle w:val="InternetLink"/>
            <w:color w:val="1155CC"/>
            <w:u w:val="single"/>
          </w:rPr>
          <w:t>splitVCF-by-chromosome.sh</w:t>
        </w:r>
      </w:hyperlink>
      <w:r>
        <w:rPr/>
        <w:t>) can be used to produce the needed files with some minor modifications (mainly, providing the right path to the referencedir, java and GenomeAnalysisTK.jar)</w:t>
      </w:r>
    </w:p>
    <w:p>
      <w:pPr>
        <w:pStyle w:val="Normal"/>
        <w:spacing w:before="180" w:after="180"/>
        <w:rPr/>
      </w:pPr>
      <w:r>
        <w:rPr/>
      </w:r>
    </w:p>
    <w:p>
      <w:pPr>
        <w:pStyle w:val="Heading2"/>
        <w:spacing w:before="200" w:after="0"/>
        <w:rPr/>
      </w:pPr>
      <w:bookmarkStart w:id="4" w:name="_94li78m797ci"/>
      <w:bookmarkEnd w:id="4"/>
      <w:r>
        <w:rPr/>
        <w:t>2.3</w:t>
        <w:tab/>
        <w:t>User’s runfile and sample information files</w:t>
      </w:r>
    </w:p>
    <w:p>
      <w:pPr>
        <w:pStyle w:val="Normal"/>
        <w:spacing w:before="180" w:after="180"/>
        <w:rPr/>
      </w:pPr>
      <w:r>
        <w:rPr/>
        <w:t>To run a specific stage of the pipeline, in addition to specifying the needed script file, the user needs to supply 2 additional files, these are the runfile and the sampleinfo files.</w:t>
      </w:r>
    </w:p>
    <w:p>
      <w:pPr>
        <w:pStyle w:val="Normal"/>
        <w:spacing w:before="180" w:after="180"/>
        <w:rPr/>
      </w:pPr>
      <w:r>
        <w:rPr/>
        <w:t xml:space="preserve">The </w:t>
      </w:r>
      <w:r>
        <w:rPr>
          <w:u w:val="single"/>
        </w:rPr>
        <w:t>sampleinformation</w:t>
      </w:r>
      <w:r>
        <w:rPr/>
        <w:t xml:space="preserve"> file contains the information about the samples to be processed by the pipeline. In its current implementation, it can analyze paired end WES/WGS data in fastq/fq/fastq.gz/fq.gz format only. These should be specified in tabular form of 3 columns separated by ‘space’, and according to the format below:</w:t>
      </w:r>
    </w:p>
    <w:p>
      <w:pPr>
        <w:pStyle w:val="Normal"/>
        <w:spacing w:before="180" w:after="180"/>
        <w:jc w:val="center"/>
        <w:rPr>
          <w:rFonts w:eastAsia="Comic Sans MS" w:cs="Comic Sans MS" w:ascii="Comic Sans MS" w:hAnsi="Comic Sans MS"/>
          <w:sz w:val="20"/>
          <w:szCs w:val="20"/>
        </w:rPr>
      </w:pPr>
      <w:r>
        <w:rPr>
          <w:rFonts w:eastAsia="Comic Sans MS" w:cs="Comic Sans MS" w:ascii="Comic Sans MS" w:hAnsi="Comic Sans MS"/>
          <w:sz w:val="20"/>
          <w:szCs w:val="20"/>
        </w:rPr>
        <w:t>&lt;sample name&gt; &lt;full path to read1 file&gt; &lt;full path to read2 file&gt;</w:t>
      </w:r>
    </w:p>
    <w:p>
      <w:pPr>
        <w:pStyle w:val="Normal"/>
        <w:spacing w:before="180" w:after="180"/>
        <w:rPr/>
      </w:pPr>
      <w:r>
        <w:rPr/>
        <w:t xml:space="preserve">The </w:t>
      </w:r>
      <w:r>
        <w:rPr>
          <w:u w:val="single"/>
        </w:rPr>
        <w:t>runfile</w:t>
      </w:r>
      <w:r>
        <w:rPr/>
        <w:t xml:space="preserve"> file contains all the details regarding a specific run of the pipeline, including the tools of section 2.1, resources of section 2.2, and the sampleinformation file path as well. It would change depending on the analysis type required.</w:t>
      </w:r>
    </w:p>
    <w:p>
      <w:pPr>
        <w:pStyle w:val="Normal"/>
        <w:spacing w:before="180" w:after="180"/>
        <w:rPr/>
      </w:pPr>
      <w:r>
        <w:rPr/>
      </w:r>
    </w:p>
    <w:p>
      <w:pPr>
        <w:pStyle w:val="Normal"/>
        <w:spacing w:before="180" w:after="180"/>
        <w:rPr/>
      </w:pPr>
      <w:r>
        <w:rPr/>
        <w:t>In a nutshell, the various parameters and how they are specified are given below:</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9638"/>
      </w:tblGrid>
      <w:tr>
        <w:trPr>
          <w:cantSplit w:val="false"/>
        </w:trPr>
        <w:tc>
          <w:tcPr>
            <w:tcW w:w="963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i/o</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SAMPLEINFORMATION=&lt;path to the sampleinformation file&gt;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OUTPUTDIR=&lt;path to the output directory&gt;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DELIVERYFOLDER=&lt;path where summary deliverables from the pipeline are stored. It is a subdirectory within the OUTPUTDIR&gt;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TMPDIR=&lt;path to where temporary files are stored&gt;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SCRIPTDIR=&lt;path to where the scripts of this repo are stored locally on the machine&gt;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EMAIL*=&lt;email address to send torque notifications to&gt;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REPORTTICKET*=&lt;redmine ticket number to send notifications to&gt;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choose the run case</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ANALYSIS=&lt;depending on the analysis type it can be {ANALYSIS=ALIGNMENT, or ANALYSIS=ALIGN or ANALYSIS=ALIGN_ONLY} for alignment only, {ANALYSIS=VC_WITH_REALIGNMENT} for complete variant calling with realignment, or anything else for complete variant calling without realignment&gt;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Read group information for the samples: namely, the Library, Platform technology,  and sequencing center name. It should be noted that the sample ID, platform unit (PU) and sample name (SM) are set by default to be the same sample name found in the sampleinformation file specified</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SAMPLELB=synthetic</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SAMPLEPL=&lt;can be either ILLUMINA, SOLID, LS454, HELICOS and PACBIO&gt;</w:t>
            </w:r>
          </w:p>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SAMPLECN=synthetic</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The tools to be used in this run of the pipeline (where a selection can be made)</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ALIGNERTOOL=&lt;the tool to be used for the alignment stage of the pipeline. Can be either BWAMEM or NOVOALIGN. Only the respective INDEX and PARAMS need to be specified in the next block of the runfile&gt;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MARKDUPLICATESTOOL=&lt;the tool to be used for marking duplicates in the pipeline. Can be any of these: samblaster, novosort or PICARD&gt;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xml:space="preserve">## Alignment block parameters and Trimming options. </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BWAINDEX=&lt;Path to the indexed reference file for bwa, if it is the desired aligner &gt;</w:t>
            </w:r>
          </w:p>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BWAMEMPARAMS=&lt;optional parameters to bwa mem, if used as an aligner. Example: -k 32 -I 30,30&gt;</w:t>
            </w:r>
          </w:p>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NOVOALIGNINDEX=&lt;path to the indexed reference file for novoalign, if it is the desired aligner&gt;</w:t>
            </w:r>
          </w:p>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NOVOALIGNPARAMS=&lt;optional parameters to novoalign, if used as an aligner&gt;</w:t>
            </w:r>
          </w:p>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 xml:space="preserve">CHRNAMES=&lt;a colon (:) separated list of chromosome or contig names to split files by. Only these regions will be processed in the stages following the alignment&gt; </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TRIMMOMATICPARAMS=&lt;parameters to trimmomatic for trimming illumina reads. Example :2:20:10 LEADING:5 TRAILING:5 MINLEN:25&gt;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xml:space="preserve">## Quality thresholds (for reporting only, as the pipeline will continue with the next stage regardless of whether these thresholds were respected or not): </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MAP_CUTOFF=&lt;minimum mapping quality of reads to pass QC test after alignment&gt;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xml:space="preserve">DUP_CUTOFF=&lt;maximum duplication level in reads to pass QC test after alignment&gt; </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paths to resources and tools - See section 2.1 and 2.2</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ADAPTERS=&lt;path to the adapter file to be used with trimmomatic&gt;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REFGENOMEDIR=&lt;path to the directory where all reference files and databases are stored&gt;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REFGENOME=&lt;name of the reference genome file within REFGENOMEDIR. Example ucsc.hg19.fasta in the GATK bundle 2.8&gt;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DBSNP=&lt;name of the dbsnp file within REFGENOMEDIR. Example dbsnp_138.hg19.vcf in the GATK bundle 2.8&gt;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INDELDIR=&lt;name of the directory within REFGENOMEDIR that contains a vcf file for each chromosome/contig specified by the CHRNAMES parameter. These files need to be named as: *${chr_name}.vcf &gt;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OMNI=&lt;name of the omni variants file. Example: 1000G_omni2.5.hg19.sites.vcf in the GATK bundle 2.8&gt;</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Example entries for tools’ path in biocluster</w:t>
            </w:r>
          </w:p>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TRIMMOMATICDIR=/home/apps/trimmomatic/trimmomatic-0.33/trimmomatic-0.33.jar</w:t>
            </w:r>
          </w:p>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FASTQCDIR=/home/apps/fastqc/fastqc-0.11.4</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BWAMEMDIR=/home/apps/bwa/bwa-0.7.15</w:t>
            </w:r>
          </w:p>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 xml:space="preserve">NOVOCRAFTDIR=/home/apps/novocraft/novocraft-3.02 </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SAMBLASTERDIR=/home/apps/samblaster/samblaster-0.1.22/bin</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PICARDIR=/home/apps/picard-tools/picard-tools-2.4.1</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GATKDIR=/home/apps/gatk/gatk-3.6</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SAMDIR=/home/apps/samtools/samtools-1.3.1/bin</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JAVADIR=/home/apps/java/jdk1.8.0_65/bin</w:t>
            </w:r>
          </w:p>
          <w:p>
            <w:pPr>
              <w:pStyle w:val="Normal"/>
              <w:keepNext/>
              <w:keepLines w:val="false"/>
              <w:widowControl w:val="false"/>
              <w:spacing w:lineRule="auto" w:line="240" w:before="0" w:after="0"/>
              <w:ind w:left="0" w:right="0" w:hanging="0"/>
              <w:jc w:val="left"/>
              <w:rPr/>
            </w:pPr>
            <w:r>
              <w:rPr/>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 pbs torque resources</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PBSNODES=&lt;number of nodes&gt;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PBSCORES=&lt;number of cores&gt;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PBSQUEUE=&lt;name of the queue&gt;</w:t>
            </w:r>
          </w:p>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PBSWALLTIME=&lt;wall time&gt;</w:t>
            </w:r>
          </w:p>
        </w:tc>
      </w:tr>
    </w:tbl>
    <w:p>
      <w:pPr>
        <w:pStyle w:val="Normal"/>
        <w:spacing w:before="180" w:after="180"/>
        <w:rPr>
          <w:sz w:val="22"/>
          <w:szCs w:val="22"/>
        </w:rPr>
      </w:pPr>
      <w:r>
        <w:rPr>
          <w:sz w:val="22"/>
          <w:szCs w:val="22"/>
        </w:rPr>
        <w:t xml:space="preserve">* The pipeline tracks the execution of the various stages by sending email notification of qsub jobs (the </w:t>
      </w:r>
      <w:r>
        <w:rPr>
          <w:rFonts w:eastAsia="Consolas" w:cs="Consolas" w:ascii="Consolas" w:hAnsi="Consolas"/>
          <w:sz w:val="20"/>
          <w:szCs w:val="20"/>
        </w:rPr>
        <w:t>EMAIL</w:t>
      </w:r>
      <w:r>
        <w:rPr>
          <w:sz w:val="22"/>
          <w:szCs w:val="22"/>
        </w:rPr>
        <w:t xml:space="preserve"> parameter), and also by reporting a summary of a given run in redmine </w:t>
      </w:r>
      <w:hyperlink r:id="rId18">
        <w:r>
          <w:rPr>
            <w:rStyle w:val="InternetLink"/>
            <w:color w:val="1155CC"/>
            <w:sz w:val="22"/>
            <w:szCs w:val="22"/>
            <w:u w:val="single"/>
          </w:rPr>
          <w:t>http://www.redmine.org/</w:t>
        </w:r>
      </w:hyperlink>
      <w:r>
        <w:rPr>
          <w:sz w:val="22"/>
          <w:szCs w:val="22"/>
        </w:rPr>
        <w:t xml:space="preserve">. In its current implementation, the pipeline will send these to HPCBio’s redmine instance, and the given ticket number (the </w:t>
      </w:r>
      <w:r>
        <w:rPr>
          <w:rFonts w:eastAsia="Consolas" w:cs="Consolas" w:ascii="Consolas" w:hAnsi="Consolas"/>
          <w:sz w:val="20"/>
          <w:szCs w:val="20"/>
        </w:rPr>
        <w:t xml:space="preserve">REPORTTICKET </w:t>
      </w:r>
      <w:r>
        <w:rPr>
          <w:sz w:val="22"/>
          <w:szCs w:val="22"/>
        </w:rPr>
        <w:t>parameter)</w:t>
      </w:r>
    </w:p>
    <w:p>
      <w:pPr>
        <w:pStyle w:val="Normal"/>
        <w:spacing w:before="180" w:after="180"/>
        <w:rPr/>
      </w:pPr>
      <w:r>
        <w:rPr/>
      </w:r>
    </w:p>
    <w:p>
      <w:pPr>
        <w:pStyle w:val="Heading2"/>
        <w:spacing w:before="200" w:after="0"/>
        <w:rPr/>
      </w:pPr>
      <w:r>
        <w:rPr/>
        <w:t>2.4</w:t>
        <w:tab/>
        <w:t>Repo index/ The scripts</w:t>
      </w:r>
    </w:p>
    <w:p>
      <w:pPr>
        <w:pStyle w:val="Normal"/>
        <w:spacing w:before="180" w:after="180"/>
        <w:rPr/>
      </w:pPr>
      <w:r>
        <w:rPr/>
        <w:t>This pipeline (</w:t>
      </w:r>
      <w:hyperlink r:id="rId19">
        <w:r>
          <w:rPr>
            <w:rStyle w:val="InternetLink"/>
            <w:color w:val="1155CC"/>
            <w:u w:val="single"/>
          </w:rPr>
          <w:t>https://github.com/HPCBio/BW_VariantCalling/tree/ParameterSweep</w:t>
        </w:r>
      </w:hyperlink>
      <w:r>
        <w:rPr/>
        <w:t xml:space="preserve"> ) can be invoked in one of 3 ways depending on analysis requirement. These are specified in the table below:</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724"/>
        <w:gridCol w:w="4875"/>
      </w:tblGrid>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FE2F3" w:val="clear"/>
            <w:tcMar>
              <w:left w:w="90" w:type="dxa"/>
            </w:tcMar>
          </w:tcPr>
          <w:p>
            <w:pPr>
              <w:pStyle w:val="Normal"/>
              <w:keepNext/>
              <w:keepLines w:val="false"/>
              <w:widowControl w:val="false"/>
              <w:spacing w:lineRule="auto" w:line="240" w:before="0" w:after="0"/>
              <w:ind w:left="0" w:right="0" w:hanging="0"/>
              <w:jc w:val="center"/>
              <w:rPr>
                <w:b/>
              </w:rPr>
            </w:pPr>
            <w:r>
              <w:rPr>
                <w:b/>
              </w:rPr>
              <w:t>Desired analysis</w:t>
            </w:r>
          </w:p>
        </w:tc>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FE2F3" w:val="clear"/>
            <w:tcMar>
              <w:left w:w="90" w:type="dxa"/>
            </w:tcMar>
          </w:tcPr>
          <w:p>
            <w:pPr>
              <w:pStyle w:val="Normal"/>
              <w:keepNext/>
              <w:keepLines w:val="false"/>
              <w:widowControl w:val="false"/>
              <w:spacing w:lineRule="auto" w:line="240" w:before="0" w:after="0"/>
              <w:ind w:left="0" w:right="0" w:hanging="0"/>
              <w:jc w:val="center"/>
              <w:rPr>
                <w:b/>
              </w:rPr>
            </w:pPr>
            <w:r>
              <w:rPr>
                <w:b/>
              </w:rPr>
              <w:t>Invoke as+</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left"/>
              <w:rPr/>
            </w:pPr>
            <w:r>
              <w:rPr/>
              <w:t>Quality Control check of the raw reads and trimming</w:t>
            </w:r>
          </w:p>
        </w:tc>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bash trim_input.sh &lt;runfile&gt;</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left"/>
              <w:rPr/>
            </w:pPr>
            <w:r>
              <w:rPr/>
              <w:t>Aligning reads to a reference and basic quality control thereafter</w:t>
            </w:r>
          </w:p>
        </w:tc>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left"/>
              <w:rPr>
                <w:rFonts w:eastAsia="Consolas" w:cs="Consolas" w:ascii="Consolas" w:hAnsi="Consolas"/>
                <w:sz w:val="20"/>
                <w:szCs w:val="20"/>
              </w:rPr>
            </w:pPr>
            <w:r>
              <w:rPr>
                <w:rFonts w:eastAsia="Consolas" w:cs="Consolas" w:ascii="Consolas" w:hAnsi="Consolas"/>
                <w:sz w:val="20"/>
                <w:szCs w:val="20"/>
              </w:rPr>
              <w:t>bash start.sh &lt;runfile&gt;*</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left"/>
              <w:rPr/>
            </w:pPr>
            <w:r>
              <w:rPr/>
              <w:t>Complete variant calling, including the realignment stage</w:t>
            </w:r>
          </w:p>
        </w:tc>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bash start.sh &lt;runfile&gt;*</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left"/>
              <w:rPr/>
            </w:pPr>
            <w:r>
              <w:rPr/>
              <w:t>Complete variant calling, without the realignment stage</w:t>
            </w:r>
          </w:p>
        </w:tc>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bash start.sh &lt;runfile&gt;*</w:t>
            </w:r>
          </w:p>
        </w:tc>
      </w:tr>
      <w:tr>
        <w:trPr>
          <w:cantSplit w:val="false"/>
        </w:trPr>
        <w:tc>
          <w:tcPr>
            <w:tcW w:w="47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keepNext/>
              <w:keepLines w:val="false"/>
              <w:widowControl w:val="false"/>
              <w:spacing w:lineRule="auto" w:line="240" w:before="0" w:after="0"/>
              <w:ind w:left="0" w:right="0" w:hanging="0"/>
              <w:jc w:val="left"/>
              <w:rPr/>
            </w:pPr>
            <w:r>
              <w:rPr/>
              <w:t>Resume execution after a failing job</w:t>
            </w:r>
          </w:p>
        </w:tc>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widowControl w:val="false"/>
              <w:spacing w:lineRule="auto" w:line="240" w:before="0" w:after="0"/>
              <w:rPr>
                <w:rFonts w:eastAsia="Consolas" w:cs="Consolas" w:ascii="Consolas" w:hAnsi="Consolas"/>
                <w:sz w:val="20"/>
                <w:szCs w:val="20"/>
              </w:rPr>
            </w:pPr>
            <w:r>
              <w:rPr>
                <w:rFonts w:eastAsia="Consolas" w:cs="Consolas" w:ascii="Consolas" w:hAnsi="Consolas"/>
                <w:sz w:val="20"/>
                <w:szCs w:val="20"/>
              </w:rPr>
              <w:t>bash resumePartialExectuion.sh &lt;path to the logs directory from the failed run of the workflow&gt; &lt;name of the task to be resubmitted in the form qsub*realVcall*&gt;</w:t>
            </w:r>
          </w:p>
        </w:tc>
      </w:tr>
    </w:tbl>
    <w:p>
      <w:pPr>
        <w:pStyle w:val="Normal"/>
        <w:spacing w:before="180" w:after="180"/>
        <w:rPr>
          <w:sz w:val="20"/>
          <w:szCs w:val="20"/>
        </w:rPr>
      </w:pPr>
      <w:r>
        <w:rPr>
          <w:sz w:val="20"/>
          <w:szCs w:val="20"/>
        </w:rPr>
        <w:t xml:space="preserve">+ Better to use nohup to run your analysis, as in: </w:t>
      </w:r>
      <w:r>
        <w:rPr>
          <w:rFonts w:eastAsia="Consolas" w:cs="Consolas" w:ascii="Consolas" w:hAnsi="Consolas"/>
          <w:sz w:val="16"/>
          <w:szCs w:val="16"/>
        </w:rPr>
        <w:t xml:space="preserve">nohup &lt;script_dir&gt; &lt;needed_file&gt; &gt; log.nohup </w:t>
      </w:r>
      <w:r>
        <w:rPr>
          <w:sz w:val="20"/>
          <w:szCs w:val="20"/>
        </w:rPr>
        <w:t>to be able to track the run quickly, and also log off freely afterwards.</w:t>
      </w:r>
    </w:p>
    <w:p>
      <w:pPr>
        <w:pStyle w:val="Normal"/>
        <w:spacing w:before="180" w:after="180"/>
        <w:rPr>
          <w:sz w:val="20"/>
          <w:szCs w:val="20"/>
        </w:rPr>
      </w:pPr>
      <w:r>
        <w:rPr>
          <w:sz w:val="20"/>
          <w:szCs w:val="20"/>
        </w:rPr>
        <w:t>* The ANALYSIS parameter in the runfile needs to be configured as was described in section 2.3 for each case.</w:t>
      </w:r>
    </w:p>
    <w:p>
      <w:pPr>
        <w:pStyle w:val="Normal"/>
        <w:spacing w:before="180" w:after="180"/>
        <w:rPr/>
      </w:pPr>
      <w:r>
        <w:rPr/>
        <w:t>The details of the remaining files of the repo are as in the table below:</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414"/>
        <w:gridCol w:w="7185"/>
      </w:tblGrid>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FE2F3" w:val="clear"/>
            <w:tcMar>
              <w:left w:w="90" w:type="dxa"/>
            </w:tcMar>
          </w:tcPr>
          <w:p>
            <w:pPr>
              <w:pStyle w:val="Normal"/>
              <w:widowControl w:val="false"/>
              <w:spacing w:lineRule="auto" w:line="240" w:before="0" w:after="0"/>
              <w:jc w:val="center"/>
              <w:rPr>
                <w:b/>
              </w:rPr>
            </w:pPr>
            <w:r>
              <w:rPr>
                <w:b/>
              </w:rPr>
              <w:t>Script</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FE2F3" w:val="clear"/>
            <w:tcMar>
              <w:left w:w="90" w:type="dxa"/>
            </w:tcMar>
          </w:tcPr>
          <w:p>
            <w:pPr>
              <w:pStyle w:val="Normal"/>
              <w:widowControl w:val="false"/>
              <w:spacing w:lineRule="auto" w:line="240" w:before="0" w:after="0"/>
              <w:jc w:val="center"/>
              <w:rPr>
                <w:b/>
              </w:rPr>
            </w:pPr>
            <w:r>
              <w:rPr>
                <w:b/>
              </w:rPr>
              <w:t>Description</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align_dedup.sh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The script to carry out the alignment job</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realign_varcall_by_chr.sh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The script to carry out the realignment, recalibration and variant calling jobs</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merge_vcf.sh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The script to merge the bams (we split the per-sample bams by chromosome/contig in the realignment /recalibration stage, and now we merge that)</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joint_vcf.sh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The script to carry out the joint variant calling job</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summary.sh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The script to generate summaries about the last run of the pipeline (which jobs/samples failed/succeeded)</w:t>
            </w:r>
          </w:p>
        </w:tc>
      </w:tr>
    </w:tbl>
    <w:p>
      <w:pPr>
        <w:pStyle w:val="Normal"/>
        <w:spacing w:before="180" w:after="180"/>
        <w:rPr/>
      </w:pPr>
      <w:r>
        <w:rPr/>
        <w:t xml:space="preserve"> </w:t>
      </w:r>
    </w:p>
    <w:p>
      <w:pPr>
        <w:pStyle w:val="Normal"/>
        <w:spacing w:before="180" w:after="180"/>
        <w:rPr/>
      </w:pPr>
      <w:r>
        <w:rPr/>
        <w:t>The remaining files are not used as part of the variant calling pipeline of Figure [2] but are documented here for future use if needed. They are provided as-is, and are likely to require some debugging to be fully working properly.</w:t>
      </w:r>
    </w:p>
    <w:p>
      <w:pPr>
        <w:pStyle w:val="Normal"/>
        <w:spacing w:before="180" w:after="18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414"/>
        <w:gridCol w:w="7185"/>
      </w:tblGrid>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FE2F3" w:val="clear"/>
            <w:tcMar>
              <w:left w:w="90" w:type="dxa"/>
            </w:tcMar>
          </w:tcPr>
          <w:p>
            <w:pPr>
              <w:pStyle w:val="Normal"/>
              <w:widowControl w:val="false"/>
              <w:spacing w:lineRule="auto" w:line="240" w:before="0" w:after="0"/>
              <w:jc w:val="center"/>
              <w:rPr>
                <w:b/>
              </w:rPr>
            </w:pPr>
            <w:r>
              <w:rPr>
                <w:b/>
              </w:rPr>
              <w:t>Script</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FE2F3" w:val="clear"/>
            <w:tcMar>
              <w:left w:w="90" w:type="dxa"/>
            </w:tcMar>
          </w:tcPr>
          <w:p>
            <w:pPr>
              <w:pStyle w:val="Normal"/>
              <w:widowControl w:val="false"/>
              <w:spacing w:lineRule="auto" w:line="240" w:before="0" w:after="0"/>
              <w:jc w:val="center"/>
              <w:rPr>
                <w:b/>
              </w:rPr>
            </w:pPr>
            <w:r>
              <w:rPr>
                <w:b/>
              </w:rPr>
              <w:t>Description</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start_vqsr.sh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A script (pipeline to do VQSR) to the per-sample raw vcf files after calling the variants using the start.sh pipeline. It does so by calling the recalibrate_vcf.sh script. It expects a sampleinfo file that lists the locations of the rawvcf files resulting from running the start.sh pipeline</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recalibrate_vcf.sh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b/>
                <w:u w:val="single"/>
              </w:rPr>
            </w:pPr>
            <w:r>
              <w:rPr/>
              <w:t xml:space="preserve">A script to do VQSR to both snps and indels. Actually, in its current form it doesn't produce the right results (VQSR is a 2-stage process (modelling then applying the model), and the stages should be carried out in this order for SNPs and then Indels. </w:t>
            </w:r>
            <w:r>
              <w:rPr>
                <w:b/>
                <w:u w:val="single"/>
              </w:rPr>
              <w:t>I’m not sure it would still give the right results if the SNPs and Indels models were built first, and then applied; which is the current implementation)</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mutect2_1pair.sh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A script to call variants in normal/tumor samples using mutect2 from the GATK</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read_fate.sh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A script to generate an overall summary of the alignment job (parsed from the alignment log files), containing the total number of reads, total mapped reads, total duplicates, percentage duplicates and percentage mapped reads</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index_bams.sh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b/>
                <w:u w:val="single"/>
              </w:rPr>
            </w:pPr>
            <w:r>
              <w:rPr/>
              <w:t>A script to index recalibrated bam files. It is said to be needed to run Mutect2,</w:t>
            </w:r>
            <w:r>
              <w:rPr>
                <w:b/>
                <w:u w:val="single"/>
              </w:rPr>
              <w:t xml:space="preserve"> but not sure</w:t>
            </w:r>
          </w:p>
        </w:tc>
      </w:tr>
      <w:tr>
        <w:trPr>
          <w:cantSplit w:val="false"/>
        </w:trPr>
        <w:tc>
          <w:tcPr>
            <w:tcW w:w="241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rFonts w:eastAsia="Consolas" w:cs="Consolas" w:ascii="Consolas" w:hAnsi="Consolas"/>
                <w:sz w:val="20"/>
                <w:szCs w:val="20"/>
              </w:rPr>
            </w:pPr>
            <w:r>
              <w:rPr>
                <w:rFonts w:eastAsia="Consolas" w:cs="Consolas" w:ascii="Consolas" w:hAnsi="Consolas"/>
                <w:sz w:val="20"/>
                <w:szCs w:val="20"/>
              </w:rPr>
              <w:t>vcfstats.sh</w:t>
            </w:r>
          </w:p>
        </w:tc>
        <w:tc>
          <w:tcPr>
            <w:tcW w:w="71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vAlign w:val="center"/>
          </w:tcPr>
          <w:p>
            <w:pPr>
              <w:pStyle w:val="Normal"/>
              <w:spacing w:before="180" w:after="180"/>
              <w:rPr/>
            </w:pPr>
            <w:r>
              <w:rPr/>
              <w:t>A script to generate vcf stats on all vcfs resulting from the workflow (QC step)</w:t>
            </w:r>
          </w:p>
        </w:tc>
      </w:tr>
    </w:tbl>
    <w:p>
      <w:pPr>
        <w:pStyle w:val="Normal"/>
        <w:spacing w:before="180" w:after="180"/>
        <w:rPr/>
      </w:pPr>
      <w:r>
        <w:rPr/>
      </w:r>
    </w:p>
    <w:p>
      <w:pPr>
        <w:pStyle w:val="Heading1"/>
        <w:spacing w:before="480" w:after="0"/>
        <w:rPr/>
      </w:pPr>
      <w:bookmarkStart w:id="5" w:name="_vy7gnv8pm8od"/>
      <w:bookmarkEnd w:id="5"/>
      <w:r>
        <w:rPr/>
        <w:t>3</w:t>
        <w:tab/>
        <w:t>Results</w:t>
      </w:r>
    </w:p>
    <w:p>
      <w:pPr>
        <w:pStyle w:val="Normal"/>
        <w:spacing w:before="180" w:after="180"/>
        <w:rPr/>
      </w:pPr>
      <w:r>
        <w:rPr/>
        <w:t>The results from a typical run of the pipeline are organized according to the hierarchy shown in Figure [3] below. Overall, the DELIVERYFOLDER contains the key summarizing files of the run (the cleaned up bams, gvcfs and final vcf from joint calling; in addition to the summary reports regarding the quality of the data, and copies of the sampleinformation and runfile files). Each sample also has its own directory that contains the files generated after each stage. In Figure [3], a color coding schema is employed to differentiate the files that would be generated according to how the user specifies the ANALYSIS parameter in the runfile.</w:t>
      </w:r>
    </w:p>
    <w:p>
      <w:pPr>
        <w:pStyle w:val="Normal"/>
        <w:spacing w:before="180" w:after="180"/>
        <w:rPr/>
      </w:pPr>
      <w:r>
        <w:rPr/>
      </w:r>
    </w:p>
    <w:p>
      <w:pPr>
        <w:pStyle w:val="Normal"/>
        <w:spacing w:before="180" w:after="180"/>
        <w:jc w:val="center"/>
        <w:rPr>
          <w:sz w:val="20"/>
          <w:szCs w:val="20"/>
        </w:rPr>
      </w:pPr>
      <w:r>
        <w:rPr>
          <w:sz w:val="20"/>
          <w:szCs w:val="20"/>
        </w:rPr>
        <w:t>Figure 3: Output directories and files generated from a typical run of the pipeline</w:t>
      </w:r>
    </w:p>
    <w:p>
      <w:pPr>
        <w:pStyle w:val="Normal"/>
        <w:spacing w:before="180" w:after="180"/>
        <w:rPr/>
      </w:pPr>
      <w:commentRangeStart w:id="0"/>
      <w:r>
        <w:rPr/>
        <w:t>One way to test the functionality of this pipeline, is to run it against a test dataset for which the truth is known (i.e., there exists a vcf file with true variants). The Genome in a Bottle Consortium (GIAB), curates such data including the raw fastq files, the cleaned bams, and the final variants file.</w:t>
      </w:r>
      <w:commentRangeEnd w:id="0"/>
      <w:r>
        <w:rPr/>
      </w:r>
      <w:r>
        <w:rPr/>
        <w:commentReference w:id="0"/>
      </w:r>
      <w:r>
        <w:rPr/>
        <w:commentReference w:id="1"/>
      </w:r>
    </w:p>
    <w:p>
      <w:pPr>
        <w:pStyle w:val="Normal"/>
        <w:spacing w:before="180" w:after="180"/>
        <w:rPr>
          <w:rStyle w:val="InternetLink"/>
          <w:color w:val="1155CC"/>
          <w:u w:val="single"/>
        </w:rPr>
      </w:pPr>
      <w:r>
        <w:rPr/>
        <w:t xml:space="preserve">As an example, the pipeline was run using the whole exome sequence dataset of sample NA12878 as produced by the Garvan Institute: </w:t>
      </w:r>
      <w:hyperlink r:id="rId20">
        <w:r>
          <w:rPr>
            <w:rStyle w:val="InternetLink"/>
            <w:color w:val="1155CC"/>
            <w:u w:val="single"/>
          </w:rPr>
          <w:t>http://www.garvan.org.au/research/kinghorn-centre-for-clinical-genomics/clinical-genomics/sequencing-services/sample-data</w:t>
        </w:r>
      </w:hyperlink>
    </w:p>
    <w:p>
      <w:pPr>
        <w:pStyle w:val="Normal"/>
        <w:spacing w:before="180" w:after="180"/>
        <w:rPr/>
      </w:pPr>
      <w:r>
        <w:rPr/>
        <w:t>Calling the variants in the data produced by Robot1 (i.e. replicate 1) of an average ~34X, and the default parameters of the pipeline, the concordance between the final vcf file (query file) produced from the pipeline and the truth dataset obtained from the Garvan institute website is as show in the table below (as generated by hap.py)</w:t>
      </w:r>
    </w:p>
    <w:p>
      <w:pPr>
        <w:pStyle w:val="Normal"/>
        <w:spacing w:before="180" w:after="180"/>
        <w:ind w:left="2160" w:right="0" w:hanging="0"/>
        <w:jc w:val="center"/>
        <w:rPr/>
      </w:pPr>
      <w:r>
        <w:rPr>
          <w:sz w:val="20"/>
          <w:szCs w:val="20"/>
        </w:rPr>
        <w:t>Table 1: Benchmarking summary*</w:t>
        <w:tab/>
        <w:t xml:space="preserve">  </w:t>
        <w:tab/>
        <w:t xml:space="preserve"> </w:t>
        <w:tab/>
        <w:t xml:space="preserve"> </w:t>
      </w:r>
      <w:r>
        <w:rPr/>
        <w:tab/>
      </w:r>
    </w:p>
    <w:tbl>
      <w:tblPr>
        <w:jc w:val="left"/>
        <w:tblInd w:w="-36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0" w:type="dxa"/>
          <w:left w:w="92" w:type="dxa"/>
          <w:bottom w:w="100" w:type="dxa"/>
          <w:right w:w="100" w:type="dxa"/>
        </w:tblCellMar>
      </w:tblPr>
      <w:tblGrid>
        <w:gridCol w:w="854"/>
        <w:gridCol w:w="824"/>
        <w:gridCol w:w="1620"/>
        <w:gridCol w:w="990"/>
        <w:gridCol w:w="944"/>
        <w:gridCol w:w="1620"/>
        <w:gridCol w:w="944"/>
        <w:gridCol w:w="1050"/>
        <w:gridCol w:w="1158"/>
      </w:tblGrid>
      <w:tr>
        <w:trPr>
          <w:cantSplit w:val="false"/>
        </w:trPr>
        <w:tc>
          <w:tcPr>
            <w:tcW w:w="8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Type</w:t>
            </w:r>
          </w:p>
        </w:tc>
        <w:tc>
          <w:tcPr>
            <w:tcW w:w="82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Filter</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CCCCCC"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TRUTH.TOTAL</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CCCCCC"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TRUTH.TP</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CCCCCC"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TRUTH.FN</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CCCCCC"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QUERY.TOTAL</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CCCCCC"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QUERY.FP</w:t>
            </w:r>
          </w:p>
        </w:tc>
        <w:tc>
          <w:tcPr>
            <w:tcW w:w="10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CCCCCC"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METRIC.Recall</w:t>
            </w:r>
          </w:p>
        </w:tc>
        <w:tc>
          <w:tcPr>
            <w:tcW w:w="1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CCCCCC"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METRIC.Precision</w:t>
            </w:r>
          </w:p>
        </w:tc>
      </w:tr>
      <w:tr>
        <w:trPr>
          <w:cantSplit w:val="false"/>
        </w:trPr>
        <w:tc>
          <w:tcPr>
            <w:tcW w:w="8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INDEL</w:t>
            </w:r>
          </w:p>
        </w:tc>
        <w:tc>
          <w:tcPr>
            <w:tcW w:w="82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ALL</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803045</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767492</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35553</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886700</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119213</w:t>
            </w:r>
          </w:p>
        </w:tc>
        <w:tc>
          <w:tcPr>
            <w:tcW w:w="10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0.955727</w:t>
            </w:r>
          </w:p>
        </w:tc>
        <w:tc>
          <w:tcPr>
            <w:tcW w:w="1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0.865554</w:t>
            </w:r>
          </w:p>
        </w:tc>
      </w:tr>
      <w:tr>
        <w:trPr>
          <w:cantSplit w:val="false"/>
        </w:trPr>
        <w:tc>
          <w:tcPr>
            <w:tcW w:w="8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INDEL</w:t>
            </w:r>
          </w:p>
        </w:tc>
        <w:tc>
          <w:tcPr>
            <w:tcW w:w="82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PASS</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803045</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764680</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38365</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883879</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119204</w:t>
            </w:r>
          </w:p>
        </w:tc>
        <w:tc>
          <w:tcPr>
            <w:tcW w:w="10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0.952226</w:t>
            </w:r>
          </w:p>
        </w:tc>
        <w:tc>
          <w:tcPr>
            <w:tcW w:w="1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0.865135</w:t>
            </w:r>
          </w:p>
        </w:tc>
      </w:tr>
      <w:tr>
        <w:trPr>
          <w:cantSplit w:val="false"/>
        </w:trPr>
        <w:tc>
          <w:tcPr>
            <w:tcW w:w="8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SNP</w:t>
            </w:r>
          </w:p>
        </w:tc>
        <w:tc>
          <w:tcPr>
            <w:tcW w:w="82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ALL</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3689294</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3614155</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75139</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3806647</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192500</w:t>
            </w:r>
          </w:p>
        </w:tc>
        <w:tc>
          <w:tcPr>
            <w:tcW w:w="10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0.979633</w:t>
            </w:r>
          </w:p>
        </w:tc>
        <w:tc>
          <w:tcPr>
            <w:tcW w:w="1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0.949431</w:t>
            </w:r>
          </w:p>
        </w:tc>
      </w:tr>
      <w:tr>
        <w:trPr>
          <w:cantSplit w:val="false"/>
        </w:trPr>
        <w:tc>
          <w:tcPr>
            <w:tcW w:w="85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SNP</w:t>
            </w:r>
          </w:p>
        </w:tc>
        <w:tc>
          <w:tcPr>
            <w:tcW w:w="82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D9D9D9"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PASS</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3689294</w:t>
            </w:r>
          </w:p>
        </w:tc>
        <w:tc>
          <w:tcPr>
            <w:tcW w:w="99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3523155</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166139</w:t>
            </w:r>
          </w:p>
        </w:tc>
        <w:tc>
          <w:tcPr>
            <w:tcW w:w="162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3714249</w:t>
            </w:r>
          </w:p>
        </w:tc>
        <w:tc>
          <w:tcPr>
            <w:tcW w:w="944"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191102</w:t>
            </w:r>
          </w:p>
        </w:tc>
        <w:tc>
          <w:tcPr>
            <w:tcW w:w="105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0.954967</w:t>
            </w:r>
          </w:p>
        </w:tc>
        <w:tc>
          <w:tcPr>
            <w:tcW w:w="115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2" w:type="dxa"/>
            </w:tcMar>
          </w:tcPr>
          <w:p>
            <w:pPr>
              <w:pStyle w:val="Normal"/>
              <w:keepNext/>
              <w:keepLines w:val="false"/>
              <w:widowControl w:val="false"/>
              <w:spacing w:lineRule="auto" w:line="276" w:before="0" w:after="0"/>
              <w:ind w:left="0" w:right="0" w:hanging="0"/>
              <w:jc w:val="left"/>
              <w:rPr>
                <w:sz w:val="20"/>
                <w:szCs w:val="20"/>
              </w:rPr>
            </w:pPr>
            <w:r>
              <w:rPr>
                <w:sz w:val="20"/>
                <w:szCs w:val="20"/>
              </w:rPr>
              <w:t>0.948549</w:t>
            </w:r>
          </w:p>
        </w:tc>
      </w:tr>
    </w:tbl>
    <w:p>
      <w:pPr>
        <w:pStyle w:val="Normal"/>
        <w:spacing w:before="180" w:after="180"/>
        <w:rPr>
          <w:sz w:val="18"/>
          <w:szCs w:val="18"/>
        </w:rPr>
      </w:pPr>
      <w:r>
        <w:rPr>
          <w:sz w:val="18"/>
          <w:szCs w:val="18"/>
        </w:rPr>
        <w:t>* This table is extracted from hap.py output reports. The scripts to obtain this data and perform the benchmarking are in the Miscellaneous directory of the repo</w:t>
      </w:r>
    </w:p>
    <w:p>
      <w:pPr>
        <w:pStyle w:val="Normal"/>
        <w:spacing w:before="180" w:after="180"/>
        <w:rPr/>
      </w:pPr>
      <w:r>
        <w:rPr/>
      </w:r>
    </w:p>
    <w:p>
      <w:pPr>
        <w:pStyle w:val="Normal"/>
        <w:numPr>
          <w:ilvl w:val="0"/>
          <w:numId w:val="2"/>
        </w:numPr>
        <w:spacing w:lineRule="auto" w:line="240" w:before="180" w:after="180"/>
        <w:ind w:left="720" w:right="0" w:firstLine="360"/>
        <w:contextualSpacing/>
        <w:rPr>
          <w:color w:val="FF0000"/>
        </w:rPr>
      </w:pPr>
      <w:r>
        <w:rPr>
          <w:color w:val="FF0000"/>
        </w:rPr>
        <w:t>For some reason, Neat is not really producing meaningful comparisons! It is giving 0 for all the comparisons: golden variants, workflow variants, differences between the two vcfs, and the resulting FP and FN files are also meaningless!</w:t>
        <w:br/>
        <w:br/>
        <w:t>This could be something about the way I’m calling it, so here is the code excerpt:</w:t>
      </w:r>
    </w:p>
    <w:p>
      <w:pPr>
        <w:pStyle w:val="Normal"/>
        <w:spacing w:lineRule="auto" w:line="240" w:before="180" w:after="180"/>
        <w:ind w:left="720" w:right="0" w:hanging="0"/>
        <w:rPr/>
      </w:pPr>
      <w:r>
        <w:rPr/>
      </w:r>
    </w:p>
    <w:p>
      <w:pPr>
        <w:pStyle w:val="Normal"/>
        <w:spacing w:lineRule="auto" w:line="240" w:before="180" w:after="180"/>
        <w:ind w:left="720" w:right="0" w:hanging="0"/>
        <w:rPr>
          <w:rFonts w:eastAsia="Consolas" w:cs="Consolas" w:ascii="Consolas" w:hAnsi="Consolas"/>
          <w:color w:val="FF0000"/>
          <w:sz w:val="20"/>
          <w:szCs w:val="20"/>
        </w:rPr>
      </w:pPr>
      <w:r>
        <w:rPr>
          <w:color w:val="FF0000"/>
        </w:rPr>
        <w:br/>
      </w:r>
      <w:r>
        <w:rPr>
          <w:rFonts w:eastAsia="Consolas" w:cs="Consolas" w:ascii="Consolas" w:hAnsi="Consolas"/>
          <w:color w:val="FF0000"/>
          <w:sz w:val="20"/>
          <w:szCs w:val="20"/>
        </w:rPr>
        <w:t>reference="/home/groups/hpcbio_shared/azza/H3A_NextGen_assessment_set3/data/genome"</w:t>
      </w:r>
    </w:p>
    <w:p>
      <w:pPr>
        <w:pStyle w:val="Normal"/>
        <w:spacing w:lineRule="auto" w:line="240" w:before="180" w:after="180"/>
        <w:ind w:left="720" w:right="0" w:hanging="0"/>
        <w:rPr>
          <w:rFonts w:eastAsia="Consolas" w:cs="Consolas" w:ascii="Consolas" w:hAnsi="Consolas"/>
          <w:color w:val="FF0000"/>
          <w:sz w:val="20"/>
          <w:szCs w:val="20"/>
        </w:rPr>
      </w:pPr>
      <w:r>
        <w:rPr>
          <w:rFonts w:eastAsia="Consolas" w:cs="Consolas" w:ascii="Consolas" w:hAnsi="Consolas"/>
          <w:color w:val="FF0000"/>
          <w:sz w:val="20"/>
          <w:szCs w:val="20"/>
        </w:rPr>
        <w:t>goldenFile=/home/groups/hpcbio_shared/azza/GIAB/reads/Gravan_raw/NA12878_V2.5_Robot_1.hc.vqsr.vep.vcf</w:t>
      </w:r>
    </w:p>
    <w:p>
      <w:pPr>
        <w:pStyle w:val="Normal"/>
        <w:spacing w:lineRule="auto" w:line="240" w:before="180" w:after="180"/>
        <w:ind w:left="720" w:right="0" w:hanging="0"/>
        <w:rPr>
          <w:rFonts w:eastAsia="Consolas" w:cs="Consolas" w:ascii="Consolas" w:hAnsi="Consolas"/>
          <w:color w:val="FF0000"/>
          <w:sz w:val="20"/>
          <w:szCs w:val="20"/>
        </w:rPr>
      </w:pPr>
      <w:r>
        <w:rPr>
          <w:rFonts w:eastAsia="Consolas" w:cs="Consolas" w:ascii="Consolas" w:hAnsi="Consolas"/>
          <w:color w:val="FF0000"/>
          <w:sz w:val="20"/>
          <w:szCs w:val="20"/>
        </w:rPr>
        <w:t>workflowFile=/home/groups/hpcbio_shared/azza/GIAB/results/run8/delivery/jointVCFs/jointVCFcalled.vcf</w:t>
      </w:r>
    </w:p>
    <w:p>
      <w:pPr>
        <w:pStyle w:val="Normal"/>
        <w:spacing w:lineRule="auto" w:line="240" w:before="180" w:after="180"/>
        <w:ind w:left="720" w:right="0" w:hanging="0"/>
        <w:rPr/>
      </w:pPr>
      <w:r>
        <w:rPr/>
      </w:r>
    </w:p>
    <w:p>
      <w:pPr>
        <w:pStyle w:val="Normal"/>
        <w:spacing w:lineRule="auto" w:line="240" w:before="180" w:after="180"/>
        <w:ind w:left="720" w:right="0" w:hanging="0"/>
        <w:rPr>
          <w:rFonts w:eastAsia="Consolas" w:cs="Consolas" w:ascii="Consolas" w:hAnsi="Consolas"/>
          <w:color w:val="FF0000"/>
          <w:sz w:val="20"/>
          <w:szCs w:val="20"/>
        </w:rPr>
      </w:pPr>
      <w:r>
        <w:rPr>
          <w:rFonts w:eastAsia="Consolas" w:cs="Consolas" w:ascii="Consolas" w:hAnsi="Consolas"/>
          <w:color w:val="FF0000"/>
          <w:sz w:val="20"/>
          <w:szCs w:val="20"/>
        </w:rPr>
        <w:t>module load python/2.7.9</w:t>
      </w:r>
    </w:p>
    <w:p>
      <w:pPr>
        <w:pStyle w:val="Normal"/>
        <w:spacing w:lineRule="auto" w:line="240" w:before="180" w:after="180"/>
        <w:ind w:left="720" w:right="0" w:hanging="0"/>
        <w:rPr>
          <w:rFonts w:eastAsia="Consolas" w:cs="Consolas" w:ascii="Consolas" w:hAnsi="Consolas"/>
          <w:color w:val="FF0000"/>
          <w:sz w:val="20"/>
          <w:szCs w:val="20"/>
        </w:rPr>
      </w:pPr>
      <w:r>
        <w:rPr>
          <w:rFonts w:eastAsia="Consolas" w:cs="Consolas" w:ascii="Consolas" w:hAnsi="Consolas"/>
          <w:color w:val="FF0000"/>
          <w:sz w:val="20"/>
          <w:szCs w:val="20"/>
        </w:rPr>
        <w:t>vcf_compare_dir=/home/groups/hpcbio_shared/azza/H3A_NextGen_assessment_set3/builds/NEAT/neat-genreads/utilities</w:t>
      </w:r>
    </w:p>
    <w:p>
      <w:pPr>
        <w:pStyle w:val="Normal"/>
        <w:spacing w:lineRule="auto" w:line="240" w:before="180" w:after="180"/>
        <w:ind w:left="720" w:right="0" w:hanging="0"/>
        <w:rPr>
          <w:rFonts w:eastAsia="Consolas" w:cs="Consolas" w:ascii="Consolas" w:hAnsi="Consolas"/>
          <w:color w:val="FF0000"/>
          <w:sz w:val="20"/>
          <w:szCs w:val="20"/>
        </w:rPr>
      </w:pPr>
      <w:r>
        <w:rPr>
          <w:rFonts w:eastAsia="Consolas" w:cs="Consolas" w:ascii="Consolas" w:hAnsi="Consolas"/>
          <w:color w:val="FF0000"/>
          <w:sz w:val="20"/>
          <w:szCs w:val="20"/>
        </w:rPr>
        <w:t>python $vcf_compare_dir/vcf_compare_OLD.py -r $reference/ucsc.hg19.fasta -g ${goldenFile} -w ${workflowFile}  -o /home/groups/hpcbio_shared/azza/GIAB/results/run8/variant_compare_neat  --incl-homs --incl-fail --vcf-out --no-plot</w:t>
      </w:r>
    </w:p>
    <w:p>
      <w:pPr>
        <w:pStyle w:val="Normal"/>
        <w:spacing w:lineRule="auto" w:line="240" w:before="180" w:after="180"/>
        <w:ind w:left="720" w:right="0" w:hanging="0"/>
        <w:rPr/>
      </w:pPr>
      <w:r>
        <w:rPr/>
      </w:r>
    </w:p>
    <w:p>
      <w:pPr>
        <w:pStyle w:val="Normal"/>
        <w:spacing w:lineRule="auto" w:line="240" w:before="180" w:after="180"/>
        <w:ind w:left="720" w:right="0" w:hanging="0"/>
        <w:rPr/>
      </w:pPr>
      <w:r>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zza Ahmed" w:date="2016-09-22T03:48:1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this a good enough test/proof of functionality?</w:t>
      </w:r>
    </w:p>
  </w:comment>
  <w:comment w:id="1" w:author="Azza Ahmed" w:date="2016-09-22T03:48:1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+gloriarendon@gmail.com +lmainzer@life.illinois.edu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Comic Sans MS">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440" w:hanging="-1080"/>
      </w:pPr>
    </w:lvl>
    <w:lvl w:ilvl="3">
      <w:start w:val="1"/>
      <w:numFmt w:val="decimal"/>
      <w:lvlText w:val="%4."/>
      <w:lvlJc w:val="left"/>
      <w:pPr>
        <w:ind w:left="1800" w:hanging="-1440"/>
      </w:pPr>
    </w:lvl>
    <w:lvl w:ilvl="4">
      <w:start w:val="1"/>
      <w:numFmt w:val="decimal"/>
      <w:lvlText w:val="%5."/>
      <w:lvlJc w:val="left"/>
      <w:pPr>
        <w:ind w:left="2160" w:hanging="-1800"/>
      </w:pPr>
    </w:lvl>
    <w:lvl w:ilvl="5">
      <w:start w:val="1"/>
      <w:numFmt w:val="decimal"/>
      <w:lvlText w:val="%6."/>
      <w:lvlJc w:val="left"/>
      <w:pPr>
        <w:ind w:left="2520" w:hanging="-2160"/>
      </w:pPr>
    </w:lvl>
    <w:lvl w:ilvl="6">
      <w:start w:val="1"/>
      <w:numFmt w:val="decimal"/>
      <w:lvlText w:val="%7."/>
      <w:lvlJc w:val="left"/>
      <w:pPr>
        <w:ind w:left="2880" w:hanging="-2520"/>
      </w:pPr>
    </w:lvl>
    <w:lvl w:ilvl="7">
      <w:start w:val="1"/>
      <w:numFmt w:val="decimal"/>
      <w:lvlText w:val="%8."/>
      <w:lvlJc w:val="left"/>
      <w:pPr>
        <w:ind w:left="3240" w:hanging="-2880"/>
      </w:pPr>
    </w:lvl>
    <w:lvl w:ilvl="8">
      <w:start w:val="1"/>
      <w:numFmt w:val="decimal"/>
      <w:lvlText w:val="%9."/>
      <w:lvlJc w:val="left"/>
      <w:pPr>
        <w:ind w:left="3600" w:hanging="-3240"/>
      </w:p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isplayBackgroundShape/>
  <w:defaultTabStop w:val="720"/>
</w:settings>
</file>

<file path=word/styles.xml><?xml version="1.0" encoding="utf-8"?>
<w:styles xmlns:w="http://schemas.openxmlformats.org/wordprocessingml/2006/main">
  <w:docDefaults>
    <w:rPrDefault>
      <w:rPr>
        <w:rFonts w:ascii="Cambria" w:hAnsi="Cambria" w:eastAsia="Cambria" w:cs="Cambria"/>
        <w:color w:val="00000A"/>
        <w:sz w:val="24"/>
        <w:szCs w:val="24"/>
        <w:lang w:val="en-ZA" w:eastAsia="zh-CN" w:bidi="hi-IN"/>
      </w:rPr>
    </w:rPrDefault>
    <w:pPrDefault>
      <w:pPr>
        <w:widowControl/>
      </w:pPr>
    </w:pPrDefault>
  </w:docDefaults>
  <w:style w:type="paragraph" w:styleId="Normal">
    <w:name w:val="Normal"/>
    <w:pPr>
      <w:keepNext/>
      <w:keepLines w:val="false"/>
      <w:widowControl/>
      <w:suppressAutoHyphens w:val="true"/>
      <w:spacing w:lineRule="auto" w:line="240" w:before="180" w:after="180"/>
      <w:ind w:left="0" w:right="0" w:hanging="0"/>
      <w:jc w:val="left"/>
    </w:pPr>
    <w:rPr>
      <w:rFonts w:ascii="Cambria" w:hAnsi="Cambria" w:eastAsia="Cambria" w:cs="Cambria"/>
      <w:b w:val="false"/>
      <w:i w:val="false"/>
      <w:caps w:val="false"/>
      <w:smallCaps w:val="false"/>
      <w:strike w:val="false"/>
      <w:dstrike w:val="false"/>
      <w:color w:val="00000A"/>
      <w:position w:val="0"/>
      <w:sz w:val="24"/>
      <w:sz w:val="24"/>
      <w:szCs w:val="24"/>
      <w:u w:val="none"/>
      <w:vertAlign w:val="baseline"/>
      <w:lang w:val="en-ZA" w:eastAsia="zh-CN" w:bidi="hi-IN"/>
    </w:rPr>
  </w:style>
  <w:style w:type="paragraph" w:styleId="Heading1">
    <w:name w:val="Heading 1"/>
    <w:basedOn w:val="Normal1"/>
    <w:next w:val="Normal"/>
    <w:pPr>
      <w:keepNext/>
      <w:keepLines/>
      <w:widowControl/>
      <w:spacing w:lineRule="auto" w:line="240" w:before="480" w:after="0"/>
      <w:jc w:val="left"/>
    </w:pPr>
    <w:rPr>
      <w:rFonts w:ascii="Calibri" w:hAnsi="Calibri" w:eastAsia="Calibri" w:cs="Calibri"/>
      <w:b/>
      <w:color w:val="345A8A"/>
      <w:sz w:val="36"/>
      <w:szCs w:val="36"/>
    </w:rPr>
  </w:style>
  <w:style w:type="paragraph" w:styleId="Heading2">
    <w:name w:val="Heading 2"/>
    <w:basedOn w:val="Normal1"/>
    <w:next w:val="Normal"/>
    <w:pPr>
      <w:keepNext/>
      <w:keepLines/>
      <w:widowControl/>
      <w:spacing w:lineRule="auto" w:line="240" w:before="200" w:after="0"/>
      <w:jc w:val="left"/>
    </w:pPr>
    <w:rPr>
      <w:rFonts w:ascii="Calibri" w:hAnsi="Calibri" w:eastAsia="Calibri" w:cs="Calibri"/>
      <w:b/>
      <w:color w:val="4F81BD"/>
      <w:sz w:val="32"/>
      <w:szCs w:val="32"/>
    </w:rPr>
  </w:style>
  <w:style w:type="paragraph" w:styleId="Heading3">
    <w:name w:val="Heading 3"/>
    <w:basedOn w:val="Normal1"/>
    <w:next w:val="Normal"/>
    <w:pPr>
      <w:keepNext/>
      <w:keepLines/>
      <w:widowControl/>
      <w:spacing w:lineRule="auto" w:line="240" w:before="200" w:after="0"/>
      <w:jc w:val="left"/>
    </w:pPr>
    <w:rPr>
      <w:rFonts w:ascii="Calibri" w:hAnsi="Calibri" w:eastAsia="Calibri" w:cs="Calibri"/>
      <w:b/>
      <w:color w:val="4F81BD"/>
      <w:sz w:val="28"/>
      <w:szCs w:val="28"/>
    </w:rPr>
  </w:style>
  <w:style w:type="paragraph" w:styleId="Heading4">
    <w:name w:val="Heading 4"/>
    <w:basedOn w:val="Normal1"/>
    <w:next w:val="Normal"/>
    <w:pPr>
      <w:keepNext/>
      <w:keepLines/>
      <w:widowControl/>
      <w:spacing w:lineRule="auto" w:line="240" w:before="200" w:after="0"/>
      <w:jc w:val="left"/>
    </w:pPr>
    <w:rPr>
      <w:rFonts w:ascii="Calibri" w:hAnsi="Calibri" w:eastAsia="Calibri" w:cs="Calibri"/>
      <w:b/>
      <w:color w:val="4F81BD"/>
      <w:sz w:val="24"/>
      <w:szCs w:val="24"/>
    </w:rPr>
  </w:style>
  <w:style w:type="paragraph" w:styleId="Heading5">
    <w:name w:val="Heading 5"/>
    <w:basedOn w:val="Normal1"/>
    <w:next w:val="Normal"/>
    <w:pPr>
      <w:keepNext/>
      <w:keepLines/>
      <w:widowControl/>
      <w:spacing w:lineRule="auto" w:line="240" w:before="200" w:after="0"/>
      <w:jc w:val="left"/>
    </w:pPr>
    <w:rPr>
      <w:rFonts w:ascii="Calibri" w:hAnsi="Calibri" w:eastAsia="Calibri" w:cs="Calibri"/>
      <w:b w:val="false"/>
      <w:i/>
      <w:color w:val="4F81BD"/>
      <w:sz w:val="24"/>
      <w:szCs w:val="24"/>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180" w:after="180"/>
      <w:ind w:left="0" w:right="0" w:hanging="0"/>
      <w:jc w:val="left"/>
    </w:pPr>
    <w:rPr>
      <w:rFonts w:ascii="Cambria" w:hAnsi="Cambria" w:eastAsia="Cambria" w:cs="Cambria"/>
      <w:b w:val="false"/>
      <w:i w:val="false"/>
      <w:caps w:val="false"/>
      <w:smallCaps w:val="false"/>
      <w:strike w:val="false"/>
      <w:dstrike w:val="false"/>
      <w:color w:val="00000A"/>
      <w:position w:val="0"/>
      <w:sz w:val="24"/>
      <w:sz w:val="24"/>
      <w:szCs w:val="24"/>
      <w:u w:val="none"/>
      <w:vertAlign w:val="baseline"/>
      <w:lang w:val="en-ZA" w:eastAsia="zh-CN" w:bidi="hi-IN"/>
    </w:rPr>
  </w:style>
  <w:style w:type="paragraph" w:styleId="Title">
    <w:name w:val="Title"/>
    <w:basedOn w:val="Normal1"/>
    <w:next w:val="Normal"/>
    <w:pPr>
      <w:keepNext/>
      <w:keepLines/>
      <w:widowControl/>
      <w:spacing w:lineRule="auto" w:line="240" w:before="480" w:after="240"/>
      <w:jc w:val="center"/>
    </w:pPr>
    <w:rPr>
      <w:rFonts w:ascii="Calibri" w:hAnsi="Calibri" w:eastAsia="Calibri" w:cs="Calibri"/>
      <w:b/>
      <w:color w:val="345A8A"/>
      <w:sz w:val="36"/>
      <w:szCs w:val="36"/>
    </w:rPr>
  </w:style>
  <w:style w:type="paragraph" w:styleId="Subtitle">
    <w:name w:val="Subtitle"/>
    <w:basedOn w:val="Normal1"/>
    <w:next w:val="Normal"/>
    <w:pPr>
      <w:keepNext/>
      <w:keepLines/>
      <w:widowControl/>
      <w:spacing w:lineRule="auto" w:line="240" w:before="240" w:after="120"/>
      <w:jc w:val="left"/>
    </w:pPr>
    <w:rPr>
      <w:rFonts w:ascii="Liberation Sans" w:hAnsi="Liberation Sans" w:eastAsia="Liberation Sans" w:cs="Liberation Sans"/>
      <w:b w:val="false"/>
      <w:i/>
      <w:color w:val="00000A"/>
      <w:sz w:val="28"/>
      <w:szCs w:val="2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ware.broadinstitute.org/gatk/best-practices/" TargetMode="External"/><Relationship Id="rId3" Type="http://schemas.openxmlformats.org/officeDocument/2006/relationships/hyperlink" Target="http://www.bioinformatics.babraham.ac.uk/projects/fastqc/" TargetMode="External"/><Relationship Id="rId4" Type="http://schemas.openxmlformats.org/officeDocument/2006/relationships/hyperlink" Target="http://www.usadellab.org/cms/?page=trimmomatic" TargetMode="External"/><Relationship Id="rId5" Type="http://schemas.openxmlformats.org/officeDocument/2006/relationships/hyperlink" Target="https://github.com/lh3/bwa" TargetMode="External"/><Relationship Id="rId6" Type="http://schemas.openxmlformats.org/officeDocument/2006/relationships/hyperlink" Target="http://novocraft.com/" TargetMode="External"/><Relationship Id="rId7" Type="http://schemas.openxmlformats.org/officeDocument/2006/relationships/hyperlink" Target="https://github.com/GregoryFaust/samblaster" TargetMode="External"/><Relationship Id="rId8" Type="http://schemas.openxmlformats.org/officeDocument/2006/relationships/hyperlink" Target="http://novocraft.com/" TargetMode="External"/><Relationship Id="rId9" Type="http://schemas.openxmlformats.org/officeDocument/2006/relationships/hyperlink" Target="https://broadinstitute.github.io/picard/" TargetMode="External"/><Relationship Id="rId10" Type="http://schemas.openxmlformats.org/officeDocument/2006/relationships/hyperlink" Target="https://software.broadinstitute.org/gatk/download/" TargetMode="External"/><Relationship Id="rId11" Type="http://schemas.openxmlformats.org/officeDocument/2006/relationships/hyperlink" Target="https://software.broadinstitute.org/gatk/download/" TargetMode="External"/><Relationship Id="rId12" Type="http://schemas.openxmlformats.org/officeDocument/2006/relationships/hyperlink" Target="https://www.broadinstitute.org/gatk/gatkdocs/org_broadinstitute_gatk_tools_walkers_haplotypecaller_HaplotypeCaller.php" TargetMode="External"/><Relationship Id="rId13" Type="http://schemas.openxmlformats.org/officeDocument/2006/relationships/hyperlink" Target="https://www.broadinstitute.org/gatk/gatkdocs/org_broadinstitute_gatk_tools_walkers_variantutils_GenotypeGVCFs.php" TargetMode="External"/><Relationship Id="rId14" Type="http://schemas.openxmlformats.org/officeDocument/2006/relationships/hyperlink" Target="http://samtools.github.io/" TargetMode="External"/><Relationship Id="rId15" Type="http://schemas.openxmlformats.org/officeDocument/2006/relationships/hyperlink" Target="http://gatkforums.broadinstitute.org/wdl/discussion/2798/howto-prepare-a-reference-for-use-with-bwa-and-gatk" TargetMode="External"/><Relationship Id="rId16" Type="http://schemas.openxmlformats.org/officeDocument/2006/relationships/hyperlink" Target="http://gatkforums.broadinstitute.org/gatk/discussion/1213/whats-in-the-resource-bundle-and-how-can-i-get-it" TargetMode="External"/><Relationship Id="rId17" Type="http://schemas.openxmlformats.org/officeDocument/2006/relationships/hyperlink" Target="https://github.com/HPCBio/BW_VariantCalling/blob/ParameterSweep/splitVCF-by-chromosome.sh" TargetMode="External"/><Relationship Id="rId18" Type="http://schemas.openxmlformats.org/officeDocument/2006/relationships/hyperlink" Target="http://www.redmine.org/" TargetMode="External"/><Relationship Id="rId19" Type="http://schemas.openxmlformats.org/officeDocument/2006/relationships/hyperlink" Target="https://github.com/HPCBio/BW_VariantCalling/tree/ParameterSweep" TargetMode="External"/><Relationship Id="rId20" Type="http://schemas.openxmlformats.org/officeDocument/2006/relationships/hyperlink" Target="http://www.garvan.org.au/research/kinghorn-centre-for-clinical-genomics/clinical-genomics/sequencing-services/sample-data" TargetMode="Externa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en-ZA</dc:language>
  <cp:revision>0</cp:revision>
</cp:coreProperties>
</file>