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spacing w:after="240" w:before="480" w:lineRule="auto"/>
        <w:contextualSpacing w:val="0"/>
        <w:jc w:val="center"/>
      </w:pPr>
      <w:r w:rsidDel="00000000" w:rsidR="00000000" w:rsidRPr="00000000">
        <w:rPr>
          <w:rtl w:val="0"/>
        </w:rPr>
        <w:t xml:space="preserve">User Documentation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1</w:t>
        <w:tab/>
        <w:t xml:space="preserve">Pipeline architecture and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pipeline implements the GATK's best practices for germline variant calling in Whole Genome and Whole Exome Next Generation Sequencing datasets (</w:t>
      </w:r>
      <w:hyperlink r:id="rId6">
        <w:r w:rsidDel="00000000" w:rsidR="00000000" w:rsidRPr="00000000">
          <w:rPr>
            <w:color w:val="000080"/>
            <w:u w:val="single"/>
            <w:rtl w:val="0"/>
          </w:rPr>
          <w:t xml:space="preserve">https://software.broadinstitute.org/gatk/best-practices/</w:t>
        </w:r>
      </w:hyperlink>
      <w:r w:rsidDel="00000000" w:rsidR="00000000" w:rsidRPr="00000000">
        <w:rPr>
          <w:rtl w:val="0"/>
        </w:rPr>
        <w:t xml:space="preserve">), given a cohort of samples.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its latest version, 3.6,  the best practices include the stages shown in Figure [1] below, which are:</w:t>
      </w:r>
      <w:r w:rsidDel="00000000" w:rsidR="00000000" w:rsidRPr="00000000">
        <w:rPr>
          <w:rtl w:val="0"/>
        </w:rPr>
      </w:r>
    </w:p>
    <w:p w:rsidR="00000000" w:rsidDel="00000000" w:rsidP="00000000" w:rsidRDefault="00000000" w:rsidRPr="00000000">
      <w:pPr>
        <w:numPr>
          <w:ilvl w:val="0"/>
          <w:numId w:val="1"/>
        </w:numPr>
        <w:ind w:left="720" w:hanging="360"/>
        <w:rPr>
          <w:rFonts w:ascii="Cambria" w:cs="Cambria" w:eastAsia="Cambria" w:hAnsi="Cambria"/>
          <w:b w:val="0"/>
          <w:color w:val="00000a"/>
          <w:sz w:val="24"/>
          <w:szCs w:val="24"/>
        </w:rPr>
      </w:pPr>
      <w:r w:rsidDel="00000000" w:rsidR="00000000" w:rsidRPr="00000000">
        <w:rPr>
          <w:rtl w:val="0"/>
        </w:rPr>
        <w:t xml:space="preserve">Mapping to the reference genome </w:t>
      </w:r>
      <w:r w:rsidDel="00000000" w:rsidR="00000000" w:rsidRPr="00000000">
        <w:rPr>
          <w:rtl w:val="0"/>
        </w:rPr>
      </w:r>
    </w:p>
    <w:p w:rsidR="00000000" w:rsidDel="00000000" w:rsidP="00000000" w:rsidRDefault="00000000" w:rsidRPr="00000000">
      <w:pPr>
        <w:numPr>
          <w:ilvl w:val="0"/>
          <w:numId w:val="1"/>
        </w:numPr>
        <w:ind w:left="720" w:hanging="360"/>
        <w:rPr>
          <w:rFonts w:ascii="Cambria" w:cs="Cambria" w:eastAsia="Cambria" w:hAnsi="Cambria"/>
          <w:b w:val="0"/>
          <w:color w:val="00000a"/>
          <w:sz w:val="24"/>
          <w:szCs w:val="24"/>
        </w:rPr>
      </w:pPr>
      <w:r w:rsidDel="00000000" w:rsidR="00000000" w:rsidRPr="00000000">
        <w:rPr>
          <w:rtl w:val="0"/>
        </w:rPr>
        <w:t xml:space="preserve">Marking duplicates </w:t>
      </w:r>
      <w:r w:rsidDel="00000000" w:rsidR="00000000" w:rsidRPr="00000000">
        <w:rPr>
          <w:rtl w:val="0"/>
        </w:rPr>
      </w:r>
    </w:p>
    <w:p w:rsidR="00000000" w:rsidDel="00000000" w:rsidP="00000000" w:rsidRDefault="00000000" w:rsidRPr="00000000">
      <w:pPr>
        <w:numPr>
          <w:ilvl w:val="0"/>
          <w:numId w:val="1"/>
        </w:numPr>
        <w:ind w:left="720" w:hanging="360"/>
        <w:rPr>
          <w:rFonts w:ascii="Cambria" w:cs="Cambria" w:eastAsia="Cambria" w:hAnsi="Cambria"/>
          <w:b w:val="0"/>
          <w:color w:val="00000a"/>
          <w:sz w:val="24"/>
          <w:szCs w:val="24"/>
        </w:rPr>
      </w:pPr>
      <w:r w:rsidDel="00000000" w:rsidR="00000000" w:rsidRPr="00000000">
        <w:rPr>
          <w:rtl w:val="0"/>
        </w:rPr>
        <w:t xml:space="preserve">Base recalibration (BQSR)</w:t>
      </w:r>
      <w:r w:rsidDel="00000000" w:rsidR="00000000" w:rsidRPr="00000000">
        <w:rPr>
          <w:rtl w:val="0"/>
        </w:rPr>
      </w:r>
    </w:p>
    <w:p w:rsidR="00000000" w:rsidDel="00000000" w:rsidP="00000000" w:rsidRDefault="00000000" w:rsidRPr="00000000">
      <w:pPr>
        <w:numPr>
          <w:ilvl w:val="0"/>
          <w:numId w:val="1"/>
        </w:numPr>
        <w:ind w:left="720" w:hanging="360"/>
        <w:rPr>
          <w:rFonts w:ascii="Cambria" w:cs="Cambria" w:eastAsia="Cambria" w:hAnsi="Cambria"/>
          <w:b w:val="0"/>
          <w:color w:val="00000a"/>
          <w:sz w:val="24"/>
          <w:szCs w:val="24"/>
        </w:rPr>
      </w:pPr>
      <w:r w:rsidDel="00000000" w:rsidR="00000000" w:rsidRPr="00000000">
        <w:rPr>
          <w:rtl w:val="0"/>
        </w:rPr>
        <w:t xml:space="preserve">Variant calling –----- (processing done per sample)</w:t>
      </w:r>
      <w:r w:rsidDel="00000000" w:rsidR="00000000" w:rsidRPr="00000000">
        <w:rPr>
          <w:rtl w:val="0"/>
        </w:rPr>
      </w:r>
    </w:p>
    <w:p w:rsidR="00000000" w:rsidDel="00000000" w:rsidP="00000000" w:rsidRDefault="00000000" w:rsidRPr="00000000">
      <w:pPr>
        <w:numPr>
          <w:ilvl w:val="0"/>
          <w:numId w:val="1"/>
        </w:numPr>
        <w:ind w:left="720" w:hanging="360"/>
        <w:rPr>
          <w:rFonts w:ascii="Cambria" w:cs="Cambria" w:eastAsia="Cambria" w:hAnsi="Cambria"/>
          <w:b w:val="0"/>
          <w:color w:val="00000a"/>
          <w:sz w:val="24"/>
          <w:szCs w:val="24"/>
        </w:rPr>
      </w:pPr>
      <w:r w:rsidDel="00000000" w:rsidR="00000000" w:rsidRPr="00000000">
        <w:rPr>
          <w:rtl w:val="0"/>
        </w:rPr>
        <w:t xml:space="preserve">Joint genotyping –----- (processing done for all samples together)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stages are implemented in this pipeline, with an optional  “Indel Realignment” step (which was recommended in previous GATK best practices &lt; 3.6)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an optional additional stage of checking the quality of input data and trimming, t</w:t>
      </w:r>
      <w:r w:rsidDel="00000000" w:rsidR="00000000" w:rsidRPr="00000000">
        <w:rPr>
          <w:rtl w:val="0"/>
        </w:rPr>
        <w:t xml:space="preserve">he pipeline can also be run as: Alignment stage only, Complete variant calling with realignment and Complete variant calling without realignment depending on the user’s ANALYSIS setting.</w:t>
      </w:r>
      <w:r w:rsidDel="00000000" w:rsidR="00000000" w:rsidRPr="00000000">
        <w:rPr>
          <w:rtl w:val="0"/>
        </w:rPr>
      </w:r>
    </w:p>
    <w:p w:rsidR="00000000" w:rsidDel="00000000" w:rsidP="00000000" w:rsidRDefault="00000000" w:rsidRPr="00000000">
      <w:pPr>
        <w:pStyle w:val="Title"/>
        <w:contextualSpacing w:val="0"/>
      </w:pPr>
      <w:bookmarkStart w:colFirst="0" w:colLast="0" w:name="_5gqwfmpxrsjj" w:id="0"/>
      <w:bookmarkEnd w:id="0"/>
      <w:r w:rsidDel="00000000" w:rsidR="00000000" w:rsidRPr="00000000">
        <w:drawing>
          <wp:inline distB="127000" distT="0" distL="0" distR="0">
            <wp:extent cx="6124575" cy="3032760"/>
            <wp:effectExtent b="0" l="0" r="0" t="0"/>
            <wp:docPr id="2" name="image04.png"/>
            <a:graphic>
              <a:graphicData uri="http://schemas.openxmlformats.org/drawingml/2006/picture">
                <pic:pic>
                  <pic:nvPicPr>
                    <pic:cNvPr id="0" name="image04.png"/>
                    <pic:cNvPicPr preferRelativeResize="0"/>
                  </pic:nvPicPr>
                  <pic:blipFill>
                    <a:blip r:embed="rId7"/>
                    <a:srcRect b="8767" l="0" r="0" t="0"/>
                    <a:stretch>
                      <a:fillRect/>
                    </a:stretch>
                  </pic:blipFill>
                  <pic:spPr>
                    <a:xfrm>
                      <a:off x="0" y="0"/>
                      <a:ext cx="6124575" cy="30327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Figure 1: Best Practices for Germline SNPs and Indels in Whole Genomes and Exomes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the hood, this pipeline splits and merges files at different stages to achieve optimal usage of resources.  This parallelization of data processing is shown in Figure [2] below:</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19820" cy="4686300"/>
            <wp:effectExtent b="0" l="0" r="0" t="0"/>
            <wp:docPr descr="Pipeline_Breakup.png" id="1" name="image01.png"/>
            <a:graphic>
              <a:graphicData uri="http://schemas.openxmlformats.org/drawingml/2006/picture">
                <pic:pic>
                  <pic:nvPicPr>
                    <pic:cNvPr descr="Pipeline_Breakup.png" id="0" name="image01.png"/>
                    <pic:cNvPicPr preferRelativeResize="0"/>
                  </pic:nvPicPr>
                  <pic:blipFill>
                    <a:blip r:embed="rId8"/>
                    <a:srcRect b="0" l="0" r="0" t="0"/>
                    <a:stretch>
                      <a:fillRect/>
                    </a:stretch>
                  </pic:blipFill>
                  <pic:spPr>
                    <a:xfrm>
                      <a:off x="0" y="0"/>
                      <a:ext cx="6119820" cy="468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Figure 2: Pipeline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2</w:t>
        <w:tab/>
      </w:r>
      <w:r w:rsidDel="00000000" w:rsidR="00000000" w:rsidRPr="00000000">
        <w:rPr>
          <w:rtl w:val="0"/>
        </w:rPr>
        <w:t xml:space="preserve">Dependencies</w:t>
      </w:r>
    </w:p>
    <w:p w:rsidR="00000000" w:rsidDel="00000000" w:rsidP="00000000" w:rsidRDefault="00000000" w:rsidRPr="00000000">
      <w:pPr>
        <w:pStyle w:val="Heading2"/>
        <w:contextualSpacing w:val="0"/>
        <w:rPr/>
      </w:pPr>
      <w:bookmarkStart w:colFirst="0" w:colLast="0" w:name="_xe39gjy1bfl7" w:id="1"/>
      <w:bookmarkEnd w:id="1"/>
      <w:r w:rsidDel="00000000" w:rsidR="00000000" w:rsidRPr="00000000">
        <w:rPr>
          <w:rtl w:val="0"/>
        </w:rPr>
        <w:t xml:space="preserve">2.1</w:t>
        <w:tab/>
        <w:t xml:space="preserve">Software tools</w:t>
      </w:r>
    </w:p>
    <w:p w:rsidR="00000000" w:rsidDel="00000000" w:rsidP="00000000" w:rsidRDefault="00000000" w:rsidRPr="00000000">
      <w:pPr>
        <w:contextualSpacing w:val="0"/>
      </w:pPr>
      <w:r w:rsidDel="00000000" w:rsidR="00000000" w:rsidRPr="00000000">
        <w:rPr>
          <w:rtl w:val="0"/>
        </w:rPr>
        <w:t xml:space="preserve">The pipeline implements the stages of Figure [1] and [2], while allowing different software tools at some of the stages depending on user's preference. These are as shown in table [1] below, and it is assumed that the user would specify the path to each of them in his runfile as shown in section 2.3.</w:t>
      </w:r>
    </w:p>
    <w:p w:rsidR="00000000" w:rsidDel="00000000" w:rsidP="00000000" w:rsidRDefault="00000000" w:rsidRPr="00000000">
      <w:pPr>
        <w:contextualSpacing w:val="0"/>
        <w:jc w:val="center"/>
      </w:pPr>
      <w:r w:rsidDel="00000000" w:rsidR="00000000" w:rsidRPr="00000000">
        <w:rPr>
          <w:sz w:val="20"/>
          <w:szCs w:val="20"/>
          <w:rtl w:val="0"/>
        </w:rPr>
        <w:t xml:space="preserve">Table 1: Pipeline tools</w:t>
      </w:r>
      <w:r w:rsidDel="00000000" w:rsidR="00000000" w:rsidRPr="00000000">
        <w:rPr>
          <w:rtl w:val="0"/>
        </w:rPr>
      </w:r>
    </w:p>
    <w:tbl>
      <w:tblPr>
        <w:tblStyle w:val="Table1"/>
        <w:bidi w:val="0"/>
        <w:tblW w:w="9630.0" w:type="dxa"/>
        <w:jc w:val="center"/>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3900"/>
        <w:gridCol w:w="5730"/>
        <w:tblGridChange w:id="0">
          <w:tblGrid>
            <w:gridCol w:w="3900"/>
            <w:gridCol w:w="5730"/>
          </w:tblGrid>
        </w:tblGridChange>
      </w:tblGrid>
      <w:tr>
        <w:tc>
          <w:tcPr>
            <w:tcBorders>
              <w:top w:color="000001" w:space="0" w:sz="4" w:val="single"/>
              <w:left w:color="000001" w:space="0" w:sz="4" w:val="single"/>
              <w:bottom w:color="000001" w:space="0" w:sz="4" w:val="single"/>
              <w:right w:color="000000" w:space="0" w:sz="0" w:val="nil"/>
            </w:tcBorders>
            <w:shd w:fill="9fc5e8"/>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1"/>
                <w:color w:val="00000a"/>
                <w:sz w:val="24"/>
                <w:szCs w:val="24"/>
                <w:rtl w:val="0"/>
              </w:rPr>
              <w:t xml:space="preserve">Stage</w:t>
            </w:r>
          </w:p>
        </w:tc>
        <w:tc>
          <w:tcPr>
            <w:tcBorders>
              <w:top w:color="000001" w:space="0" w:sz="4" w:val="single"/>
              <w:left w:color="000001" w:space="0" w:sz="4" w:val="single"/>
              <w:bottom w:color="000001" w:space="0" w:sz="4" w:val="single"/>
              <w:right w:color="000001" w:space="0" w:sz="4" w:val="single"/>
            </w:tcBorders>
            <w:shd w:fill="9fc5e8"/>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1"/>
                <w:color w:val="00000a"/>
                <w:sz w:val="24"/>
                <w:szCs w:val="24"/>
                <w:rtl w:val="0"/>
              </w:rPr>
              <w:t xml:space="preserve">Tool </w:t>
            </w:r>
            <w:r w:rsidDel="00000000" w:rsidR="00000000" w:rsidRPr="00000000">
              <w:rPr>
                <w:b w:val="1"/>
                <w:rtl w:val="0"/>
              </w:rPr>
              <w:t xml:space="preserve">options</w:t>
            </w: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Quality control</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Fastqc</w:t>
            </w:r>
            <w:r w:rsidDel="00000000" w:rsidR="00000000" w:rsidRPr="00000000">
              <w:rPr>
                <w:rtl w:val="0"/>
              </w:rPr>
              <w:t xml:space="preserve"> (</w:t>
            </w:r>
            <w:hyperlink r:id="rId9">
              <w:r w:rsidDel="00000000" w:rsidR="00000000" w:rsidRPr="00000000">
                <w:rPr>
                  <w:rFonts w:ascii="Cambria" w:cs="Cambria" w:eastAsia="Cambria" w:hAnsi="Cambria"/>
                  <w:b w:val="0"/>
                  <w:color w:val="1155cc"/>
                  <w:sz w:val="24"/>
                  <w:szCs w:val="24"/>
                  <w:u w:val="single"/>
                  <w:rtl w:val="0"/>
                </w:rPr>
                <w:t xml:space="preserve">http://www.bioinformatics.babraham.ac.uk/projects/fastqc/</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Illumina reads trimming</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Trimmomatic</w:t>
            </w:r>
            <w:r w:rsidDel="00000000" w:rsidR="00000000" w:rsidRPr="00000000">
              <w:rPr>
                <w:rtl w:val="0"/>
              </w:rPr>
              <w:t xml:space="preserve"> (</w:t>
            </w:r>
            <w:hyperlink r:id="rId10">
              <w:r w:rsidDel="00000000" w:rsidR="00000000" w:rsidRPr="00000000">
                <w:rPr>
                  <w:rFonts w:ascii="Cambria" w:cs="Cambria" w:eastAsia="Cambria" w:hAnsi="Cambria"/>
                  <w:b w:val="0"/>
                  <w:color w:val="1155cc"/>
                  <w:sz w:val="24"/>
                  <w:szCs w:val="24"/>
                  <w:u w:val="single"/>
                  <w:rtl w:val="0"/>
                </w:rPr>
                <w:t xml:space="preserve">http://www.usadellab.org/cms/?page=trimmomatic</w:t>
              </w:r>
            </w:hyperlink>
            <w:r w:rsidDel="00000000" w:rsidR="00000000" w:rsidRPr="00000000">
              <w:rPr>
                <w:rFonts w:ascii="Cambria" w:cs="Cambria" w:eastAsia="Cambria" w:hAnsi="Cambria"/>
                <w:b w:val="0"/>
                <w:color w:val="00000a"/>
                <w:sz w:val="24"/>
                <w:szCs w:val="24"/>
                <w:rtl w:val="0"/>
              </w:rPr>
              <w:t xml:space="preserve"> </w:t>
            </w:r>
            <w:r w:rsidDel="00000000" w:rsidR="00000000" w:rsidRPr="00000000">
              <w:rPr>
                <w:rtl w:val="0"/>
              </w:rPr>
              <w:t xml:space="preserve">)</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Alignment</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Bwa mem (</w:t>
            </w:r>
            <w:hyperlink r:id="rId11">
              <w:r w:rsidDel="00000000" w:rsidR="00000000" w:rsidRPr="00000000">
                <w:rPr>
                  <w:rFonts w:ascii="Cambria" w:cs="Cambria" w:eastAsia="Cambria" w:hAnsi="Cambria"/>
                  <w:b w:val="0"/>
                  <w:color w:val="000080"/>
                  <w:sz w:val="24"/>
                  <w:szCs w:val="24"/>
                  <w:u w:val="single"/>
                  <w:rtl w:val="0"/>
                </w:rPr>
                <w:t xml:space="preserve">https://github.com/lh3/bwa</w:t>
              </w:r>
            </w:hyperlink>
            <w:r w:rsidDel="00000000" w:rsidR="00000000" w:rsidRPr="00000000">
              <w:rPr>
                <w:rFonts w:ascii="Cambria" w:cs="Cambria" w:eastAsia="Cambria" w:hAnsi="Cambria"/>
                <w:b w:val="0"/>
                <w:color w:val="00000a"/>
                <w:sz w:val="24"/>
                <w:szCs w:val="24"/>
                <w:rtl w:val="0"/>
              </w:rPr>
              <w:t xml:space="preserve"> ), Novoalign (</w:t>
            </w:r>
            <w:hyperlink r:id="rId12">
              <w:r w:rsidDel="00000000" w:rsidR="00000000" w:rsidRPr="00000000">
                <w:rPr>
                  <w:rFonts w:ascii="Cambria" w:cs="Cambria" w:eastAsia="Cambria" w:hAnsi="Cambria"/>
                  <w:b w:val="0"/>
                  <w:color w:val="000080"/>
                  <w:sz w:val="24"/>
                  <w:szCs w:val="24"/>
                  <w:u w:val="single"/>
                  <w:rtl w:val="0"/>
                </w:rPr>
                <w:t xml:space="preserve">http://novocraft.com/</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Marking duplicates</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Samblaster (</w:t>
            </w:r>
            <w:hyperlink r:id="rId13">
              <w:r w:rsidDel="00000000" w:rsidR="00000000" w:rsidRPr="00000000">
                <w:rPr>
                  <w:rFonts w:ascii="Cambria" w:cs="Cambria" w:eastAsia="Cambria" w:hAnsi="Cambria"/>
                  <w:b w:val="0"/>
                  <w:color w:val="000080"/>
                  <w:sz w:val="24"/>
                  <w:szCs w:val="24"/>
                  <w:u w:val="single"/>
                  <w:rtl w:val="0"/>
                </w:rPr>
                <w:t xml:space="preserve">https://github.com/GregoryFaust/samblaster</w:t>
              </w:r>
            </w:hyperlink>
            <w:r w:rsidDel="00000000" w:rsidR="00000000" w:rsidRPr="00000000">
              <w:rPr>
                <w:rFonts w:ascii="Cambria" w:cs="Cambria" w:eastAsia="Cambria" w:hAnsi="Cambria"/>
                <w:b w:val="0"/>
                <w:color w:val="00000a"/>
                <w:sz w:val="24"/>
                <w:szCs w:val="24"/>
                <w:rtl w:val="0"/>
              </w:rPr>
              <w:t xml:space="preserve"> ), Novosort ( </w:t>
            </w:r>
            <w:hyperlink r:id="rId14">
              <w:r w:rsidDel="00000000" w:rsidR="00000000" w:rsidRPr="00000000">
                <w:rPr>
                  <w:rFonts w:ascii="Cambria" w:cs="Cambria" w:eastAsia="Cambria" w:hAnsi="Cambria"/>
                  <w:b w:val="0"/>
                  <w:color w:val="000080"/>
                  <w:sz w:val="24"/>
                  <w:szCs w:val="24"/>
                  <w:u w:val="single"/>
                  <w:rtl w:val="0"/>
                </w:rPr>
                <w:t xml:space="preserve">http://novocraft.com/</w:t>
              </w:r>
            </w:hyperlink>
            <w:r w:rsidDel="00000000" w:rsidR="00000000" w:rsidRPr="00000000">
              <w:rPr>
                <w:rFonts w:ascii="Cambria" w:cs="Cambria" w:eastAsia="Cambria" w:hAnsi="Cambria"/>
                <w:b w:val="0"/>
                <w:color w:val="00000a"/>
                <w:sz w:val="24"/>
                <w:szCs w:val="24"/>
                <w:rtl w:val="0"/>
              </w:rPr>
              <w:t xml:space="preserve"> ),  Picard (</w:t>
            </w:r>
            <w:hyperlink r:id="rId15">
              <w:r w:rsidDel="00000000" w:rsidR="00000000" w:rsidRPr="00000000">
                <w:rPr>
                  <w:rFonts w:ascii="Cambria" w:cs="Cambria" w:eastAsia="Cambria" w:hAnsi="Cambria"/>
                  <w:b w:val="0"/>
                  <w:color w:val="000080"/>
                  <w:sz w:val="24"/>
                  <w:szCs w:val="24"/>
                  <w:u w:val="single"/>
                  <w:rtl w:val="0"/>
                </w:rPr>
                <w:t xml:space="preserve">https://broadinstitute.github.io/picard/</w:t>
              </w:r>
            </w:hyperlink>
            <w:r w:rsidDel="00000000" w:rsidR="00000000" w:rsidRPr="00000000">
              <w:rPr>
                <w:rFonts w:ascii="Cambria" w:cs="Cambria" w:eastAsia="Cambria" w:hAnsi="Cambria"/>
                <w:b w:val="0"/>
                <w:color w:val="00000a"/>
                <w:sz w:val="24"/>
                <w:szCs w:val="24"/>
                <w:rtl w:val="0"/>
              </w:rPr>
              <w:t xml:space="preserve"> ),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Indel realignment</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GATK (</w:t>
            </w:r>
            <w:hyperlink r:id="rId16">
              <w:r w:rsidDel="00000000" w:rsidR="00000000" w:rsidRPr="00000000">
                <w:rPr>
                  <w:rFonts w:ascii="Cambria" w:cs="Cambria" w:eastAsia="Cambria" w:hAnsi="Cambria"/>
                  <w:b w:val="0"/>
                  <w:color w:val="1155cc"/>
                  <w:sz w:val="24"/>
                  <w:szCs w:val="24"/>
                  <w:u w:val="single"/>
                  <w:rtl w:val="0"/>
                </w:rPr>
                <w:t xml:space="preserve">https://software.broadinstitute.org/gatk/download/</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Base recalibration</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GATK (</w:t>
            </w:r>
            <w:hyperlink r:id="rId17">
              <w:r w:rsidDel="00000000" w:rsidR="00000000" w:rsidRPr="00000000">
                <w:rPr>
                  <w:rFonts w:ascii="Cambria" w:cs="Cambria" w:eastAsia="Cambria" w:hAnsi="Cambria"/>
                  <w:b w:val="0"/>
                  <w:color w:val="1155cc"/>
                  <w:sz w:val="24"/>
                  <w:szCs w:val="24"/>
                  <w:u w:val="single"/>
                  <w:rtl w:val="0"/>
                </w:rPr>
                <w:t xml:space="preserve">https://software.broadinstitute.org/gatk/download/</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Calling variants</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GATK  (Haplotypecaller: </w:t>
            </w:r>
            <w:hyperlink r:id="rId18">
              <w:r w:rsidDel="00000000" w:rsidR="00000000" w:rsidRPr="00000000">
                <w:rPr>
                  <w:rFonts w:ascii="Cambria" w:cs="Cambria" w:eastAsia="Cambria" w:hAnsi="Cambria"/>
                  <w:b w:val="0"/>
                  <w:color w:val="1155cc"/>
                  <w:sz w:val="24"/>
                  <w:szCs w:val="24"/>
                  <w:u w:val="single"/>
                  <w:rtl w:val="0"/>
                </w:rPr>
                <w:t xml:space="preserve">https://www.broadinstitute.org/gatk/gatkdocs/org_broadinstitute_gatk_tools_walkers_haplotypecaller_HaplotypeCaller.php</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Joint calling of variants</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GATK (Genotypegvcf: </w:t>
            </w:r>
            <w:hyperlink r:id="rId19">
              <w:r w:rsidDel="00000000" w:rsidR="00000000" w:rsidRPr="00000000">
                <w:rPr>
                  <w:rFonts w:ascii="Cambria" w:cs="Cambria" w:eastAsia="Cambria" w:hAnsi="Cambria"/>
                  <w:b w:val="0"/>
                  <w:color w:val="1155cc"/>
                  <w:sz w:val="24"/>
                  <w:szCs w:val="24"/>
                  <w:u w:val="single"/>
                  <w:rtl w:val="0"/>
                </w:rPr>
                <w:t xml:space="preserve">https://www.broadinstitute.org/gatk/gatkdocs/org_broadinstitute_gatk_tools_walkers_variantutils_GenotypeGVCFs.php</w:t>
              </w:r>
            </w:hyperlink>
            <w:r w:rsidDel="00000000" w:rsidR="00000000" w:rsidRPr="00000000">
              <w:rPr>
                <w:rFonts w:ascii="Cambria" w:cs="Cambria" w:eastAsia="Cambria" w:hAnsi="Cambria"/>
                <w:b w:val="0"/>
                <w:color w:val="00000a"/>
                <w:sz w:val="24"/>
                <w:szCs w:val="24"/>
                <w:rtl w:val="0"/>
              </w:rPr>
              <w:t xml:space="preserve"> )</w:t>
            </w:r>
          </w:p>
        </w:tc>
      </w:tr>
      <w:tr>
        <w:tc>
          <w:tcPr>
            <w:tcBorders>
              <w:top w:color="000000" w:space="0" w:sz="0" w:val="nil"/>
              <w:left w:color="000001" w:space="0" w:sz="4" w:val="single"/>
              <w:bottom w:color="000001" w:space="0" w:sz="4" w:val="single"/>
              <w:right w:color="000000" w:space="0" w:sz="0" w:val="nil"/>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Miscelleneos</w:t>
            </w:r>
          </w:p>
        </w:tc>
        <w:tc>
          <w:tcPr>
            <w:tcBorders>
              <w:top w:color="000000" w:space="0" w:sz="0" w:val="nil"/>
              <w:left w:color="000001" w:space="0" w:sz="4" w:val="single"/>
              <w:bottom w:color="000001" w:space="0" w:sz="4" w:val="single"/>
              <w:right w:color="000001" w:space="0" w:sz="4" w:val="single"/>
            </w:tcBorders>
            <w:shd w:fill="ffffff"/>
            <w:tcMar>
              <w:left w:w="51.0" w:type="dxa"/>
            </w:tcMar>
            <w:vAlign w:val="center"/>
          </w:tcPr>
          <w:p w:rsidR="00000000" w:rsidDel="00000000" w:rsidP="00000000" w:rsidRDefault="00000000" w:rsidRPr="00000000">
            <w:pPr>
              <w:widowControl w:val="1"/>
              <w:spacing w:after="180" w:before="180" w:line="240" w:lineRule="auto"/>
              <w:contextualSpacing w:val="0"/>
              <w:jc w:val="center"/>
            </w:pPr>
            <w:r w:rsidDel="00000000" w:rsidR="00000000" w:rsidRPr="00000000">
              <w:rPr>
                <w:rFonts w:ascii="Cambria" w:cs="Cambria" w:eastAsia="Cambria" w:hAnsi="Cambria"/>
                <w:b w:val="0"/>
                <w:color w:val="00000a"/>
                <w:sz w:val="24"/>
                <w:szCs w:val="24"/>
                <w:rtl w:val="0"/>
              </w:rPr>
              <w:t xml:space="preserve">Samtools (</w:t>
            </w:r>
            <w:hyperlink r:id="rId20">
              <w:r w:rsidDel="00000000" w:rsidR="00000000" w:rsidRPr="00000000">
                <w:rPr>
                  <w:rFonts w:ascii="Cambria" w:cs="Cambria" w:eastAsia="Cambria" w:hAnsi="Cambria"/>
                  <w:b w:val="0"/>
                  <w:color w:val="1155cc"/>
                  <w:sz w:val="24"/>
                  <w:szCs w:val="24"/>
                  <w:u w:val="single"/>
                  <w:rtl w:val="0"/>
                </w:rPr>
                <w:t xml:space="preserve">http://samtools.github.io/</w:t>
              </w:r>
            </w:hyperlink>
            <w:r w:rsidDel="00000000" w:rsidR="00000000" w:rsidRPr="00000000">
              <w:rPr>
                <w:rFonts w:ascii="Cambria" w:cs="Cambria" w:eastAsia="Cambria" w:hAnsi="Cambria"/>
                <w:b w:val="0"/>
                <w:color w:val="00000a"/>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cjmc7ye6pe4" w:id="2"/>
      <w:bookmarkEnd w:id="2"/>
      <w:r w:rsidDel="00000000" w:rsidR="00000000" w:rsidRPr="00000000">
        <w:rPr>
          <w:rtl w:val="0"/>
        </w:rPr>
        <w:t xml:space="preserve">2.2</w:t>
        <w:tab/>
      </w:r>
      <w:r w:rsidDel="00000000" w:rsidR="00000000" w:rsidRPr="00000000">
        <w:rPr>
          <w:rtl w:val="0"/>
        </w:rPr>
        <w:t xml:space="preserve">Databases and resources</w:t>
      </w:r>
    </w:p>
    <w:p w:rsidR="00000000" w:rsidDel="00000000" w:rsidP="00000000" w:rsidRDefault="00000000" w:rsidRPr="00000000">
      <w:pPr>
        <w:contextualSpacing w:val="0"/>
      </w:pPr>
      <w:r w:rsidDel="00000000" w:rsidR="00000000" w:rsidRPr="00000000">
        <w:rPr>
          <w:rtl w:val="0"/>
        </w:rPr>
        <w:t xml:space="preserve">For this pipeline to work a number of standard files for calling variants are needed, namely the reference sequence, database of known variants and the adapter sequence to be trimmed. The full path to all these needs to be specified in the User’s runfile as specified in section 2.3</w:t>
      </w:r>
    </w:p>
    <w:p w:rsidR="00000000" w:rsidDel="00000000" w:rsidP="00000000" w:rsidRDefault="00000000" w:rsidRPr="00000000">
      <w:pPr>
        <w:contextualSpacing w:val="0"/>
      </w:pPr>
      <w:r w:rsidDel="00000000" w:rsidR="00000000" w:rsidRPr="00000000">
        <w:rPr>
          <w:rtl w:val="0"/>
        </w:rPr>
        <w:t xml:space="preserve">It is important to note that the reference sequence should be prepared first, following the GATK’s guideline (</w:t>
      </w:r>
      <w:hyperlink r:id="rId21">
        <w:r w:rsidDel="00000000" w:rsidR="00000000" w:rsidRPr="00000000">
          <w:rPr>
            <w:color w:val="1155cc"/>
            <w:u w:val="single"/>
            <w:rtl w:val="0"/>
          </w:rPr>
          <w:t xml:space="preserve">http://gatkforums.broadinstitute.org/wdl/discussion/2798/howto-prepare-a-reference-for-use-with-bwa-and-gatk</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working with human data, one can download most of the needed files from the GATK’s resource bundle: </w:t>
      </w:r>
      <w:hyperlink r:id="rId22">
        <w:r w:rsidDel="00000000" w:rsidR="00000000" w:rsidRPr="00000000">
          <w:rPr>
            <w:color w:val="1155cc"/>
            <w:u w:val="single"/>
            <w:rtl w:val="0"/>
          </w:rPr>
          <w:t xml:space="preserve">http://gatkforums.broadinstitute.org/gatk/discussion/1213/whats-in-the-resource-bundle-and-how-can-i-get-it</w:t>
        </w:r>
      </w:hyperlink>
      <w:r w:rsidDel="00000000" w:rsidR="00000000" w:rsidRPr="00000000">
        <w:rPr>
          <w:rtl w:val="0"/>
        </w:rPr>
        <w:t xml:space="preserve"> . Missing from the bundle are the index files for the aligner, which are specific to the tool that would be used for alignment (i.e., bwa or novoalign in this pipeline)</w:t>
      </w:r>
    </w:p>
    <w:p w:rsidR="00000000" w:rsidDel="00000000" w:rsidP="00000000" w:rsidRDefault="00000000" w:rsidRPr="00000000">
      <w:pPr>
        <w:contextualSpacing w:val="0"/>
      </w:pPr>
      <w:r w:rsidDel="00000000" w:rsidR="00000000" w:rsidRPr="00000000">
        <w:rPr>
          <w:rtl w:val="0"/>
        </w:rPr>
        <w:t xml:space="preserve">To achieve the parallelization of Figure [2] in the realignment/recalibration stages, the pipeline needs a separate vcf file for each chromosome/contig, and each should be named as: </w:t>
      </w:r>
      <w:r w:rsidDel="00000000" w:rsidR="00000000" w:rsidRPr="00000000">
        <w:rPr>
          <w:rFonts w:ascii="Consolas" w:cs="Consolas" w:eastAsia="Consolas" w:hAnsi="Consolas"/>
          <w:sz w:val="20"/>
          <w:szCs w:val="20"/>
          <w:rtl w:val="0"/>
        </w:rPr>
        <w:t xml:space="preserve">*${chr_name}.vcf</w:t>
      </w:r>
      <w:r w:rsidDel="00000000" w:rsidR="00000000" w:rsidRPr="00000000">
        <w:rPr>
          <w:rtl w:val="0"/>
        </w:rPr>
        <w:t xml:space="preserve">. If working with the GATK bundle, the sample script (</w:t>
      </w:r>
      <w:hyperlink r:id="rId23">
        <w:r w:rsidDel="00000000" w:rsidR="00000000" w:rsidRPr="00000000">
          <w:rPr>
            <w:color w:val="1155cc"/>
            <w:u w:val="single"/>
            <w:rtl w:val="0"/>
          </w:rPr>
          <w:t xml:space="preserve">splitVCF-by-chromosome.sh</w:t>
        </w:r>
      </w:hyperlink>
      <w:r w:rsidDel="00000000" w:rsidR="00000000" w:rsidRPr="00000000">
        <w:rPr>
          <w:rtl w:val="0"/>
        </w:rPr>
        <w:t xml:space="preserve">) can be used to produce the needed files with some minor modifications (mainly, providing the right path to the referencedir, java and GenomeAnalysisTK.jar)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4li78m797ci" w:id="3"/>
      <w:bookmarkEnd w:id="3"/>
      <w:r w:rsidDel="00000000" w:rsidR="00000000" w:rsidRPr="00000000">
        <w:rPr>
          <w:rtl w:val="0"/>
        </w:rPr>
        <w:t xml:space="preserve">2.3</w:t>
        <w:tab/>
        <w:t xml:space="preserve">User’s </w:t>
      </w:r>
      <w:r w:rsidDel="00000000" w:rsidR="00000000" w:rsidRPr="00000000">
        <w:rPr>
          <w:rtl w:val="0"/>
        </w:rPr>
        <w:t xml:space="preserve">runfile and </w:t>
      </w:r>
      <w:r w:rsidDel="00000000" w:rsidR="00000000" w:rsidRPr="00000000">
        <w:rPr>
          <w:rtl w:val="0"/>
        </w:rPr>
        <w:t xml:space="preserve">sample information files</w:t>
      </w:r>
    </w:p>
    <w:p w:rsidR="00000000" w:rsidDel="00000000" w:rsidP="00000000" w:rsidRDefault="00000000" w:rsidRPr="00000000">
      <w:pPr>
        <w:contextualSpacing w:val="0"/>
      </w:pPr>
      <w:r w:rsidDel="00000000" w:rsidR="00000000" w:rsidRPr="00000000">
        <w:rPr>
          <w:rtl w:val="0"/>
        </w:rPr>
        <w:t xml:space="preserve">To run a specific stage of the pipeline, in addition to specifying the needed script file, the user needs to supply 2 additional files, these are the runfile and the sampleinfo files.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u w:val="single"/>
          <w:rtl w:val="0"/>
        </w:rPr>
        <w:t xml:space="preserve">sampleinformation</w:t>
      </w:r>
      <w:r w:rsidDel="00000000" w:rsidR="00000000" w:rsidRPr="00000000">
        <w:rPr>
          <w:rtl w:val="0"/>
        </w:rPr>
        <w:t xml:space="preserve"> file contains the information about the samples to be processed by the pipeline. In its current implementation, it can analyze paired end WES/WGS data in fastq/fq/fastq.gz/fq.gz format only. These should be specified in tabular form of 3 columns separated by ‘space’, and according to the format below:</w:t>
      </w:r>
    </w:p>
    <w:p w:rsidR="00000000" w:rsidDel="00000000" w:rsidP="00000000" w:rsidRDefault="00000000" w:rsidRPr="00000000">
      <w:pPr>
        <w:contextualSpacing w:val="0"/>
        <w:jc w:val="center"/>
      </w:pPr>
      <w:r w:rsidDel="00000000" w:rsidR="00000000" w:rsidRPr="00000000">
        <w:rPr>
          <w:rFonts w:ascii="Comic Sans MS" w:cs="Comic Sans MS" w:eastAsia="Comic Sans MS" w:hAnsi="Comic Sans MS"/>
          <w:sz w:val="20"/>
          <w:szCs w:val="20"/>
          <w:rtl w:val="0"/>
        </w:rPr>
        <w:t xml:space="preserve">&lt;sample name&gt; &lt;full path to read1 file&gt; &lt;full path to read2 file&gt;</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u w:val="single"/>
          <w:rtl w:val="0"/>
        </w:rPr>
        <w:t xml:space="preserve">runfile</w:t>
      </w:r>
      <w:r w:rsidDel="00000000" w:rsidR="00000000" w:rsidRPr="00000000">
        <w:rPr>
          <w:rtl w:val="0"/>
        </w:rPr>
        <w:t xml:space="preserve"> file contains all the details regarding a specific run of the pipeline, including the tools of section 2.1, resources of section 2.2, and the sampleinformation file path as well. It would change depending on the analysis type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nutshell, the various parameters and how they are specified are given below:</w:t>
      </w:r>
    </w:p>
    <w:tbl>
      <w:tblPr>
        <w:tblStyle w:val="Table2"/>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SAMPLEINFORMATION=&lt;path to the sampleinformation file&gt;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OUTPUTDIR=&lt;path to the output directory&gt;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DELIVERYFOLDER=&lt;path where summary deliverables from the pipeline are stored. It is a subdirectory within the OUTPUTDIR&gt;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TMPDIR=&lt;path to where temporary files are stored&gt;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SCRIPTDIR=&lt;path to where the scripts of this repo are stored locally on the machine&gt;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EMAIL*=&lt;email address to send torque notifications to&gt;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REPORTTICKET*=&lt;redmine ticket number to send notifications to&gt;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choose the run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ANALYSIS=&lt;depending on the analysis type it can be {ANALYSIS=ALIGNMENT, or ANALYSIS=ALIGN or ANALYSIS=ALIGN_ONLY} for alignment only, {ANALYSIS=VC_WITH_REALIGNMENT} for complete variant calling with realignment, or anything else for complete variant calling without realignment&gt;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Read group information for the samples: namely, the Library, Platform technology,  and sequencing center name. It should be noted that the sample ID, platform unit (PU) and sample name (SM) are set by default to be the same sample name found in the sampleinformation file specified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SAMPLELB=synthetic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SAMPLEPL=&lt;can be either ILLUMINA, SOLID, LS454, HELICOS and PACBIO&gt;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SAMPLECN=synthetic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The tools to be used in this run of the pipeline (where a selection can be made)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ALIGNERTOOL=&lt;the tool to be used for the alignment stage of the pipeline. Can be either BWAMEM or NOVOALIGN. Only the respective INDEX and PARAMS need to be specified in the next block of the runfile&gt;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MARKDUPLICATESTOOL=&lt;the tool to be used for marking duplicates in the pipeline. Can be any of these: samblaster, novosort or PICARD&gt;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Alignment block parameters and Trimming options.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BWAINDEX=&lt;Path to the indexed reference file for bwa, if it is the desired aligner &gt;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BWAMEMPARAMS=&lt;optional parameters to bwa mem, if used as an aligner. Example: -k 32 -I 30,30&gt;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NOVOALIGNINDEX=&lt;path to the indexed reference file for novoalign, if it is the desired aligner&gt;</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NOVOALIGNPARAMS=&lt;optional parameters to novoalign, if used as an aligner&gt;</w:t>
            </w: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CHRNAMES=&lt;a colon (:) separated list of chromosome or contig names to split files by. Only these regions will be processed in the stages following the alignment&gt;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TRIMMOMATICPARAMS=&lt;parameters to trimmomatic for trimming illumina reads. Example :2:20:10 LEADING:5 TRAILING:5 MINLEN:25&gt;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Quality thresholds (for reporting only, as the pipeline will continue with the next stage regardless of whether these thresholds were respected or not):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MAP_CUTOFF=&lt;minimum mapping quality of reads to pass QC test after alignment&gt;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DUP_CUTOFF=&lt;maximum duplication level in reads to pass QC test after alignment&gt;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paths to resources and tools - See section 2.1 and 2.2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ADAPTERS=&lt;path to the adapter file to be used with trimmomatic&gt;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REFGENOMEDIR=&lt;path to the directory where all reference files and databases are stored&gt;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REFGENOME=&lt;name of the reference genome file within REFGENOMEDIR. Example ucsc.hg19.fasta in the GATK bundle 2.8&gt;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DBSNP=&lt;name of the dbsnp file within REFGENOMEDIR. Example dbsnp_138.hg19.vcf in the GATK bundle 2.8&gt;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INDELDIR=&lt;name of the directory within REFGENOMEDIR that contains a vcf file for each chromosome/contig specified by the CHRNAMES parameter. These files need to be named as: *${chr_name}.vcf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OMNI=&lt;name of the omni variants file. Example: 1000G_omni2.5.hg19.sites.vcf in the GATK bundle 2.8&gt;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Example entries for tools’ path in biocluster</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TRIMMOMATICDIR=/home/apps/trimmomatic/trimmomatic-0.33/trimmomatic-0.33.jar</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FASTQCDIR=/home/apps/fastqc/fastqc-0.11.4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BWAMEMDIR=/home/apps/bwa/bwa-0.7.15</w:t>
            </w:r>
          </w:p>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NOVOCRAFTDIR=/home/apps/novocraft/novocraft-3.02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SAMBLASTERDIR=</w:t>
            </w:r>
            <w:r w:rsidDel="00000000" w:rsidR="00000000" w:rsidRPr="00000000">
              <w:rPr>
                <w:rFonts w:ascii="Consolas" w:cs="Consolas" w:eastAsia="Consolas" w:hAnsi="Consolas"/>
                <w:sz w:val="20"/>
                <w:szCs w:val="20"/>
                <w:rtl w:val="0"/>
              </w:rPr>
              <w:t xml:space="preserve">/home/apps/samblaster/samblaster-0.1.22/bin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PICARDIR=</w:t>
            </w:r>
            <w:r w:rsidDel="00000000" w:rsidR="00000000" w:rsidRPr="00000000">
              <w:rPr>
                <w:rFonts w:ascii="Consolas" w:cs="Consolas" w:eastAsia="Consolas" w:hAnsi="Consolas"/>
                <w:sz w:val="20"/>
                <w:szCs w:val="20"/>
                <w:rtl w:val="0"/>
              </w:rPr>
              <w:t xml:space="preserve">/home/apps/picard-tools/picard-tools-2.4.1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GATKDIR=/home/apps/gatk/gatk-3.6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SAMDIR=/home/apps/samtools/samtools-1.3.1/bin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JAVADIR=/home/apps/java/jdk1.8.0_65/bin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pbs torque resources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PBSNODES=&lt;number of nodes&gt;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PBSCORES=&lt;number of cores&gt;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PBSQUEUE=&lt;name of the queue&gt;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PBSWALLTIME=&lt;wall time&gt;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sz w:val="22"/>
          <w:szCs w:val="22"/>
          <w:rtl w:val="0"/>
        </w:rPr>
        <w:t xml:space="preserve">* The pipeline tracks the execution of the various stages by sending email notification of qsub jobs (the </w:t>
      </w:r>
      <w:r w:rsidDel="00000000" w:rsidR="00000000" w:rsidRPr="00000000">
        <w:rPr>
          <w:rFonts w:ascii="Consolas" w:cs="Consolas" w:eastAsia="Consolas" w:hAnsi="Consolas"/>
          <w:sz w:val="20"/>
          <w:szCs w:val="20"/>
          <w:rtl w:val="0"/>
        </w:rPr>
        <w:t xml:space="preserve">EMAIL</w:t>
      </w:r>
      <w:r w:rsidDel="00000000" w:rsidR="00000000" w:rsidRPr="00000000">
        <w:rPr>
          <w:sz w:val="22"/>
          <w:szCs w:val="22"/>
          <w:rtl w:val="0"/>
        </w:rPr>
        <w:t xml:space="preserve"> parameter), and also by reporting a summary of a given run in redmine </w:t>
      </w:r>
      <w:hyperlink r:id="rId24">
        <w:r w:rsidDel="00000000" w:rsidR="00000000" w:rsidRPr="00000000">
          <w:rPr>
            <w:color w:val="1155cc"/>
            <w:sz w:val="22"/>
            <w:szCs w:val="22"/>
            <w:u w:val="single"/>
            <w:rtl w:val="0"/>
          </w:rPr>
          <w:t xml:space="preserve">http://www.redmine.org/</w:t>
        </w:r>
      </w:hyperlink>
      <w:r w:rsidDel="00000000" w:rsidR="00000000" w:rsidRPr="00000000">
        <w:rPr>
          <w:sz w:val="22"/>
          <w:szCs w:val="22"/>
          <w:rtl w:val="0"/>
        </w:rPr>
        <w:t xml:space="preserve">. In its current implementation, the pipeline will send these to HPCBio’s redmine instance, and the given ticket number (the </w:t>
      </w:r>
      <w:r w:rsidDel="00000000" w:rsidR="00000000" w:rsidRPr="00000000">
        <w:rPr>
          <w:rFonts w:ascii="Consolas" w:cs="Consolas" w:eastAsia="Consolas" w:hAnsi="Consolas"/>
          <w:sz w:val="20"/>
          <w:szCs w:val="20"/>
          <w:rtl w:val="0"/>
        </w:rPr>
        <w:t xml:space="preserve">REPORTTICKET </w:t>
      </w:r>
      <w:r w:rsidDel="00000000" w:rsidR="00000000" w:rsidRPr="00000000">
        <w:rPr>
          <w:sz w:val="22"/>
          <w:szCs w:val="22"/>
          <w:rtl w:val="0"/>
        </w:rPr>
        <w:t xml:space="preserve">parameter)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2.4</w:t>
        <w:tab/>
      </w:r>
      <w:r w:rsidDel="00000000" w:rsidR="00000000" w:rsidRPr="00000000">
        <w:rPr>
          <w:rtl w:val="0"/>
        </w:rPr>
        <w:t xml:space="preserve">Repo index/ The scripts</w:t>
      </w:r>
    </w:p>
    <w:p w:rsidR="00000000" w:rsidDel="00000000" w:rsidP="00000000" w:rsidRDefault="00000000" w:rsidRPr="00000000">
      <w:pPr>
        <w:contextualSpacing w:val="0"/>
      </w:pPr>
      <w:r w:rsidDel="00000000" w:rsidR="00000000" w:rsidRPr="00000000">
        <w:rPr>
          <w:rtl w:val="0"/>
        </w:rPr>
        <w:t xml:space="preserve">This pipeline (</w:t>
      </w:r>
      <w:hyperlink r:id="rId25">
        <w:r w:rsidDel="00000000" w:rsidR="00000000" w:rsidRPr="00000000">
          <w:rPr>
            <w:color w:val="1155cc"/>
            <w:u w:val="single"/>
            <w:rtl w:val="0"/>
          </w:rPr>
          <w:t xml:space="preserve">https://github.com/HPCBio/BW_VariantCalling/tree/ParameterSweep</w:t>
        </w:r>
      </w:hyperlink>
      <w:r w:rsidDel="00000000" w:rsidR="00000000" w:rsidRPr="00000000">
        <w:rPr>
          <w:rtl w:val="0"/>
        </w:rPr>
        <w:t xml:space="preserve"> ) can be invoked in one of 3 ways depending on analysis requirement. These are specified in the table below:</w:t>
      </w:r>
    </w:p>
    <w:tbl>
      <w:tblPr>
        <w:tblStyle w:val="Table3"/>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875"/>
        <w:tblGridChange w:id="0">
          <w:tblGrid>
            <w:gridCol w:w="4725"/>
            <w:gridCol w:w="4875"/>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Desired analysis</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Invoke as+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Quality Control check of the raw reads and trimming</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bash trim_input.sh &lt;runfile&gt;</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Aligning reads to a reference and basic quality control thereafter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sz w:val="20"/>
                <w:szCs w:val="20"/>
                <w:rtl w:val="0"/>
              </w:rPr>
              <w:t xml:space="preserve">bash start.sh &lt;runfile&gt;*</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Complete variant calling, including the realignment stage</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bash start.sh &lt;runfile&gt;*</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Complete variant calling, without the realignment stage</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bash start.sh &lt;runfile&gt;*</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Resume execution after a failing job</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before="0" w:lineRule="auto"/>
              <w:contextualSpacing w:val="0"/>
            </w:pPr>
            <w:r w:rsidDel="00000000" w:rsidR="00000000" w:rsidRPr="00000000">
              <w:rPr>
                <w:rFonts w:ascii="Consolas" w:cs="Consolas" w:eastAsia="Consolas" w:hAnsi="Consolas"/>
                <w:sz w:val="20"/>
                <w:szCs w:val="20"/>
                <w:rtl w:val="0"/>
              </w:rPr>
              <w:t xml:space="preserve">bash resumePartialExectuion.sh &lt;path to the logs directory from the failed run of the workflow&gt; &lt;name of the task to be resubmitted in the form qsub*realVcall*&gt;</w:t>
            </w:r>
          </w:p>
        </w:tc>
      </w:tr>
    </w:tbl>
    <w:p w:rsidR="00000000" w:rsidDel="00000000" w:rsidP="00000000" w:rsidRDefault="00000000" w:rsidRPr="00000000">
      <w:pPr>
        <w:contextualSpacing w:val="0"/>
      </w:pPr>
      <w:r w:rsidDel="00000000" w:rsidR="00000000" w:rsidRPr="00000000">
        <w:rPr>
          <w:sz w:val="20"/>
          <w:szCs w:val="20"/>
          <w:rtl w:val="0"/>
        </w:rPr>
        <w:t xml:space="preserve">+ Better to use nohup to run your analysis, as in: </w:t>
      </w:r>
      <w:r w:rsidDel="00000000" w:rsidR="00000000" w:rsidRPr="00000000">
        <w:rPr>
          <w:rFonts w:ascii="Consolas" w:cs="Consolas" w:eastAsia="Consolas" w:hAnsi="Consolas"/>
          <w:sz w:val="16"/>
          <w:szCs w:val="16"/>
          <w:rtl w:val="0"/>
        </w:rPr>
        <w:t xml:space="preserve">nohup &lt;script_dir&gt; &lt;needed_file&gt; &gt; log.nohup </w:t>
      </w:r>
      <w:r w:rsidDel="00000000" w:rsidR="00000000" w:rsidRPr="00000000">
        <w:rPr>
          <w:sz w:val="20"/>
          <w:szCs w:val="20"/>
          <w:rtl w:val="0"/>
        </w:rPr>
        <w:t xml:space="preserve">to be able to track the run quickly, and also log off freely afterwards.</w:t>
      </w:r>
    </w:p>
    <w:p w:rsidR="00000000" w:rsidDel="00000000" w:rsidP="00000000" w:rsidRDefault="00000000" w:rsidRPr="00000000">
      <w:pPr>
        <w:contextualSpacing w:val="0"/>
        <w:rPr/>
      </w:pPr>
      <w:r w:rsidDel="00000000" w:rsidR="00000000" w:rsidRPr="00000000">
        <w:rPr>
          <w:sz w:val="20"/>
          <w:szCs w:val="20"/>
          <w:rtl w:val="0"/>
        </w:rPr>
        <w:t xml:space="preserve">* The ANALYSIS parameter in the runfile needs to be configured as was described in section 2.3 for each case.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details of the remaining files of the </w:t>
      </w:r>
      <w:r w:rsidDel="00000000" w:rsidR="00000000" w:rsidRPr="00000000">
        <w:rPr>
          <w:rtl w:val="0"/>
        </w:rPr>
        <w:t xml:space="preserve">repo</w:t>
      </w:r>
      <w:r w:rsidDel="00000000" w:rsidR="00000000" w:rsidRPr="00000000">
        <w:rPr>
          <w:rtl w:val="0"/>
        </w:rPr>
        <w:t xml:space="preserve"> are as in the table below:</w:t>
      </w:r>
      <w:r w:rsidDel="00000000" w:rsidR="00000000" w:rsidRPr="00000000">
        <w:rPr>
          <w:rtl w:val="0"/>
        </w:rPr>
      </w:r>
    </w:p>
    <w:tbl>
      <w:tblPr>
        <w:tblStyle w:val="Table4"/>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jc w:val="center"/>
            </w:pPr>
            <w:r w:rsidDel="00000000" w:rsidR="00000000" w:rsidRPr="00000000">
              <w:rPr>
                <w:b w:val="1"/>
                <w:rtl w:val="0"/>
              </w:rPr>
              <w:t xml:space="preserve">Script</w:t>
            </w:r>
          </w:p>
        </w:tc>
        <w:tc>
          <w:tcPr>
            <w:shd w:fill="cfe2f3"/>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jc w:val="center"/>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align_dedup.sh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script to carry out the alignment job</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realign_varcall_by_chr.sh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script to carry out the realignment, recalibration and variant calling jobs</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merge_vcf.sh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script to merge the bams (we split the per-sample bams by chromosome/contig in the realignment /recalibration stage, and now we merge that)</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joint_vcf.sh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script to carry out the joint variant calling job</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summary.sh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The script to generate summaries about the last run of the pipeline (which jobs/samples failed/succeeded)</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remaining files are not used as part of the variant calling pipeline of Figure [2] but are documented here for future use if needed. They are provided as-is, and are likely to require some debugging to be fully working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jc w:val="center"/>
            </w:pPr>
            <w:r w:rsidDel="00000000" w:rsidR="00000000" w:rsidRPr="00000000">
              <w:rPr>
                <w:b w:val="1"/>
                <w:rtl w:val="0"/>
              </w:rPr>
              <w:t xml:space="preserve">Script</w:t>
            </w:r>
          </w:p>
        </w:tc>
        <w:tc>
          <w:tcPr>
            <w:shd w:fill="cfe2f3"/>
            <w:tcMar>
              <w:top w:w="100.0" w:type="dxa"/>
              <w:left w:w="100.0" w:type="dxa"/>
              <w:bottom w:w="100.0" w:type="dxa"/>
              <w:right w:w="100.0" w:type="dxa"/>
            </w:tcMar>
          </w:tcPr>
          <w:p w:rsidR="00000000" w:rsidDel="00000000" w:rsidP="00000000" w:rsidRDefault="00000000" w:rsidRPr="00000000">
            <w:pPr>
              <w:widowControl w:val="0"/>
              <w:spacing w:after="0" w:before="0" w:lineRule="auto"/>
              <w:contextualSpacing w:val="0"/>
              <w:jc w:val="center"/>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start_vqsr.sh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(pipeline to do VQSR) to the per-sample raw vcf files after calling the variants using the start.sh pipeline. It does so by calling the recalibrate_vcf.sh script.</w:t>
            </w:r>
            <w:r w:rsidDel="00000000" w:rsidR="00000000" w:rsidRPr="00000000">
              <w:rPr>
                <w:rtl w:val="0"/>
              </w:rPr>
              <w:t xml:space="preserve"> It expects a sampleinfo file that lists the locations of the rawvcf files resulting from running the start.sh pipeline</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recalibrate_vcf.sh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to do VQSR to both snps and indels. Actually, in its current form it doesn't produce the right results (VQSR is a 2-stage process (modelling then applying the model), and the stages should be carried out in this order for SNPs and then Indels. </w:t>
            </w:r>
            <w:r w:rsidDel="00000000" w:rsidR="00000000" w:rsidRPr="00000000">
              <w:rPr>
                <w:b w:val="1"/>
                <w:u w:val="single"/>
                <w:rtl w:val="0"/>
              </w:rPr>
              <w:t xml:space="preserve">I’m not sure it would still give the right results if the SNPs and Indels models were built first, and then applied; which is the current implementation)</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mutect2_1pair.sh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to call variants in normal/tumor samples using mutect2 from the GATK</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read_fate.sh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to generate an overall summary of the alignment job (parsed from the alignment log files), containing the total number of reads, total mapped reads, total duplicates, percentage duplicates and percentage mapped reads</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index_bams.sh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to index recalibrated bam files. It is said to be needed to run Mutect2,</w:t>
            </w:r>
            <w:r w:rsidDel="00000000" w:rsidR="00000000" w:rsidRPr="00000000">
              <w:rPr>
                <w:b w:val="1"/>
                <w:u w:val="single"/>
                <w:rtl w:val="0"/>
              </w:rPr>
              <w:t xml:space="preserve"> but not sure</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vcfstats.sh</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A script to generate vcf stats on all vcfs resulting from the workflow (QC step)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y7gnv8pm8od" w:id="4"/>
      <w:bookmarkEnd w:id="4"/>
      <w:r w:rsidDel="00000000" w:rsidR="00000000" w:rsidRPr="00000000">
        <w:rPr>
          <w:rtl w:val="0"/>
        </w:rPr>
        <w:t xml:space="preserve">3</w:t>
        <w:tab/>
      </w:r>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results from a typical run of the pipeline are organized according to the hierarchy shown in Figure [3] below. Overall, the DELIVERYFOLDER contains the key summarizing files of the run (the cleaned up bams, gvcfs and final vcf from joint calling; in addition to the summary reports regarding the quality of the data, and copies of the sampleinformation and runfile files). Each sample also has its own directory that contains the files generated after each stage. In Figure [3], a color coding schema is employed to differentiate the files that would be generated according to how the user specifies the ANALYSIS parameter in the runfile.</w:t>
      </w:r>
    </w:p>
    <w:p w:rsidR="00000000" w:rsidDel="00000000" w:rsidP="00000000" w:rsidRDefault="00000000" w:rsidRPr="00000000">
      <w:pPr>
        <w:contextualSpacing w:val="0"/>
      </w:pPr>
      <w:r w:rsidDel="00000000" w:rsidR="00000000" w:rsidRPr="00000000">
        <w:drawing>
          <wp:inline distB="114300" distT="114300" distL="114300" distR="114300">
            <wp:extent cx="6119820" cy="3416300"/>
            <wp:effectExtent b="0" l="0" r="0" t="0"/>
            <wp:docPr descr="output_folders.png" id="3" name="image05.png"/>
            <a:graphic>
              <a:graphicData uri="http://schemas.openxmlformats.org/drawingml/2006/picture">
                <pic:pic>
                  <pic:nvPicPr>
                    <pic:cNvPr descr="output_folders.png" id="0" name="image05.png"/>
                    <pic:cNvPicPr preferRelativeResize="0"/>
                  </pic:nvPicPr>
                  <pic:blipFill>
                    <a:blip r:embed="rId26"/>
                    <a:srcRect b="0" l="0" r="0" t="0"/>
                    <a:stretch>
                      <a:fillRect/>
                    </a:stretch>
                  </pic:blipFill>
                  <pic:spPr>
                    <a:xfrm>
                      <a:off x="0" y="0"/>
                      <a:ext cx="6119820" cy="341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Figure 3: Output directories and files generated from a typical run of the pipeline</w:t>
      </w:r>
    </w:p>
    <w:p w:rsidR="00000000" w:rsidDel="00000000" w:rsidP="00000000" w:rsidRDefault="00000000" w:rsidRPr="00000000">
      <w:pPr>
        <w:contextualSpacing w:val="0"/>
      </w:pPr>
      <w:commentRangeStart w:id="0"/>
      <w:commentRangeStart w:id="1"/>
      <w:r w:rsidDel="00000000" w:rsidR="00000000" w:rsidRPr="00000000">
        <w:rPr>
          <w:rtl w:val="0"/>
        </w:rPr>
        <w:t xml:space="preserve">One way to test the functionality of this pipeline, is to run it against a test dataset for which the truth is known (i.e., there exists a vcf file with true variants). The Genome in a Bottle Consortium (GIAB), curates such data including the raw fastq files, the cleaned bams, and the final variants file.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 example, the pipeline was run using the whole exome sequence dataset of sample NA12878 as produced by the Garvan Institute: </w:t>
      </w:r>
      <w:hyperlink r:id="rId27">
        <w:r w:rsidDel="00000000" w:rsidR="00000000" w:rsidRPr="00000000">
          <w:rPr>
            <w:color w:val="1155cc"/>
            <w:u w:val="single"/>
            <w:rtl w:val="0"/>
          </w:rPr>
          <w:t xml:space="preserve">http://www.garvan.org.au/research/kinghorn-centre-for-clinical-genomics/clinical-genomics/sequencing-services/sample-data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Calling the variants in the data produced by Robot1 (i.e. replicate 1) of an average ~34X, and the default parameters of the pipeline, the concordance between the final vcf file (query file) produced from the pipeline and the truth dataset obtained from the Garvan institute website is as show in the table below (as generated by hap.py)</w:t>
      </w:r>
    </w:p>
    <w:p w:rsidR="00000000" w:rsidDel="00000000" w:rsidP="00000000" w:rsidRDefault="00000000" w:rsidRPr="00000000">
      <w:pPr>
        <w:ind w:left="2160" w:firstLine="0"/>
        <w:contextualSpacing w:val="0"/>
        <w:jc w:val="center"/>
      </w:pPr>
      <w:r w:rsidDel="00000000" w:rsidR="00000000" w:rsidRPr="00000000">
        <w:rPr>
          <w:sz w:val="20"/>
          <w:szCs w:val="20"/>
          <w:rtl w:val="0"/>
        </w:rPr>
        <w:t xml:space="preserve">Table 1: Benchmarking summary*</w:t>
        <w:tab/>
        <w:t xml:space="preserve">  </w:t>
        <w:tab/>
        <w:t xml:space="preserve"> </w:t>
        <w:tab/>
        <w:t xml:space="preserve"> </w:t>
      </w:r>
      <w:r w:rsidDel="00000000" w:rsidR="00000000" w:rsidRPr="00000000">
        <w:rPr>
          <w:rtl w:val="0"/>
        </w:rPr>
        <w:tab/>
      </w:r>
    </w:p>
    <w:tbl>
      <w:tblPr>
        <w:tblStyle w:val="Table6"/>
        <w:bidi w:val="0"/>
        <w:tblW w:w="10005.0" w:type="dxa"/>
        <w:jc w:val="left"/>
        <w:tblInd w:w="-3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5"/>
        <w:gridCol w:w="825"/>
        <w:gridCol w:w="1620"/>
        <w:gridCol w:w="990"/>
        <w:gridCol w:w="945"/>
        <w:gridCol w:w="1620"/>
        <w:gridCol w:w="945"/>
        <w:gridCol w:w="1050"/>
        <w:gridCol w:w="1155"/>
        <w:tblGridChange w:id="0">
          <w:tblGrid>
            <w:gridCol w:w="855"/>
            <w:gridCol w:w="825"/>
            <w:gridCol w:w="1620"/>
            <w:gridCol w:w="990"/>
            <w:gridCol w:w="945"/>
            <w:gridCol w:w="1620"/>
            <w:gridCol w:w="945"/>
            <w:gridCol w:w="1050"/>
            <w:gridCol w:w="115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Type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Filter</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TRUTH.TOTAL</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TRUTH.TP</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TRUTH.FN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QUERY.TOTAL</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QUERY.FP</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METRIC.Recall</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METRIC.Precision</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INDEL</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803045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767492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35553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886700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119213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0.955727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0.865554</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INDEL</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803045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764680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38365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883879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119204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0.952226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0.865135</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SNP</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3689294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3614155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75139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3806647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192500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0.979633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0.949431</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SNP</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3689294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3523155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166139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3714249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191102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0.954967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0.948549</w:t>
            </w:r>
          </w:p>
        </w:tc>
      </w:tr>
    </w:tbl>
    <w:p w:rsidR="00000000" w:rsidDel="00000000" w:rsidP="00000000" w:rsidRDefault="00000000" w:rsidRPr="00000000">
      <w:pPr>
        <w:contextualSpacing w:val="0"/>
        <w:rPr/>
      </w:pPr>
      <w:r w:rsidDel="00000000" w:rsidR="00000000" w:rsidRPr="00000000">
        <w:rPr>
          <w:sz w:val="18"/>
          <w:szCs w:val="18"/>
          <w:rtl w:val="0"/>
        </w:rPr>
        <w:t xml:space="preserve">* This table is extracted from hap.py output reports. The scripts to obtain this data and perform the benchmarking are in the Miscellaneous directory of the repo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180" w:before="180" w:lineRule="auto"/>
        <w:ind w:left="720" w:hanging="360"/>
        <w:contextualSpacing w:val="1"/>
        <w:rPr>
          <w:color w:val="ff0000"/>
        </w:rPr>
      </w:pPr>
      <w:r w:rsidDel="00000000" w:rsidR="00000000" w:rsidRPr="00000000">
        <w:rPr>
          <w:color w:val="ff0000"/>
          <w:rtl w:val="0"/>
        </w:rPr>
        <w:t xml:space="preserve">For some reason, Neat is not really producing meaningful comparisons! It is giving 0 for all the comparisons: golden variants, workflow variants, differences between the two vcfs, and the resulting FP and FN files are also meaningless!</w:t>
        <w:br w:type="textWrapping"/>
        <w:br w:type="textWrapping"/>
        <w:t xml:space="preserve">This could be something about the way I’m calling it, so here is the code excerpt:</w:t>
      </w:r>
    </w:p>
    <w:p w:rsidR="00000000" w:rsidDel="00000000" w:rsidP="00000000" w:rsidRDefault="00000000" w:rsidRPr="00000000">
      <w:pPr>
        <w:spacing w:after="180" w:before="180" w:lineRule="auto"/>
        <w:ind w:left="720" w:firstLine="0"/>
        <w:contextualSpacing w:val="0"/>
      </w:pPr>
      <w:r w:rsidDel="00000000" w:rsidR="00000000" w:rsidRPr="00000000">
        <w:rPr>
          <w:rtl w:val="0"/>
        </w:rPr>
      </w:r>
    </w:p>
    <w:p w:rsidR="00000000" w:rsidDel="00000000" w:rsidP="00000000" w:rsidRDefault="00000000" w:rsidRPr="00000000">
      <w:pPr>
        <w:spacing w:after="180" w:before="180" w:lineRule="auto"/>
        <w:ind w:left="720" w:firstLine="0"/>
        <w:contextualSpacing w:val="0"/>
      </w:pPr>
      <w:r w:rsidDel="00000000" w:rsidR="00000000" w:rsidRPr="00000000">
        <w:rPr>
          <w:color w:val="ff0000"/>
          <w:rtl w:val="0"/>
        </w:rPr>
        <w:br w:type="textWrapping"/>
      </w:r>
      <w:r w:rsidDel="00000000" w:rsidR="00000000" w:rsidRPr="00000000">
        <w:rPr>
          <w:rFonts w:ascii="Consolas" w:cs="Consolas" w:eastAsia="Consolas" w:hAnsi="Consolas"/>
          <w:color w:val="ff0000"/>
          <w:sz w:val="20"/>
          <w:szCs w:val="20"/>
          <w:rtl w:val="0"/>
        </w:rPr>
        <w:t xml:space="preserve">reference="/home/groups/hpcbio_shared/azza/H3A_NextGen_assessment_set3/data/genome"</w:t>
      </w:r>
    </w:p>
    <w:p w:rsidR="00000000" w:rsidDel="00000000" w:rsidP="00000000" w:rsidRDefault="00000000" w:rsidRPr="00000000">
      <w:pPr>
        <w:spacing w:after="180" w:before="180" w:lineRule="auto"/>
        <w:ind w:left="720" w:firstLine="0"/>
        <w:contextualSpacing w:val="0"/>
      </w:pPr>
      <w:r w:rsidDel="00000000" w:rsidR="00000000" w:rsidRPr="00000000">
        <w:rPr>
          <w:rFonts w:ascii="Consolas" w:cs="Consolas" w:eastAsia="Consolas" w:hAnsi="Consolas"/>
          <w:color w:val="ff0000"/>
          <w:sz w:val="20"/>
          <w:szCs w:val="20"/>
          <w:rtl w:val="0"/>
        </w:rPr>
        <w:t xml:space="preserve">goldenFile=/home/groups/hpcbio_shared/azza/GIAB/reads/Gravan_raw/NA12878_V2.5_Robot_1.hc.vqsr.vep.vcf</w:t>
      </w:r>
    </w:p>
    <w:p w:rsidR="00000000" w:rsidDel="00000000" w:rsidP="00000000" w:rsidRDefault="00000000" w:rsidRPr="00000000">
      <w:pPr>
        <w:spacing w:after="180" w:before="180" w:lineRule="auto"/>
        <w:ind w:left="720" w:firstLine="0"/>
        <w:contextualSpacing w:val="0"/>
      </w:pPr>
      <w:r w:rsidDel="00000000" w:rsidR="00000000" w:rsidRPr="00000000">
        <w:rPr>
          <w:rFonts w:ascii="Consolas" w:cs="Consolas" w:eastAsia="Consolas" w:hAnsi="Consolas"/>
          <w:color w:val="ff0000"/>
          <w:sz w:val="20"/>
          <w:szCs w:val="20"/>
          <w:rtl w:val="0"/>
        </w:rPr>
        <w:t xml:space="preserve">workflowFile=/home/groups/hpcbio_shared/azza/GIAB/results/run8/delivery/jointVCFs/jointVCFcalled.vcf</w:t>
      </w:r>
    </w:p>
    <w:p w:rsidR="00000000" w:rsidDel="00000000" w:rsidP="00000000" w:rsidRDefault="00000000" w:rsidRPr="00000000">
      <w:pPr>
        <w:spacing w:after="180" w:before="180" w:lineRule="auto"/>
        <w:ind w:left="720" w:firstLine="0"/>
        <w:contextualSpacing w:val="0"/>
      </w:pPr>
      <w:r w:rsidDel="00000000" w:rsidR="00000000" w:rsidRPr="00000000">
        <w:rPr>
          <w:rtl w:val="0"/>
        </w:rPr>
      </w:r>
    </w:p>
    <w:p w:rsidR="00000000" w:rsidDel="00000000" w:rsidP="00000000" w:rsidRDefault="00000000" w:rsidRPr="00000000">
      <w:pPr>
        <w:spacing w:after="180" w:before="180" w:lineRule="auto"/>
        <w:ind w:left="720" w:firstLine="0"/>
        <w:contextualSpacing w:val="0"/>
      </w:pPr>
      <w:r w:rsidDel="00000000" w:rsidR="00000000" w:rsidRPr="00000000">
        <w:rPr>
          <w:rFonts w:ascii="Consolas" w:cs="Consolas" w:eastAsia="Consolas" w:hAnsi="Consolas"/>
          <w:color w:val="ff0000"/>
          <w:sz w:val="20"/>
          <w:szCs w:val="20"/>
          <w:rtl w:val="0"/>
        </w:rPr>
        <w:t xml:space="preserve">module load python/2.7.9</w:t>
      </w:r>
    </w:p>
    <w:p w:rsidR="00000000" w:rsidDel="00000000" w:rsidP="00000000" w:rsidRDefault="00000000" w:rsidRPr="00000000">
      <w:pPr>
        <w:spacing w:after="180" w:before="180" w:lineRule="auto"/>
        <w:ind w:left="720" w:firstLine="0"/>
        <w:contextualSpacing w:val="0"/>
      </w:pPr>
      <w:r w:rsidDel="00000000" w:rsidR="00000000" w:rsidRPr="00000000">
        <w:rPr>
          <w:rFonts w:ascii="Consolas" w:cs="Consolas" w:eastAsia="Consolas" w:hAnsi="Consolas"/>
          <w:color w:val="ff0000"/>
          <w:sz w:val="20"/>
          <w:szCs w:val="20"/>
          <w:rtl w:val="0"/>
        </w:rPr>
        <w:t xml:space="preserve">vcf_compare_dir=/home/groups/hpcbio_shared/azza/H3A_NextGen_assessment_set3/builds/NEAT/neat-genreads/utilities</w:t>
      </w:r>
    </w:p>
    <w:p w:rsidR="00000000" w:rsidDel="00000000" w:rsidP="00000000" w:rsidRDefault="00000000" w:rsidRPr="00000000">
      <w:pPr>
        <w:spacing w:after="180" w:before="180" w:lineRule="auto"/>
        <w:ind w:left="720" w:firstLine="0"/>
        <w:contextualSpacing w:val="0"/>
      </w:pPr>
      <w:r w:rsidDel="00000000" w:rsidR="00000000" w:rsidRPr="00000000">
        <w:rPr>
          <w:rFonts w:ascii="Consolas" w:cs="Consolas" w:eastAsia="Consolas" w:hAnsi="Consolas"/>
          <w:color w:val="ff0000"/>
          <w:sz w:val="20"/>
          <w:szCs w:val="20"/>
          <w:rtl w:val="0"/>
        </w:rPr>
        <w:t xml:space="preserve">python $vcf_compare_dir/vcf_compare_OLD.py -r $reference/ucsc.hg19.fasta -g ${goldenFile} -w ${workflowFile}  -o /home/groups/hpcbio_shared/azza/GIAB/results/run8/variant_compare_neat  --incl-homs --incl-fail --vcf-out --no-plot</w:t>
      </w:r>
    </w:p>
    <w:p w:rsidR="00000000" w:rsidDel="00000000" w:rsidP="00000000" w:rsidRDefault="00000000" w:rsidRPr="00000000">
      <w:pPr>
        <w:spacing w:after="180" w:before="180" w:lineRule="auto"/>
        <w:ind w:left="720" w:firstLine="0"/>
        <w:contextualSpacing w:val="0"/>
      </w:pPr>
      <w:r w:rsidDel="00000000" w:rsidR="00000000" w:rsidRPr="00000000">
        <w:rPr>
          <w:rtl w:val="0"/>
        </w:rPr>
      </w:r>
    </w:p>
    <w:p w:rsidR="00000000" w:rsidDel="00000000" w:rsidP="00000000" w:rsidRDefault="00000000" w:rsidRPr="00000000">
      <w:pPr>
        <w:spacing w:after="180" w:before="180" w:lineRule="auto"/>
        <w:ind w:left="720" w:firstLine="0"/>
        <w:contextualSpacing w:val="0"/>
      </w:pPr>
      <w:r w:rsidDel="00000000" w:rsidR="00000000" w:rsidRPr="00000000">
        <w:rPr>
          <w:rtl w:val="0"/>
        </w:rPr>
      </w:r>
    </w:p>
    <w:sectPr>
      <w:pgSz w:h="16838" w:w="11906"/>
      <w:pgMar w:bottom="1134" w:top="1134" w:left="1134" w:right="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zza Ahmed" w:id="0" w:date="2016-09-22T03:48: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a good enough test/proof of functionality?</w:t>
      </w:r>
    </w:p>
  </w:comment>
  <w:comment w:author="Azza Ahmed" w:id="1" w:date="2016-09-22T03:48: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+gloriarendon@gmail.com +lmainzer@life.illinois.edu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Consolas"/>
  <w:font w:name="Comic Sans MS"/>
  <w:font w:name="Arial"/>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a"/>
        <w:sz w:val="24"/>
        <w:szCs w:val="24"/>
        <w:u w:val="none"/>
        <w:vertAlign w:val="baseline"/>
      </w:rPr>
    </w:rPrDefault>
    <w:pPrDefault>
      <w:pPr>
        <w:keepNext w:val="0"/>
        <w:keepLines w:val="0"/>
        <w:widowControl w:val="1"/>
        <w:spacing w:after="180" w:before="1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40" w:lineRule="auto"/>
      <w:jc w:val="left"/>
    </w:pPr>
    <w:rPr>
      <w:rFonts w:ascii="Calibri" w:cs="Calibri" w:eastAsia="Calibri" w:hAnsi="Calibri"/>
      <w:b w:val="1"/>
      <w:color w:val="345a8a"/>
      <w:sz w:val="36"/>
      <w:szCs w:val="36"/>
    </w:rPr>
  </w:style>
  <w:style w:type="paragraph" w:styleId="Heading2">
    <w:name w:val="heading 2"/>
    <w:basedOn w:val="Normal"/>
    <w:next w:val="Normal"/>
    <w:pPr>
      <w:keepNext w:val="1"/>
      <w:keepLines w:val="1"/>
      <w:widowControl w:val="1"/>
      <w:spacing w:after="0" w:before="200" w:line="240" w:lineRule="auto"/>
      <w:jc w:val="left"/>
    </w:pPr>
    <w:rPr>
      <w:rFonts w:ascii="Calibri" w:cs="Calibri" w:eastAsia="Calibri" w:hAnsi="Calibri"/>
      <w:b w:val="1"/>
      <w:color w:val="4f81bd"/>
      <w:sz w:val="32"/>
      <w:szCs w:val="32"/>
    </w:rPr>
  </w:style>
  <w:style w:type="paragraph" w:styleId="Heading3">
    <w:name w:val="heading 3"/>
    <w:basedOn w:val="Normal"/>
    <w:next w:val="Normal"/>
    <w:pPr>
      <w:keepNext w:val="1"/>
      <w:keepLines w:val="1"/>
      <w:widowControl w:val="1"/>
      <w:spacing w:after="0" w:before="200" w:line="240" w:lineRule="auto"/>
      <w:jc w:val="left"/>
    </w:pPr>
    <w:rPr>
      <w:rFonts w:ascii="Calibri" w:cs="Calibri" w:eastAsia="Calibri" w:hAnsi="Calibri"/>
      <w:b w:val="1"/>
      <w:color w:val="4f81bd"/>
      <w:sz w:val="28"/>
      <w:szCs w:val="28"/>
    </w:rPr>
  </w:style>
  <w:style w:type="paragraph" w:styleId="Heading4">
    <w:name w:val="heading 4"/>
    <w:basedOn w:val="Normal"/>
    <w:next w:val="Normal"/>
    <w:pPr>
      <w:keepNext w:val="1"/>
      <w:keepLines w:val="1"/>
      <w:widowControl w:val="1"/>
      <w:spacing w:after="0" w:before="200" w:line="240" w:lineRule="auto"/>
      <w:jc w:val="left"/>
    </w:pPr>
    <w:rPr>
      <w:rFonts w:ascii="Calibri" w:cs="Calibri" w:eastAsia="Calibri" w:hAnsi="Calibri"/>
      <w:b w:val="1"/>
      <w:color w:val="4f81bd"/>
      <w:sz w:val="24"/>
      <w:szCs w:val="24"/>
    </w:rPr>
  </w:style>
  <w:style w:type="paragraph" w:styleId="Heading5">
    <w:name w:val="heading 5"/>
    <w:basedOn w:val="Normal"/>
    <w:next w:val="Normal"/>
    <w:pPr>
      <w:keepNext w:val="1"/>
      <w:keepLines w:val="1"/>
      <w:widowControl w:val="1"/>
      <w:spacing w:after="0" w:before="200" w:line="240" w:lineRule="auto"/>
      <w:jc w:val="left"/>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1"/>
      <w:spacing w:after="240" w:before="480" w:line="240" w:lineRule="auto"/>
      <w:jc w:val="center"/>
    </w:pPr>
    <w:rPr>
      <w:rFonts w:ascii="Calibri" w:cs="Calibri" w:eastAsia="Calibri" w:hAnsi="Calibri"/>
      <w:b w:val="1"/>
      <w:color w:val="345a8a"/>
      <w:sz w:val="36"/>
      <w:szCs w:val="36"/>
    </w:rPr>
  </w:style>
  <w:style w:type="paragraph" w:styleId="Subtitle">
    <w:name w:val="Subtitle"/>
    <w:basedOn w:val="Normal"/>
    <w:next w:val="Normal"/>
    <w:pPr>
      <w:keepNext w:val="1"/>
      <w:keepLines w:val="1"/>
      <w:widowControl w:val="1"/>
      <w:spacing w:after="120" w:before="240" w:line="240" w:lineRule="auto"/>
      <w:jc w:val="left"/>
    </w:pPr>
    <w:rPr>
      <w:rFonts w:ascii="Liberation Sans" w:cs="Liberation Sans" w:eastAsia="Liberation Sans" w:hAnsi="Liberation Sans"/>
      <w:b w:val="0"/>
      <w:i w:val="1"/>
      <w:color w:val="00000a"/>
      <w:sz w:val="28"/>
      <w:szCs w:val="28"/>
    </w:rPr>
  </w:style>
  <w:style w:type="table" w:styleId="Table1">
    <w:basedOn w:val="TableNormal"/>
    <w:tblPr>
      <w:tblStyleRowBandSize w:val="1"/>
      <w:tblStyleColBandSize w:val="1"/>
      <w:tblCellMar>
        <w:top w:w="55.0" w:type="dxa"/>
        <w:left w:w="51.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amtools.github.io/" TargetMode="External"/><Relationship Id="rId22" Type="http://schemas.openxmlformats.org/officeDocument/2006/relationships/hyperlink" Target="http://gatkforums.broadinstitute.org/gatk/discussion/1213/whats-in-the-resource-bundle-and-how-can-i-get-it" TargetMode="External"/><Relationship Id="rId21" Type="http://schemas.openxmlformats.org/officeDocument/2006/relationships/hyperlink" Target="http://gatkforums.broadinstitute.org/wdl/discussion/2798/howto-prepare-a-reference-for-use-with-bwa-and-gatk" TargetMode="External"/><Relationship Id="rId24" Type="http://schemas.openxmlformats.org/officeDocument/2006/relationships/hyperlink" Target="http://www.redmine.org/" TargetMode="External"/><Relationship Id="rId23" Type="http://schemas.openxmlformats.org/officeDocument/2006/relationships/hyperlink" Target="https://github.com/HPCBio/BW_VariantCalling/blob/ParameterSweep/splitVCF-by-chromosome.sh"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ioinformatics.babraham.ac.uk/projects/fastqc/" TargetMode="External"/><Relationship Id="rId26" Type="http://schemas.openxmlformats.org/officeDocument/2006/relationships/image" Target="media/image05.png"/><Relationship Id="rId25" Type="http://schemas.openxmlformats.org/officeDocument/2006/relationships/hyperlink" Target="https://github.com/HPCBio/BW_VariantCalling/tree/ParameterSweep" TargetMode="External"/><Relationship Id="rId27" Type="http://schemas.openxmlformats.org/officeDocument/2006/relationships/hyperlink" Target="http://www.garvan.org.au/research/kinghorn-centre-for-clinical-genomics/clinical-genomics/sequencing-services/sample-data" TargetMode="External"/><Relationship Id="rId5" Type="http://schemas.openxmlformats.org/officeDocument/2006/relationships/styles" Target="styles.xml"/><Relationship Id="rId6" Type="http://schemas.openxmlformats.org/officeDocument/2006/relationships/hyperlink" Target="https://software.broadinstitute.org/gatk/best-practices/" TargetMode="External"/><Relationship Id="rId7" Type="http://schemas.openxmlformats.org/officeDocument/2006/relationships/image" Target="media/image04.png"/><Relationship Id="rId8" Type="http://schemas.openxmlformats.org/officeDocument/2006/relationships/image" Target="media/image01.png"/><Relationship Id="rId11" Type="http://schemas.openxmlformats.org/officeDocument/2006/relationships/hyperlink" Target="https://github.com/lh3/bwa" TargetMode="External"/><Relationship Id="rId10" Type="http://schemas.openxmlformats.org/officeDocument/2006/relationships/hyperlink" Target="http://www.usadellab.org/cms/?page=trimmomatic" TargetMode="External"/><Relationship Id="rId13" Type="http://schemas.openxmlformats.org/officeDocument/2006/relationships/hyperlink" Target="https://github.com/GregoryFaust/samblaster" TargetMode="External"/><Relationship Id="rId12" Type="http://schemas.openxmlformats.org/officeDocument/2006/relationships/hyperlink" Target="http://novocraft.com/" TargetMode="External"/><Relationship Id="rId15" Type="http://schemas.openxmlformats.org/officeDocument/2006/relationships/hyperlink" Target="https://broadinstitute.github.io/picard/" TargetMode="External"/><Relationship Id="rId14" Type="http://schemas.openxmlformats.org/officeDocument/2006/relationships/hyperlink" Target="http://novocraft.com/" TargetMode="External"/><Relationship Id="rId17" Type="http://schemas.openxmlformats.org/officeDocument/2006/relationships/hyperlink" Target="https://software.broadinstitute.org/gatk/download/" TargetMode="External"/><Relationship Id="rId16" Type="http://schemas.openxmlformats.org/officeDocument/2006/relationships/hyperlink" Target="https://software.broadinstitute.org/gatk/download/" TargetMode="External"/><Relationship Id="rId19" Type="http://schemas.openxmlformats.org/officeDocument/2006/relationships/hyperlink" Target="https://www.broadinstitute.org/gatk/gatkdocs/org_broadinstitute_gatk_tools_walkers_variantutils_GenotypeGVCFs.php" TargetMode="External"/><Relationship Id="rId18" Type="http://schemas.openxmlformats.org/officeDocument/2006/relationships/hyperlink" Target="https://www.broadinstitute.org/gatk/gatkdocs/org_broadinstitute_gatk_tools_walkers_haplotypecaller_HaplotypeCaller.php" TargetMode="External"/></Relationships>
</file>