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F5258" w14:textId="77777777" w:rsidR="00723F02" w:rsidRDefault="00723F02" w:rsidP="00723F02">
      <w:pPr>
        <w:spacing w:after="120"/>
        <w:jc w:val="both"/>
      </w:pPr>
    </w:p>
    <w:p w14:paraId="2FF6C353" w14:textId="77777777" w:rsidR="00723F02" w:rsidRDefault="00723F02" w:rsidP="00723F02">
      <w:pPr>
        <w:spacing w:after="120"/>
        <w:jc w:val="both"/>
      </w:pPr>
    </w:p>
    <w:p w14:paraId="28B01A53" w14:textId="77777777" w:rsidR="00723F02" w:rsidRPr="0086136D" w:rsidRDefault="00723F02" w:rsidP="00723F02">
      <w:pPr>
        <w:spacing w:after="120"/>
        <w:jc w:val="center"/>
        <w:rPr>
          <w:b/>
          <w:sz w:val="28"/>
          <w:szCs w:val="28"/>
        </w:rPr>
      </w:pPr>
      <w:bookmarkStart w:id="0" w:name="_Hlk46671547"/>
      <w:r w:rsidRPr="0086136D">
        <w:rPr>
          <w:b/>
          <w:sz w:val="28"/>
          <w:szCs w:val="28"/>
        </w:rPr>
        <w:t>High dimension</w:t>
      </w:r>
      <w:r>
        <w:rPr>
          <w:b/>
          <w:sz w:val="28"/>
          <w:szCs w:val="28"/>
        </w:rPr>
        <w:t>al</w:t>
      </w:r>
      <w:r w:rsidRPr="0086136D">
        <w:rPr>
          <w:b/>
          <w:sz w:val="28"/>
          <w:szCs w:val="28"/>
        </w:rPr>
        <w:t xml:space="preserve"> protein characterization of glial tumor tissues and relevance to outcomes in immunotherapy clinical trials</w:t>
      </w:r>
    </w:p>
    <w:bookmarkEnd w:id="0"/>
    <w:p w14:paraId="06EEAD76" w14:textId="77777777" w:rsidR="00723F02" w:rsidRPr="0086136D" w:rsidRDefault="00723F02" w:rsidP="00723F02">
      <w:pPr>
        <w:spacing w:after="120"/>
        <w:jc w:val="center"/>
        <w:rPr>
          <w:b/>
        </w:rPr>
      </w:pPr>
      <w:r w:rsidRPr="0086136D">
        <w:rPr>
          <w:b/>
        </w:rPr>
        <w:t>Research Proposal</w:t>
      </w:r>
    </w:p>
    <w:p w14:paraId="0D812A0A" w14:textId="77777777" w:rsidR="00723F02" w:rsidRDefault="00723F02" w:rsidP="00723F02">
      <w:pPr>
        <w:spacing w:after="120"/>
        <w:jc w:val="both"/>
        <w:rPr>
          <w:b/>
          <w:u w:val="single"/>
        </w:rPr>
      </w:pPr>
      <w:r>
        <w:rPr>
          <w:b/>
          <w:u w:val="single"/>
        </w:rPr>
        <w:t>Impact/relevance</w:t>
      </w:r>
    </w:p>
    <w:p w14:paraId="2F366E84" w14:textId="77777777" w:rsidR="00723F02" w:rsidRPr="009037C6" w:rsidRDefault="00723F02" w:rsidP="00723F02">
      <w:pPr>
        <w:widowControl w:val="0"/>
        <w:autoSpaceDE w:val="0"/>
        <w:autoSpaceDN w:val="0"/>
        <w:adjustRightInd w:val="0"/>
        <w:spacing w:after="60"/>
        <w:rPr>
          <w:bCs/>
        </w:rPr>
      </w:pPr>
      <w:r w:rsidRPr="00AB6744">
        <w:rPr>
          <w:rFonts w:cs="Calibri"/>
        </w:rPr>
        <w:t>Gliomas make up about 30% of all central nervous system (CNS) tumors and 80% of all malignant brain tumors.</w:t>
      </w:r>
      <w:r w:rsidRPr="00C22BB3">
        <w:rPr>
          <w:rFonts w:cs="Calibri"/>
        </w:rPr>
        <w:t xml:space="preserve"> </w:t>
      </w:r>
      <w:r w:rsidRPr="00AB6744">
        <w:rPr>
          <w:rFonts w:cs="Calibri"/>
        </w:rPr>
        <w:t>Under the World Health Organization (WHO) grading system, gliomas are graded from I (least aggressive) to IV (most aggressive). Due to their infiltrative growth patterns and resistance to chemo- and radiation therapy, WHO grade II-IV gliomas are almost always lethal. WHO grade II low-grade gliomas (LGGs) are slow-growing tumors that occur in mainly young adults, most of whom experience tumor progression to aggressive high-grade glioma (HGG) and eventually succumb to the disease</w:t>
      </w:r>
      <w:r>
        <w:rPr>
          <w:rFonts w:cs="Calibri"/>
        </w:rPr>
        <w:t xml:space="preserve"> </w:t>
      </w:r>
      <w:r w:rsidRPr="00FC0683">
        <w:rPr>
          <w:rFonts w:cs="Calibri"/>
        </w:rPr>
        <w:fldChar w:fldCharType="begin"/>
      </w:r>
      <w:r w:rsidRPr="00FC0683">
        <w:rPr>
          <w:rFonts w:cs="Calibri"/>
        </w:rPr>
        <w:instrText>ADDIN BEC{Sanai et al., 2011, #90688}{Westphal and Lamszus, 2011, #20419}</w:instrText>
      </w:r>
      <w:r w:rsidRPr="00FC0683">
        <w:rPr>
          <w:rFonts w:cs="Calibri"/>
        </w:rPr>
        <w:fldChar w:fldCharType="separate"/>
      </w:r>
      <w:r w:rsidRPr="00FC0683">
        <w:rPr>
          <w:rFonts w:cs="Calibri"/>
          <w:vertAlign w:val="superscript"/>
        </w:rPr>
        <w:t>1,2</w:t>
      </w:r>
      <w:r w:rsidRPr="00FC0683">
        <w:rPr>
          <w:rFonts w:cs="Calibri"/>
        </w:rPr>
        <w:fldChar w:fldCharType="end"/>
      </w:r>
      <w:r w:rsidRPr="00AB6744">
        <w:rPr>
          <w:rFonts w:cs="Calibri"/>
        </w:rPr>
        <w:t xml:space="preserve">. </w:t>
      </w:r>
      <w:bookmarkStart w:id="1" w:name="_Hlk46673779"/>
      <w:r w:rsidRPr="00AB6744">
        <w:rPr>
          <w:rFonts w:cs="Calibri"/>
        </w:rPr>
        <w:t xml:space="preserve">WHO Grade IV </w:t>
      </w:r>
      <w:r w:rsidRPr="00C22BB3">
        <w:rPr>
          <w:rFonts w:cs="Calibri"/>
          <w:bCs/>
        </w:rPr>
        <w:t>Glioblastoma (GBM) is</w:t>
      </w:r>
      <w:r>
        <w:rPr>
          <w:bCs/>
        </w:rPr>
        <w:t xml:space="preserve"> the most common and lethal primary malignant central nervous system </w:t>
      </w:r>
      <w:proofErr w:type="gramStart"/>
      <w:r>
        <w:rPr>
          <w:bCs/>
        </w:rPr>
        <w:t>tumor.</w:t>
      </w:r>
      <w:proofErr w:type="gramEnd"/>
      <w:r>
        <w:rPr>
          <w:bCs/>
        </w:rPr>
        <w:t xml:space="preserve"> </w:t>
      </w:r>
      <w:bookmarkStart w:id="2" w:name="_Hlk46673615"/>
      <w:bookmarkEnd w:id="1"/>
      <w:r>
        <w:rPr>
          <w:bCs/>
        </w:rPr>
        <w:t xml:space="preserve">Even with an aggressive standard of care regimen of surgery, radiation therapy and chemotherapy, </w:t>
      </w:r>
      <w:proofErr w:type="gramStart"/>
      <w:r>
        <w:rPr>
          <w:bCs/>
        </w:rPr>
        <w:t>3 year</w:t>
      </w:r>
      <w:proofErr w:type="gramEnd"/>
      <w:r>
        <w:rPr>
          <w:bCs/>
        </w:rPr>
        <w:t xml:space="preserve"> survival rate is just 10.1%. </w:t>
      </w:r>
      <w:bookmarkStart w:id="3" w:name="_Hlk46676399"/>
      <w:bookmarkEnd w:id="2"/>
      <w:proofErr w:type="spellStart"/>
      <w:r>
        <w:rPr>
          <w:bCs/>
        </w:rPr>
        <w:t>Furthemore</w:t>
      </w:r>
      <w:proofErr w:type="spellEnd"/>
      <w:r>
        <w:rPr>
          <w:bCs/>
        </w:rPr>
        <w:t xml:space="preserve">, </w:t>
      </w:r>
      <w:r w:rsidRPr="009037C6">
        <w:rPr>
          <w:bCs/>
        </w:rPr>
        <w:t>brain tumors are the leading cause of cancer- related mortality and morbidity in children.</w:t>
      </w:r>
      <w:bookmarkEnd w:id="3"/>
      <w:r w:rsidRPr="009037C6">
        <w:rPr>
          <w:bCs/>
        </w:rPr>
        <w:t xml:space="preserve"> Children with DIPG have one-year progression-free survival rates below 25% and median overall survival of 9 to 10 months with current treatments</w:t>
      </w:r>
      <w:r>
        <w:rPr>
          <w:bCs/>
        </w:rPr>
        <w:t xml:space="preserve"> </w:t>
      </w:r>
      <w:r>
        <w:fldChar w:fldCharType="begin"/>
      </w:r>
      <w:r>
        <w:instrText>ADDIN BEC{Kebudi and Cakir, 2013, #97720}</w:instrText>
      </w:r>
      <w:r>
        <w:fldChar w:fldCharType="separate"/>
      </w:r>
      <w:r>
        <w:rPr>
          <w:vertAlign w:val="superscript"/>
        </w:rPr>
        <w:t>3</w:t>
      </w:r>
      <w:r>
        <w:fldChar w:fldCharType="end"/>
      </w:r>
      <w:r w:rsidRPr="00F12BB6">
        <w:t xml:space="preserve"> </w:t>
      </w:r>
      <w:r>
        <w:fldChar w:fldCharType="begin"/>
      </w:r>
      <w:r>
        <w:instrText>ADDIN BEC{Schroeder et al., 2014, #52296}</w:instrText>
      </w:r>
      <w:r>
        <w:fldChar w:fldCharType="separate"/>
      </w:r>
      <w:r>
        <w:rPr>
          <w:vertAlign w:val="superscript"/>
        </w:rPr>
        <w:t>4</w:t>
      </w:r>
      <w:r>
        <w:fldChar w:fldCharType="end"/>
      </w:r>
      <w:r w:rsidRPr="009037C6">
        <w:rPr>
          <w:bCs/>
        </w:rPr>
        <w:t xml:space="preserve"> </w:t>
      </w:r>
    </w:p>
    <w:p w14:paraId="563A9039" w14:textId="77777777" w:rsidR="00723F02" w:rsidRPr="00C22BB3" w:rsidRDefault="00723F02" w:rsidP="00723F02">
      <w:pPr>
        <w:widowControl w:val="0"/>
        <w:autoSpaceDE w:val="0"/>
        <w:autoSpaceDN w:val="0"/>
        <w:adjustRightInd w:val="0"/>
        <w:spacing w:after="60"/>
        <w:rPr>
          <w:rFonts w:ascii="Arial" w:hAnsi="Arial" w:cs="Arial"/>
          <w:sz w:val="22"/>
          <w:szCs w:val="22"/>
        </w:rPr>
      </w:pPr>
      <w:r>
        <w:rPr>
          <w:bCs/>
        </w:rPr>
        <w:t xml:space="preserve">New therapies are desperately needed for patients diagnosed with glioma. Early studies with single agent immunotherapies such as PD-1 were disappointing and thought to be hindered by the immune-suppressive tumor microenvironment (TME) in GBM </w:t>
      </w:r>
      <w:r>
        <w:fldChar w:fldCharType="begin"/>
      </w:r>
      <w:r>
        <w:instrText>ADDIN BEC{Sampson et al., 2017, #48922}</w:instrText>
      </w:r>
      <w:r>
        <w:fldChar w:fldCharType="separate"/>
      </w:r>
      <w:r>
        <w:rPr>
          <w:vertAlign w:val="superscript"/>
        </w:rPr>
        <w:t>5</w:t>
      </w:r>
      <w:r>
        <w:fldChar w:fldCharType="end"/>
      </w:r>
      <w:r>
        <w:rPr>
          <w:bCs/>
        </w:rPr>
        <w:t xml:space="preserve">, but recent studies in the adjuvant setting of anti-PD1 in combination with surgery show significantly increased overall survival and are being extended to more patients </w:t>
      </w:r>
      <w:r>
        <w:fldChar w:fldCharType="begin"/>
      </w:r>
      <w:r>
        <w:instrText>ADDIN BEC{Cloughesy et al., 2019, #86880}</w:instrText>
      </w:r>
      <w:r>
        <w:fldChar w:fldCharType="separate"/>
      </w:r>
      <w:r>
        <w:rPr>
          <w:vertAlign w:val="superscript"/>
        </w:rPr>
        <w:t>6</w:t>
      </w:r>
      <w:r>
        <w:fldChar w:fldCharType="end"/>
      </w:r>
      <w:commentRangeStart w:id="4"/>
      <w:r>
        <w:rPr>
          <w:i/>
          <w:iCs/>
        </w:rPr>
        <w:t xml:space="preserve">. </w:t>
      </w:r>
      <w:r w:rsidRPr="00264C68">
        <w:t>Further insights into the tumor immunobio</w:t>
      </w:r>
      <w:r>
        <w:t>l</w:t>
      </w:r>
      <w:r w:rsidRPr="00264C68">
        <w:t xml:space="preserve">ogy in GBM are needed </w:t>
      </w:r>
      <w:r>
        <w:t xml:space="preserve">to guide rational treatment selection and enhance the efficacy of emerging </w:t>
      </w:r>
      <w:proofErr w:type="spellStart"/>
      <w:r>
        <w:t>immunotherapeutics</w:t>
      </w:r>
      <w:proofErr w:type="spellEnd"/>
      <w:r>
        <w:t xml:space="preserve"> for this disease. </w:t>
      </w:r>
      <w:commentRangeEnd w:id="4"/>
      <w:r w:rsidR="00EE17B2">
        <w:rPr>
          <w:rStyle w:val="CommentReference"/>
        </w:rPr>
        <w:commentReference w:id="4"/>
      </w:r>
    </w:p>
    <w:p w14:paraId="1FBBC57B" w14:textId="77777777" w:rsidR="00723F02" w:rsidRDefault="00723F02" w:rsidP="00723F02">
      <w:pPr>
        <w:spacing w:after="120"/>
        <w:jc w:val="both"/>
      </w:pPr>
      <w:r>
        <w:t xml:space="preserve">Current prioritization algorithms to drive development of </w:t>
      </w:r>
      <w:proofErr w:type="spellStart"/>
      <w:r>
        <w:t>immunotherapeutics</w:t>
      </w:r>
      <w:proofErr w:type="spellEnd"/>
      <w:r>
        <w:t xml:space="preserve"> in glial tumors depend on genomic analysis taken from tissue biopsies when </w:t>
      </w:r>
      <w:r w:rsidRPr="00C22BB3">
        <w:t>available</w:t>
      </w:r>
      <w:r w:rsidRPr="00AB6744">
        <w:t>.</w:t>
      </w:r>
      <w:r w:rsidRPr="00C22BB3">
        <w:t xml:space="preserve"> These</w:t>
      </w:r>
      <w:r>
        <w:t xml:space="preserve"> assays are usually done in bulk cell populations, which precludes resolving tumor heterogeneity and makes it extremely challenging to distinguish the role of different components of the tumor microenvironment, including stroma as well as different immune cell subsets. Single-cell analysis methods, such as single-cell sequencing and mass cytometry, have been instrumental in resolving some of these complexities, however a major limitation of these studies is that they require tissue dissociation for analysis, which loses key attributes of the tumor microenvironment including cell types and spatial relationships. Tumor/immune spatial relationships, particularly as they pertain to immune infiltration and/or exclusion from the tumor bed, provide key insights into disease stage and overall prognosis </w:t>
      </w:r>
      <w:r>
        <w:fldChar w:fldCharType="begin"/>
      </w:r>
      <w:r>
        <w:instrText>ADDIN BEC{Keren et al., 2018, #82881}</w:instrText>
      </w:r>
      <w:r>
        <w:fldChar w:fldCharType="separate"/>
      </w:r>
      <w:r>
        <w:rPr>
          <w:vertAlign w:val="superscript"/>
        </w:rPr>
        <w:t>7</w:t>
      </w:r>
      <w:r>
        <w:fldChar w:fldCharType="end"/>
      </w:r>
      <w:r>
        <w:t>.</w:t>
      </w:r>
    </w:p>
    <w:p w14:paraId="0193D34F" w14:textId="77777777" w:rsidR="00723F02" w:rsidRPr="00EE17B2" w:rsidRDefault="00723F02" w:rsidP="00723F02">
      <w:pPr>
        <w:spacing w:after="120"/>
        <w:jc w:val="both"/>
        <w:rPr>
          <w:color w:val="FF0000"/>
        </w:rPr>
      </w:pPr>
      <w:r w:rsidRPr="00EE17B2">
        <w:rPr>
          <w:color w:val="FF0000"/>
        </w:rPr>
        <w:t xml:space="preserve">Exciting results in a patient with GBM were reported by Brown </w:t>
      </w:r>
      <w:r w:rsidRPr="00EE17B2">
        <w:rPr>
          <w:i/>
          <w:iCs/>
          <w:color w:val="FF0000"/>
        </w:rPr>
        <w:t>et. al.</w:t>
      </w:r>
      <w:r w:rsidRPr="00EE17B2">
        <w:rPr>
          <w:color w:val="FF0000"/>
        </w:rPr>
        <w:t xml:space="preserve">, demonstrating a complete response following chimeric antigen receptor (CAR) therapy targeting IL-13R </w:t>
      </w:r>
      <w:r w:rsidRPr="00EE17B2">
        <w:rPr>
          <w:color w:val="FF0000"/>
        </w:rPr>
        <w:fldChar w:fldCharType="begin"/>
      </w:r>
      <w:r w:rsidRPr="00EE17B2">
        <w:rPr>
          <w:color w:val="FF0000"/>
        </w:rPr>
        <w:instrText>ADDIN BEC{Brown et al., 2016, #38025}</w:instrText>
      </w:r>
      <w:r w:rsidRPr="00EE17B2">
        <w:rPr>
          <w:color w:val="FF0000"/>
        </w:rPr>
        <w:fldChar w:fldCharType="separate"/>
      </w:r>
      <w:r w:rsidRPr="00EE17B2">
        <w:rPr>
          <w:color w:val="FF0000"/>
          <w:vertAlign w:val="superscript"/>
        </w:rPr>
        <w:t>8</w:t>
      </w:r>
      <w:r w:rsidRPr="00EE17B2">
        <w:rPr>
          <w:color w:val="FF0000"/>
        </w:rPr>
        <w:fldChar w:fldCharType="end"/>
      </w:r>
      <w:r w:rsidRPr="00EE17B2">
        <w:rPr>
          <w:color w:val="FF0000"/>
        </w:rPr>
        <w:t xml:space="preserve">. Further, CAR T cells targeting </w:t>
      </w:r>
      <w:proofErr w:type="spellStart"/>
      <w:r w:rsidRPr="00EE17B2">
        <w:rPr>
          <w:color w:val="FF0000"/>
        </w:rPr>
        <w:t>EGFRvIII</w:t>
      </w:r>
      <w:proofErr w:type="spellEnd"/>
      <w:r w:rsidRPr="00EE17B2">
        <w:rPr>
          <w:color w:val="FF0000"/>
        </w:rPr>
        <w:t xml:space="preserve"> led to antigen remodeling and the induction of adaptive resistance, indicative of effective tumor targeting </w:t>
      </w:r>
      <w:r w:rsidRPr="00EE17B2">
        <w:rPr>
          <w:color w:val="FF0000"/>
        </w:rPr>
        <w:fldChar w:fldCharType="begin"/>
      </w:r>
      <w:r w:rsidRPr="00EE17B2">
        <w:rPr>
          <w:color w:val="FF0000"/>
        </w:rPr>
        <w:instrText>ADDIN BEC{O'Rourke et al., 2017, #35950}</w:instrText>
      </w:r>
      <w:r w:rsidRPr="00EE17B2">
        <w:rPr>
          <w:color w:val="FF0000"/>
        </w:rPr>
        <w:fldChar w:fldCharType="separate"/>
      </w:r>
      <w:r w:rsidRPr="00EE17B2">
        <w:rPr>
          <w:color w:val="FF0000"/>
          <w:vertAlign w:val="superscript"/>
        </w:rPr>
        <w:t>9</w:t>
      </w:r>
      <w:r w:rsidRPr="00EE17B2">
        <w:rPr>
          <w:color w:val="FF0000"/>
        </w:rPr>
        <w:fldChar w:fldCharType="end"/>
      </w:r>
      <w:r w:rsidRPr="00EE17B2">
        <w:rPr>
          <w:color w:val="FF0000"/>
        </w:rPr>
        <w:t xml:space="preserve">.  Pre-clinical data demonstrates impressive anti-tumor effects of GD2-CARs in murine orthotopic models of pediatric </w:t>
      </w:r>
      <w:proofErr w:type="gramStart"/>
      <w:r w:rsidRPr="00EE17B2">
        <w:rPr>
          <w:color w:val="FF0000"/>
        </w:rPr>
        <w:t>high grade</w:t>
      </w:r>
      <w:proofErr w:type="gramEnd"/>
      <w:r w:rsidRPr="00EE17B2">
        <w:rPr>
          <w:color w:val="FF0000"/>
        </w:rPr>
        <w:t xml:space="preserve"> glioma (HGG). Together </w:t>
      </w:r>
      <w:r w:rsidRPr="00EE17B2">
        <w:rPr>
          <w:color w:val="FF0000"/>
        </w:rPr>
        <w:lastRenderedPageBreak/>
        <w:t xml:space="preserve">these data provide proof-of-concept that engineered T cells can traffic to the CNS and mediate meaningful anti-tumor effects, but they also reveal the challenge posed by antigenic heterogeneity when targeting a single cell surface molecule in this disease.  Effective cell-based therapy for GBM and pediatric HGG will no doubt require the development of </w:t>
      </w:r>
      <w:proofErr w:type="spellStart"/>
      <w:r w:rsidRPr="00EE17B2">
        <w:rPr>
          <w:color w:val="FF0000"/>
        </w:rPr>
        <w:t>multispecific</w:t>
      </w:r>
      <w:proofErr w:type="spellEnd"/>
      <w:r w:rsidRPr="00EE17B2">
        <w:rPr>
          <w:color w:val="FF0000"/>
        </w:rPr>
        <w:t xml:space="preserve"> approaches and/or approaches that can induce endogenous antitumor immune responses through epitope spreading.  </w:t>
      </w:r>
    </w:p>
    <w:p w14:paraId="1F1E2617" w14:textId="77777777" w:rsidR="00723F02" w:rsidRDefault="00723F02" w:rsidP="00723F02">
      <w:pPr>
        <w:spacing w:after="120"/>
        <w:jc w:val="both"/>
      </w:pPr>
    </w:p>
    <w:p w14:paraId="62A7F029" w14:textId="77777777" w:rsidR="00723F02" w:rsidRDefault="00723F02" w:rsidP="00723F02">
      <w:pPr>
        <w:spacing w:after="120"/>
        <w:jc w:val="both"/>
      </w:pPr>
      <w:r>
        <w:t xml:space="preserve">Further, it is well known that dissociation protocols do not recover every cell type with equal efficiency. For example, most protocols are optimized for the recovery of T cells to the detriment of the dendritic and myeloid compartment. This is particularly relevant in glial malignancies, where myeloid cells are thought to have a major role in promoting tumor growth and suppressing immune responses </w:t>
      </w:r>
      <w:r>
        <w:fldChar w:fldCharType="begin"/>
      </w:r>
      <w:r>
        <w:instrText>ADDIN BEC{Müller et al., 2017, #76390}</w:instrText>
      </w:r>
      <w:r>
        <w:fldChar w:fldCharType="separate"/>
      </w:r>
      <w:r>
        <w:rPr>
          <w:vertAlign w:val="superscript"/>
        </w:rPr>
        <w:t>10</w:t>
      </w:r>
      <w:r>
        <w:fldChar w:fldCharType="end"/>
      </w:r>
      <w:r w:rsidRPr="0079487C">
        <w:t xml:space="preserve"> </w:t>
      </w:r>
      <w:r>
        <w:fldChar w:fldCharType="begin"/>
      </w:r>
      <w:r>
        <w:instrText>ADDIN BEC{Antonios et al., 2017, #92623}</w:instrText>
      </w:r>
      <w:r>
        <w:fldChar w:fldCharType="separate"/>
      </w:r>
      <w:r>
        <w:rPr>
          <w:vertAlign w:val="superscript"/>
        </w:rPr>
        <w:t>11</w:t>
      </w:r>
      <w:r>
        <w:fldChar w:fldCharType="end"/>
      </w:r>
      <w:r>
        <w:t xml:space="preserve">  </w:t>
      </w:r>
      <w:r>
        <w:fldChar w:fldCharType="begin"/>
      </w:r>
      <w:r>
        <w:instrText>ADDIN BEC{Wu et al., 2018, #50070}</w:instrText>
      </w:r>
      <w:r>
        <w:fldChar w:fldCharType="separate"/>
      </w:r>
      <w:r>
        <w:rPr>
          <w:vertAlign w:val="superscript"/>
        </w:rPr>
        <w:t>12</w:t>
      </w:r>
      <w:r>
        <w:fldChar w:fldCharType="end"/>
      </w:r>
      <w:r w:rsidRPr="0079487C">
        <w:t xml:space="preserve"> </w:t>
      </w:r>
      <w:r>
        <w:fldChar w:fldCharType="begin"/>
      </w:r>
      <w:r>
        <w:instrText>ADDIN BEC{Achyut et al., 2017, #2685}</w:instrText>
      </w:r>
      <w:r>
        <w:fldChar w:fldCharType="separate"/>
      </w:r>
      <w:r>
        <w:rPr>
          <w:vertAlign w:val="superscript"/>
        </w:rPr>
        <w:t>13</w:t>
      </w:r>
      <w:r>
        <w:fldChar w:fldCharType="end"/>
      </w:r>
      <w:r>
        <w:t xml:space="preserve"> </w:t>
      </w:r>
      <w:r>
        <w:fldChar w:fldCharType="begin"/>
      </w:r>
      <w:r>
        <w:instrText>ADDIN BEC{Hutter et al., 2019, #10630}</w:instrText>
      </w:r>
      <w:r>
        <w:fldChar w:fldCharType="separate"/>
      </w:r>
      <w:r>
        <w:rPr>
          <w:vertAlign w:val="superscript"/>
        </w:rPr>
        <w:t>14</w:t>
      </w:r>
      <w:r>
        <w:fldChar w:fldCharType="end"/>
      </w:r>
      <w:r w:rsidRPr="0079487C">
        <w:t xml:space="preserve"> </w:t>
      </w:r>
      <w:r>
        <w:fldChar w:fldCharType="begin"/>
      </w:r>
      <w:r>
        <w:instrText>ADDIN BEC{Tomaszewski et al., 2019, #52502}</w:instrText>
      </w:r>
      <w:r>
        <w:fldChar w:fldCharType="separate"/>
      </w:r>
      <w:r>
        <w:rPr>
          <w:vertAlign w:val="superscript"/>
        </w:rPr>
        <w:t>15</w:t>
      </w:r>
      <w:r>
        <w:fldChar w:fldCharType="end"/>
      </w:r>
      <w:r>
        <w:t xml:space="preserve">. </w:t>
      </w:r>
    </w:p>
    <w:p w14:paraId="5FB535E3" w14:textId="77777777" w:rsidR="00723F02" w:rsidRDefault="00723F02" w:rsidP="00723F02">
      <w:pPr>
        <w:spacing w:after="120"/>
        <w:jc w:val="both"/>
        <w:rPr>
          <w:i/>
          <w:iCs/>
        </w:rPr>
      </w:pPr>
    </w:p>
    <w:p w14:paraId="45E137A8" w14:textId="77777777" w:rsidR="00723F02" w:rsidRPr="00AB6744" w:rsidRDefault="00723F02" w:rsidP="00723F02">
      <w:pPr>
        <w:spacing w:after="120"/>
        <w:jc w:val="both"/>
        <w:rPr>
          <w:iCs/>
        </w:rPr>
      </w:pPr>
      <w:r>
        <w:rPr>
          <w:iCs/>
        </w:rPr>
        <w:t xml:space="preserve">We need to develop novel methodologies to evaluate tumor antigenic expression and the phenotype and functions of associated immune cells, in particular glioma-infiltrating myeloid cells. While flow-cytometry- and single cell-sequencing-based evaluations may provide valuable information on dissociated single cells, these technologies will not provide us with critical information related to their localization and physical interactions with other cell populations in the tumor microenvironment. </w:t>
      </w:r>
    </w:p>
    <w:p w14:paraId="6C20FAF9" w14:textId="77777777" w:rsidR="00723F02" w:rsidRDefault="00723F02" w:rsidP="00723F02">
      <w:pPr>
        <w:spacing w:after="120"/>
        <w:jc w:val="both"/>
      </w:pPr>
    </w:p>
    <w:p w14:paraId="48492595" w14:textId="77777777" w:rsidR="00723F02" w:rsidRPr="009E133D" w:rsidRDefault="00723F02" w:rsidP="00723F02">
      <w:pPr>
        <w:spacing w:after="120"/>
        <w:jc w:val="both"/>
        <w:rPr>
          <w:bCs/>
        </w:rPr>
      </w:pPr>
      <w:r>
        <w:rPr>
          <w:b/>
        </w:rPr>
        <w:t xml:space="preserve">As a first step toward generating a comprehensive understanding of both the TME and the </w:t>
      </w:r>
      <w:r w:rsidRPr="00EE17B2">
        <w:rPr>
          <w:b/>
          <w:color w:val="FF0000"/>
        </w:rPr>
        <w:t xml:space="preserve">antigenic heterogeneity of GBM </w:t>
      </w:r>
      <w:r>
        <w:rPr>
          <w:b/>
        </w:rPr>
        <w:t>and high grade gliomas</w:t>
      </w:r>
      <w:r w:rsidRPr="00511FF3">
        <w:rPr>
          <w:b/>
        </w:rPr>
        <w:t>, here we propose to use Multiplexed Ion Beam Imaging (</w:t>
      </w:r>
      <w:r w:rsidRPr="00E07C9D">
        <w:rPr>
          <w:b/>
          <w:bCs/>
        </w:rPr>
        <w:t xml:space="preserve">MIBI) to perform multiplexed imaging of intact, well annotated </w:t>
      </w:r>
      <w:r>
        <w:rPr>
          <w:b/>
          <w:bCs/>
        </w:rPr>
        <w:t>low grade glioma (</w:t>
      </w:r>
      <w:r w:rsidRPr="00E07C9D">
        <w:rPr>
          <w:b/>
          <w:bCs/>
        </w:rPr>
        <w:t>LGG</w:t>
      </w:r>
      <w:r>
        <w:rPr>
          <w:b/>
          <w:bCs/>
        </w:rPr>
        <w:t>)</w:t>
      </w:r>
      <w:r w:rsidRPr="00E07C9D">
        <w:rPr>
          <w:b/>
          <w:bCs/>
        </w:rPr>
        <w:t xml:space="preserve"> and GBM tissue from pediatric and adult patients in response to vaccine, checkpoint inhibitor and cellular therapies</w:t>
      </w:r>
      <w:r>
        <w:rPr>
          <w:b/>
          <w:bCs/>
        </w:rPr>
        <w:t xml:space="preserve"> </w:t>
      </w:r>
      <w:r w:rsidRPr="00857D7A">
        <w:t>(Table 1).</w:t>
      </w:r>
      <w:r>
        <w:rPr>
          <w:b/>
          <w:bCs/>
        </w:rPr>
        <w:t xml:space="preserve"> </w:t>
      </w:r>
      <w:r>
        <w:rPr>
          <w:bCs/>
        </w:rPr>
        <w:t xml:space="preserve">MIBI enables quantitative, high-resolution (500 nm), simultaneous imaging of ~40 protein markers in FFPE tissue that is readily available for these cohorts. </w:t>
      </w:r>
      <w:r w:rsidRPr="00D61AE1">
        <w:t xml:space="preserve">This dataset will inform tumor target expression </w:t>
      </w:r>
      <w:r>
        <w:t>profile</w:t>
      </w:r>
      <w:r w:rsidRPr="00D61AE1">
        <w:t xml:space="preserve">, immune inhibitory protein expression, and the type and functional status of T cells and myeloid cells </w:t>
      </w:r>
      <w:r>
        <w:t xml:space="preserve">within the context of an intact tumor micro-environment. The tumor and immune characteristics will be analyzed and interpreted </w:t>
      </w:r>
      <w:r w:rsidRPr="00D61AE1">
        <w:t xml:space="preserve">in the context </w:t>
      </w:r>
      <w:r>
        <w:t>of</w:t>
      </w:r>
      <w:r w:rsidRPr="00D61AE1">
        <w:t xml:space="preserve"> patient outcome, molecular or other clinical characteristic</w:t>
      </w:r>
      <w:r>
        <w:t>s</w:t>
      </w:r>
      <w:r w:rsidRPr="00D61AE1">
        <w:t>.</w:t>
      </w:r>
      <w:r>
        <w:t xml:space="preserve"> </w:t>
      </w:r>
      <w:r w:rsidRPr="00EB0707">
        <w:rPr>
          <w:highlight w:val="yellow"/>
        </w:rPr>
        <w:t>As many protein and cellular targets currently under clinical development will be analyzed,</w:t>
      </w:r>
      <w:r>
        <w:t xml:space="preserve"> </w:t>
      </w:r>
      <w:commentRangeStart w:id="5"/>
      <w:r>
        <w:rPr>
          <w:b/>
          <w:bCs/>
        </w:rPr>
        <w:t>w</w:t>
      </w:r>
      <w:r w:rsidRPr="00D61AE1">
        <w:rPr>
          <w:b/>
          <w:bCs/>
        </w:rPr>
        <w:t>e envisage</w:t>
      </w:r>
      <w:r>
        <w:t xml:space="preserve"> </w:t>
      </w:r>
      <w:r w:rsidRPr="00D61AE1">
        <w:rPr>
          <w:b/>
          <w:bCs/>
        </w:rPr>
        <w:t>these data would provide unique and broad rationale for therapeutic selection for CART, vaccine and immunotherapy combination trials for glial tumor patients</w:t>
      </w:r>
      <w:r>
        <w:rPr>
          <w:b/>
          <w:bCs/>
        </w:rPr>
        <w:t>.</w:t>
      </w:r>
      <w:r w:rsidRPr="00D61AE1">
        <w:rPr>
          <w:b/>
          <w:bCs/>
        </w:rPr>
        <w:t xml:space="preserve"> </w:t>
      </w:r>
      <w:commentRangeEnd w:id="5"/>
      <w:r w:rsidR="006D5E53">
        <w:rPr>
          <w:rStyle w:val="CommentReference"/>
        </w:rPr>
        <w:commentReference w:id="5"/>
      </w:r>
    </w:p>
    <w:p w14:paraId="39339A2C" w14:textId="77777777" w:rsidR="00723F02" w:rsidRDefault="00723F02" w:rsidP="00723F02">
      <w:pPr>
        <w:spacing w:after="120"/>
        <w:jc w:val="both"/>
      </w:pPr>
    </w:p>
    <w:p w14:paraId="0BAE6A0C" w14:textId="77777777" w:rsidR="00723F02" w:rsidRDefault="00723F02" w:rsidP="00723F02">
      <w:pPr>
        <w:spacing w:after="120"/>
        <w:jc w:val="both"/>
      </w:pPr>
    </w:p>
    <w:p w14:paraId="3D26FC97" w14:textId="77777777" w:rsidR="00723F02" w:rsidRDefault="00723F02" w:rsidP="00723F02">
      <w:pPr>
        <w:spacing w:after="120"/>
        <w:jc w:val="both"/>
      </w:pPr>
      <w:r>
        <w:rPr>
          <w:b/>
          <w:bCs/>
        </w:rPr>
        <w:t>Table 1. Cohorts of tumor samples for analysis.</w:t>
      </w:r>
    </w:p>
    <w:tbl>
      <w:tblPr>
        <w:tblStyle w:val="TableGrid"/>
        <w:tblW w:w="0" w:type="auto"/>
        <w:tblLook w:val="04A0" w:firstRow="1" w:lastRow="0" w:firstColumn="1" w:lastColumn="0" w:noHBand="0" w:noVBand="1"/>
      </w:tblPr>
      <w:tblGrid>
        <w:gridCol w:w="3505"/>
        <w:gridCol w:w="2728"/>
        <w:gridCol w:w="3117"/>
      </w:tblGrid>
      <w:tr w:rsidR="00723F02" w14:paraId="24AF0495" w14:textId="77777777" w:rsidTr="00BD361D">
        <w:tc>
          <w:tcPr>
            <w:tcW w:w="3505" w:type="dxa"/>
          </w:tcPr>
          <w:p w14:paraId="1BB50978" w14:textId="77777777" w:rsidR="00723F02" w:rsidRPr="00857D7A" w:rsidRDefault="00723F02" w:rsidP="00BD361D">
            <w:pPr>
              <w:spacing w:after="120"/>
              <w:jc w:val="center"/>
              <w:rPr>
                <w:b/>
                <w:bCs/>
              </w:rPr>
            </w:pPr>
            <w:r w:rsidRPr="00857D7A">
              <w:rPr>
                <w:b/>
                <w:bCs/>
              </w:rPr>
              <w:t>Sample Set</w:t>
            </w:r>
          </w:p>
        </w:tc>
        <w:tc>
          <w:tcPr>
            <w:tcW w:w="2728" w:type="dxa"/>
          </w:tcPr>
          <w:p w14:paraId="0B39078E" w14:textId="77777777" w:rsidR="00723F02" w:rsidRPr="00857D7A" w:rsidRDefault="00723F02" w:rsidP="00BD361D">
            <w:pPr>
              <w:spacing w:after="120"/>
              <w:jc w:val="center"/>
              <w:rPr>
                <w:b/>
                <w:bCs/>
              </w:rPr>
            </w:pPr>
            <w:r w:rsidRPr="00857D7A">
              <w:rPr>
                <w:b/>
                <w:bCs/>
              </w:rPr>
              <w:t>Number of cases</w:t>
            </w:r>
          </w:p>
        </w:tc>
        <w:tc>
          <w:tcPr>
            <w:tcW w:w="3117" w:type="dxa"/>
          </w:tcPr>
          <w:p w14:paraId="25E38697" w14:textId="77777777" w:rsidR="00723F02" w:rsidRPr="00857D7A" w:rsidRDefault="00723F02" w:rsidP="00BD361D">
            <w:pPr>
              <w:spacing w:after="120"/>
              <w:jc w:val="center"/>
              <w:rPr>
                <w:b/>
                <w:bCs/>
              </w:rPr>
            </w:pPr>
            <w:r w:rsidRPr="00857D7A">
              <w:rPr>
                <w:b/>
                <w:bCs/>
              </w:rPr>
              <w:t>Associated Datasets</w:t>
            </w:r>
          </w:p>
        </w:tc>
      </w:tr>
      <w:tr w:rsidR="00723F02" w14:paraId="7FD960E3" w14:textId="77777777" w:rsidTr="00BD361D">
        <w:tc>
          <w:tcPr>
            <w:tcW w:w="3505" w:type="dxa"/>
          </w:tcPr>
          <w:p w14:paraId="694F84AB" w14:textId="77777777" w:rsidR="00723F02" w:rsidRDefault="00723F02" w:rsidP="00BD361D">
            <w:pPr>
              <w:spacing w:after="120"/>
              <w:jc w:val="both"/>
            </w:pPr>
            <w:commentRangeStart w:id="6"/>
            <w:r>
              <w:t>Pediatric HGG</w:t>
            </w:r>
          </w:p>
          <w:p w14:paraId="2AA18B55" w14:textId="77777777" w:rsidR="00723F02" w:rsidRDefault="00723F02" w:rsidP="00BD361D">
            <w:pPr>
              <w:spacing w:after="120"/>
              <w:jc w:val="both"/>
            </w:pPr>
            <w:r>
              <w:lastRenderedPageBreak/>
              <w:t>Primary &amp; recurrent</w:t>
            </w:r>
          </w:p>
        </w:tc>
        <w:tc>
          <w:tcPr>
            <w:tcW w:w="2728" w:type="dxa"/>
          </w:tcPr>
          <w:p w14:paraId="126B1559" w14:textId="77777777" w:rsidR="00723F02" w:rsidRDefault="00723F02" w:rsidP="00BD361D">
            <w:pPr>
              <w:spacing w:after="120"/>
            </w:pPr>
            <w:r w:rsidRPr="00857D7A">
              <w:lastRenderedPageBreak/>
              <w:t xml:space="preserve">70 TMAs, 30 </w:t>
            </w:r>
            <w:r>
              <w:t xml:space="preserve">with </w:t>
            </w:r>
            <w:r w:rsidRPr="00857D7A">
              <w:t>molecular datasets</w:t>
            </w:r>
          </w:p>
        </w:tc>
        <w:tc>
          <w:tcPr>
            <w:tcW w:w="3117" w:type="dxa"/>
          </w:tcPr>
          <w:p w14:paraId="311EA62A" w14:textId="77777777" w:rsidR="00723F02" w:rsidRDefault="00723F02" w:rsidP="00BD361D">
            <w:pPr>
              <w:spacing w:after="120"/>
              <w:jc w:val="both"/>
            </w:pPr>
            <w:r w:rsidRPr="00857D7A">
              <w:t xml:space="preserve">WGS, RNA, clinical. </w:t>
            </w:r>
            <w:commentRangeEnd w:id="6"/>
            <w:r w:rsidR="00C25DBD">
              <w:rPr>
                <w:rStyle w:val="CommentReference"/>
              </w:rPr>
              <w:commentReference w:id="6"/>
            </w:r>
          </w:p>
        </w:tc>
      </w:tr>
      <w:tr w:rsidR="00723F02" w14:paraId="48706CD4" w14:textId="77777777" w:rsidTr="00BD361D">
        <w:tc>
          <w:tcPr>
            <w:tcW w:w="3505" w:type="dxa"/>
          </w:tcPr>
          <w:p w14:paraId="5166D72E" w14:textId="77777777" w:rsidR="00723F02" w:rsidRDefault="00723F02" w:rsidP="00BD361D">
            <w:pPr>
              <w:spacing w:after="120"/>
              <w:jc w:val="both"/>
            </w:pPr>
            <w:r w:rsidRPr="00857D7A">
              <w:t>Paired primary and recurrent gliomas</w:t>
            </w:r>
            <w:r>
              <w:t xml:space="preserve"> &amp; </w:t>
            </w:r>
            <w:r w:rsidRPr="00857D7A">
              <w:t xml:space="preserve">site </w:t>
            </w:r>
            <w:r>
              <w:t>documented</w:t>
            </w:r>
            <w:r w:rsidRPr="00857D7A">
              <w:t xml:space="preserve"> biopsies</w:t>
            </w:r>
          </w:p>
        </w:tc>
        <w:tc>
          <w:tcPr>
            <w:tcW w:w="2728" w:type="dxa"/>
          </w:tcPr>
          <w:p w14:paraId="7159DD25" w14:textId="77777777" w:rsidR="00723F02" w:rsidRDefault="00723F02" w:rsidP="00BD361D">
            <w:pPr>
              <w:spacing w:after="120"/>
              <w:jc w:val="both"/>
            </w:pPr>
            <w:r>
              <w:t>20 – 25 pairs (50)</w:t>
            </w:r>
          </w:p>
          <w:p w14:paraId="1F85C1B0" w14:textId="77777777" w:rsidR="00723F02" w:rsidRDefault="00723F02" w:rsidP="00BD361D">
            <w:pPr>
              <w:spacing w:after="120"/>
              <w:jc w:val="both"/>
            </w:pPr>
            <w:r>
              <w:t>50</w:t>
            </w:r>
          </w:p>
        </w:tc>
        <w:tc>
          <w:tcPr>
            <w:tcW w:w="3117" w:type="dxa"/>
          </w:tcPr>
          <w:p w14:paraId="6964507B" w14:textId="77777777" w:rsidR="00723F02" w:rsidRDefault="00723F02" w:rsidP="00BD361D">
            <w:pPr>
              <w:spacing w:after="120"/>
              <w:jc w:val="both"/>
            </w:pPr>
            <w:r>
              <w:t xml:space="preserve">WES, RNA, </w:t>
            </w:r>
            <w:proofErr w:type="spellStart"/>
            <w:r>
              <w:t>TCR</w:t>
            </w:r>
            <w:r w:rsidRPr="00F50F8D">
              <w:rPr>
                <w:rFonts w:ascii="Symbol" w:hAnsi="Symbol"/>
              </w:rPr>
              <w:t></w:t>
            </w:r>
            <w:r>
              <w:t>seq</w:t>
            </w:r>
            <w:proofErr w:type="spellEnd"/>
            <w:r>
              <w:t>, clinical.</w:t>
            </w:r>
          </w:p>
        </w:tc>
      </w:tr>
      <w:tr w:rsidR="00723F02" w14:paraId="5FAE7B18" w14:textId="77777777" w:rsidTr="00BD361D">
        <w:tc>
          <w:tcPr>
            <w:tcW w:w="3505" w:type="dxa"/>
          </w:tcPr>
          <w:p w14:paraId="1C0BDB4F" w14:textId="77777777" w:rsidR="00723F02" w:rsidRPr="00AB6744" w:rsidRDefault="00723F02" w:rsidP="00BD361D">
            <w:pPr>
              <w:spacing w:after="120"/>
            </w:pPr>
            <w:r w:rsidRPr="00AB6744">
              <w:t>WHO G2 glioma receiving randomized neoadjuvant vaccines</w:t>
            </w:r>
          </w:p>
        </w:tc>
        <w:tc>
          <w:tcPr>
            <w:tcW w:w="2728" w:type="dxa"/>
          </w:tcPr>
          <w:p w14:paraId="0DE91475" w14:textId="77777777" w:rsidR="00723F02" w:rsidRPr="00AB6744" w:rsidRDefault="00723F02" w:rsidP="00BD361D">
            <w:pPr>
              <w:spacing w:after="120"/>
              <w:jc w:val="both"/>
            </w:pPr>
            <w:r w:rsidRPr="00AB6744">
              <w:t>30</w:t>
            </w:r>
          </w:p>
        </w:tc>
        <w:tc>
          <w:tcPr>
            <w:tcW w:w="3117" w:type="dxa"/>
          </w:tcPr>
          <w:p w14:paraId="41C28D2B" w14:textId="77777777" w:rsidR="00723F02" w:rsidRPr="00AB6744" w:rsidRDefault="00723F02" w:rsidP="00BD361D">
            <w:pPr>
              <w:spacing w:after="120"/>
              <w:jc w:val="both"/>
            </w:pPr>
            <w:r w:rsidRPr="00AB6744">
              <w:t xml:space="preserve">RNA-seq, </w:t>
            </w:r>
            <w:proofErr w:type="spellStart"/>
            <w:r w:rsidRPr="00AB6744">
              <w:t>CyTOF</w:t>
            </w:r>
            <w:proofErr w:type="spellEnd"/>
            <w:r w:rsidRPr="00AB6744">
              <w:t xml:space="preserve">. </w:t>
            </w:r>
            <w:proofErr w:type="spellStart"/>
            <w:r w:rsidRPr="00AB6744">
              <w:t>TCRb</w:t>
            </w:r>
            <w:proofErr w:type="spellEnd"/>
            <w:r w:rsidRPr="00AB6744">
              <w:t xml:space="preserve"> seq, clinical</w:t>
            </w:r>
          </w:p>
        </w:tc>
      </w:tr>
      <w:tr w:rsidR="00723F02" w14:paraId="1250C3EA" w14:textId="77777777" w:rsidTr="00BD361D">
        <w:tc>
          <w:tcPr>
            <w:tcW w:w="3505" w:type="dxa"/>
          </w:tcPr>
          <w:p w14:paraId="43B524B4" w14:textId="77777777" w:rsidR="00723F02" w:rsidRDefault="00723F02" w:rsidP="00BD361D">
            <w:pPr>
              <w:spacing w:after="120"/>
              <w:jc w:val="both"/>
            </w:pPr>
            <w:r>
              <w:t>GBM o</w:t>
            </w:r>
            <w:r w:rsidRPr="00857D7A">
              <w:t xml:space="preserve">ff label neoadjuvant </w:t>
            </w:r>
            <w:proofErr w:type="spellStart"/>
            <w:r>
              <w:t>Niovlumab</w:t>
            </w:r>
            <w:proofErr w:type="spellEnd"/>
            <w:r>
              <w:t xml:space="preserve"> and pembrolizumab</w:t>
            </w:r>
          </w:p>
        </w:tc>
        <w:tc>
          <w:tcPr>
            <w:tcW w:w="2728" w:type="dxa"/>
          </w:tcPr>
          <w:p w14:paraId="174DF731" w14:textId="77777777" w:rsidR="00723F02" w:rsidRDefault="00723F02" w:rsidP="00BD361D">
            <w:pPr>
              <w:spacing w:after="120"/>
              <w:jc w:val="both"/>
            </w:pPr>
            <w:r>
              <w:t>30</w:t>
            </w:r>
          </w:p>
        </w:tc>
        <w:tc>
          <w:tcPr>
            <w:tcW w:w="3117" w:type="dxa"/>
          </w:tcPr>
          <w:p w14:paraId="2510D890" w14:textId="77777777" w:rsidR="00723F02" w:rsidRDefault="00723F02" w:rsidP="00BD361D">
            <w:pPr>
              <w:spacing w:after="120"/>
              <w:jc w:val="both"/>
            </w:pPr>
            <w:r>
              <w:t xml:space="preserve">WES, RNA, TIL / PBMC </w:t>
            </w:r>
            <w:proofErr w:type="spellStart"/>
            <w:r>
              <w:t>cyTOF</w:t>
            </w:r>
            <w:proofErr w:type="spellEnd"/>
          </w:p>
        </w:tc>
      </w:tr>
      <w:tr w:rsidR="00723F02" w14:paraId="4C396DE8" w14:textId="77777777" w:rsidTr="00BD361D">
        <w:tc>
          <w:tcPr>
            <w:tcW w:w="3505" w:type="dxa"/>
          </w:tcPr>
          <w:p w14:paraId="3F7892F1" w14:textId="77777777" w:rsidR="00723F02" w:rsidRDefault="00723F02" w:rsidP="00BD361D">
            <w:pPr>
              <w:spacing w:after="120"/>
              <w:jc w:val="both"/>
            </w:pPr>
            <w:r>
              <w:t xml:space="preserve">GBM </w:t>
            </w:r>
            <w:r w:rsidRPr="00857D7A">
              <w:t>CART (IL-13R</w:t>
            </w:r>
            <w:r w:rsidRPr="00857D7A">
              <w:rPr>
                <w:rFonts w:ascii="Symbol" w:hAnsi="Symbol"/>
              </w:rPr>
              <w:t></w:t>
            </w:r>
            <w:r w:rsidRPr="00857D7A">
              <w:t>2, Her2)</w:t>
            </w:r>
          </w:p>
        </w:tc>
        <w:tc>
          <w:tcPr>
            <w:tcW w:w="2728" w:type="dxa"/>
          </w:tcPr>
          <w:p w14:paraId="0FAA0477" w14:textId="77777777" w:rsidR="00723F02" w:rsidRDefault="00723F02" w:rsidP="00BD361D">
            <w:pPr>
              <w:spacing w:after="120"/>
              <w:jc w:val="both"/>
            </w:pPr>
            <w:r>
              <w:t>90</w:t>
            </w:r>
          </w:p>
        </w:tc>
        <w:tc>
          <w:tcPr>
            <w:tcW w:w="3117" w:type="dxa"/>
          </w:tcPr>
          <w:p w14:paraId="087A05B4" w14:textId="77777777" w:rsidR="00723F02" w:rsidRDefault="00723F02" w:rsidP="00BD361D">
            <w:pPr>
              <w:spacing w:after="120"/>
              <w:jc w:val="both"/>
            </w:pPr>
            <w:r>
              <w:t>CSF &amp; blood cytokines and FC.</w:t>
            </w:r>
          </w:p>
        </w:tc>
      </w:tr>
    </w:tbl>
    <w:p w14:paraId="523A3ADE" w14:textId="77777777" w:rsidR="00723F02" w:rsidRPr="00857D7A" w:rsidRDefault="00723F02" w:rsidP="00723F02">
      <w:pPr>
        <w:spacing w:after="120"/>
        <w:jc w:val="both"/>
      </w:pPr>
      <w:r>
        <w:t>Abbreviations: high grade glioma (HGG), glioblastoma multiforme (GBM), chimeric antigen receptor T cell (CART), tissue micro-array (TMA), whole genome sequencing (WGS), whole exome sequencing (WES),ribonucleic acid (RNA), T cell receptor sequencing (</w:t>
      </w:r>
      <w:proofErr w:type="spellStart"/>
      <w:r>
        <w:t>TCR</w:t>
      </w:r>
      <w:r>
        <w:rPr>
          <w:rFonts w:ascii="Symbol" w:hAnsi="Symbol"/>
        </w:rPr>
        <w:t></w:t>
      </w:r>
      <w:r>
        <w:t>seq</w:t>
      </w:r>
      <w:proofErr w:type="spellEnd"/>
      <w:r>
        <w:t xml:space="preserve">), tumor infiltrating lymphocyte (TIL), peripheral blood mononuclear cell (PBMC), cytometry by the time of flight </w:t>
      </w:r>
      <w:r w:rsidRPr="00FD487F">
        <w:t>(</w:t>
      </w:r>
      <w:proofErr w:type="spellStart"/>
      <w:r w:rsidRPr="00FD487F">
        <w:t>CyTOF</w:t>
      </w:r>
      <w:proofErr w:type="spellEnd"/>
      <w:r w:rsidRPr="00FD487F">
        <w:t>)</w:t>
      </w:r>
      <w:r>
        <w:t>, cerebral spinal fluid (CSF), flow cytometry (FC).</w:t>
      </w:r>
    </w:p>
    <w:p w14:paraId="1EF12B78" w14:textId="77777777" w:rsidR="00723F02" w:rsidRDefault="00723F02" w:rsidP="00723F02">
      <w:pPr>
        <w:spacing w:after="120"/>
        <w:jc w:val="both"/>
      </w:pPr>
    </w:p>
    <w:p w14:paraId="251D65C0" w14:textId="77777777" w:rsidR="00723F02" w:rsidRDefault="00723F02" w:rsidP="00723F02">
      <w:pPr>
        <w:spacing w:after="120"/>
        <w:jc w:val="both"/>
      </w:pPr>
      <w:r>
        <w:t xml:space="preserve">The </w:t>
      </w:r>
      <w:r w:rsidRPr="006B49E5">
        <w:rPr>
          <w:b/>
          <w:bCs/>
        </w:rPr>
        <w:t>specific aims</w:t>
      </w:r>
      <w:r>
        <w:t xml:space="preserve"> of this research proposal are to:</w:t>
      </w:r>
    </w:p>
    <w:p w14:paraId="73D53157" w14:textId="77777777" w:rsidR="00723F02" w:rsidRPr="00E32940" w:rsidRDefault="00723F02" w:rsidP="00723F02">
      <w:pPr>
        <w:spacing w:after="120"/>
        <w:jc w:val="both"/>
      </w:pPr>
    </w:p>
    <w:p w14:paraId="54D2D875" w14:textId="77777777" w:rsidR="00723F02" w:rsidRDefault="00723F02" w:rsidP="00723F02">
      <w:pPr>
        <w:pStyle w:val="ListParagraph"/>
        <w:numPr>
          <w:ilvl w:val="0"/>
          <w:numId w:val="2"/>
        </w:numPr>
        <w:spacing w:after="120"/>
        <w:jc w:val="both"/>
      </w:pPr>
      <w:r>
        <w:t xml:space="preserve">Optimize tumor and immune analysis panels and </w:t>
      </w:r>
      <w:proofErr w:type="gramStart"/>
      <w:r>
        <w:t>generate  tissue</w:t>
      </w:r>
      <w:proofErr w:type="gramEnd"/>
      <w:r>
        <w:t xml:space="preserve"> microarrays for analysis.</w:t>
      </w:r>
    </w:p>
    <w:p w14:paraId="37C6D21A" w14:textId="77777777" w:rsidR="00723F02" w:rsidRDefault="00723F02" w:rsidP="00723F02">
      <w:pPr>
        <w:pStyle w:val="ListParagraph"/>
        <w:numPr>
          <w:ilvl w:val="0"/>
          <w:numId w:val="2"/>
        </w:numPr>
        <w:spacing w:after="120"/>
        <w:jc w:val="both"/>
      </w:pPr>
      <w:r w:rsidRPr="00E32940">
        <w:t>Define the expression of protein targets of immunotherapy on tumor cells and other cells in the tumor microenvironment. Define functional phenotypes of tumor</w:t>
      </w:r>
      <w:r>
        <w:t>-</w:t>
      </w:r>
      <w:r w:rsidRPr="00E32940">
        <w:t>associated myeloid cells and lymphocytes.</w:t>
      </w:r>
      <w:r>
        <w:t xml:space="preserve"> </w:t>
      </w:r>
    </w:p>
    <w:p w14:paraId="617701DD" w14:textId="77777777" w:rsidR="00723F02" w:rsidRDefault="00723F02" w:rsidP="00723F02">
      <w:pPr>
        <w:pStyle w:val="ListParagraph"/>
        <w:numPr>
          <w:ilvl w:val="0"/>
          <w:numId w:val="2"/>
        </w:numPr>
        <w:spacing w:after="120"/>
        <w:jc w:val="both"/>
      </w:pPr>
      <w:r>
        <w:t>Integrate tumor-immune protein expression data with clinical and other molecular datasets.</w:t>
      </w:r>
    </w:p>
    <w:p w14:paraId="2D8F73FF" w14:textId="77777777" w:rsidR="00723F02" w:rsidRDefault="00723F02" w:rsidP="00723F02">
      <w:pPr>
        <w:spacing w:after="120"/>
        <w:jc w:val="both"/>
      </w:pPr>
    </w:p>
    <w:p w14:paraId="7361C903" w14:textId="77777777" w:rsidR="00723F02" w:rsidRDefault="00723F02" w:rsidP="00723F02">
      <w:pPr>
        <w:pStyle w:val="ListParagraph"/>
        <w:spacing w:after="120"/>
        <w:jc w:val="both"/>
      </w:pPr>
    </w:p>
    <w:p w14:paraId="09696DF5" w14:textId="77777777" w:rsidR="00723F02" w:rsidRDefault="00723F02" w:rsidP="00723F02">
      <w:pPr>
        <w:spacing w:after="120"/>
        <w:jc w:val="both"/>
        <w:rPr>
          <w:b/>
          <w:bCs/>
        </w:rPr>
      </w:pPr>
      <w:r>
        <w:rPr>
          <w:b/>
          <w:bCs/>
        </w:rPr>
        <w:t>Aim 1. Optimization of tumor and immune panels and assay setup</w:t>
      </w:r>
    </w:p>
    <w:p w14:paraId="2CABF8D7" w14:textId="77777777" w:rsidR="00723F02" w:rsidRDefault="00723F02" w:rsidP="00723F02">
      <w:pPr>
        <w:spacing w:after="120"/>
        <w:jc w:val="both"/>
        <w:rPr>
          <w:rStyle w:val="Strong"/>
          <w:b w:val="0"/>
        </w:rPr>
      </w:pPr>
      <w:r>
        <w:t>Rationale: Aim 1 will lead out the project with the development and optimization of two customized antibody analysis panels. Both panels contain common immune lineage and cell subset markers allowing cross-comparison (Table 2). The ‘</w:t>
      </w:r>
      <w:proofErr w:type="spellStart"/>
      <w:r>
        <w:t>immuno</w:t>
      </w:r>
      <w:proofErr w:type="spellEnd"/>
      <w:r>
        <w:t>’ panel will have a deeper dive into myeloid functional subsets and immunotherapy targets (Table 3</w:t>
      </w:r>
      <w:r w:rsidRPr="00792EAD">
        <w:t>).</w:t>
      </w:r>
      <w:r w:rsidRPr="00C334BA">
        <w:rPr>
          <w:i/>
          <w:iCs/>
        </w:rPr>
        <w:t xml:space="preserve"> </w:t>
      </w:r>
      <w:r>
        <w:t xml:space="preserve">The ‘tumor’ panel will focus on tumor-associated therapeutic targets (Table 4). </w:t>
      </w:r>
    </w:p>
    <w:p w14:paraId="5C7629B8" w14:textId="77777777" w:rsidR="00723F02" w:rsidRDefault="00723F02" w:rsidP="00723F02">
      <w:pPr>
        <w:spacing w:after="120"/>
        <w:jc w:val="both"/>
      </w:pPr>
      <w:r>
        <w:t xml:space="preserve">Limitations in MIBI data acquisition (image acquisition and analysis of relatively large regions of interest (ROI)) make TMAs particularly useful for this project. In generating TMAs, multiple cores, or ROI from a patient block will be selected by a pathologist to represent different histological areas including tumor, stroma, immune infiltrate and TME heterogeneity. TMAs reduce the number of slides that need to be analyzed, increasing the throughput of data acquisition, and enabling the analysis of the total cohort size of 300 samples. Moreover, the fact that multiple </w:t>
      </w:r>
      <w:r>
        <w:lastRenderedPageBreak/>
        <w:t>samples are stained simultaneously on the same slide minimizes experimental variability. Finally, serial sections of the same cohorts can easily be analyzed with multiple panels, such as the immune and tumor panel described here, plus any other validation stains that may arise as follow ups from this work.</w:t>
      </w:r>
    </w:p>
    <w:p w14:paraId="3C2B5AF9" w14:textId="77777777" w:rsidR="00723F02" w:rsidRDefault="00723F02" w:rsidP="00723F02">
      <w:pPr>
        <w:spacing w:after="120"/>
        <w:jc w:val="both"/>
      </w:pPr>
    </w:p>
    <w:p w14:paraId="664DE835" w14:textId="77777777" w:rsidR="00723F02" w:rsidRDefault="00723F02" w:rsidP="00723F02">
      <w:pPr>
        <w:spacing w:after="120"/>
        <w:jc w:val="both"/>
      </w:pPr>
      <w:r>
        <w:rPr>
          <w:b/>
          <w:bCs/>
        </w:rPr>
        <w:t xml:space="preserve">Table 2. Common lineage panel. </w:t>
      </w:r>
      <w:r w:rsidRPr="00C57CAA">
        <w:t>Pan markers across the two antibody panels for the project.</w:t>
      </w:r>
    </w:p>
    <w:tbl>
      <w:tblPr>
        <w:tblStyle w:val="TableGrid"/>
        <w:tblW w:w="0" w:type="auto"/>
        <w:tblLook w:val="04A0" w:firstRow="1" w:lastRow="0" w:firstColumn="1" w:lastColumn="0" w:noHBand="0" w:noVBand="1"/>
      </w:tblPr>
      <w:tblGrid>
        <w:gridCol w:w="2111"/>
        <w:gridCol w:w="5174"/>
        <w:gridCol w:w="2065"/>
      </w:tblGrid>
      <w:tr w:rsidR="00723F02" w:rsidRPr="007904DB" w14:paraId="66ED807D" w14:textId="77777777" w:rsidTr="00BD361D">
        <w:tc>
          <w:tcPr>
            <w:tcW w:w="2111" w:type="dxa"/>
          </w:tcPr>
          <w:p w14:paraId="55D22CB8" w14:textId="77777777" w:rsidR="00723F02" w:rsidRPr="007904DB" w:rsidRDefault="00723F02" w:rsidP="00BD361D">
            <w:pPr>
              <w:spacing w:after="120"/>
              <w:jc w:val="both"/>
              <w:rPr>
                <w:rFonts w:cs="Calibri"/>
                <w:b/>
                <w:sz w:val="22"/>
                <w:szCs w:val="22"/>
              </w:rPr>
            </w:pPr>
            <w:r>
              <w:rPr>
                <w:rFonts w:cs="Calibri"/>
                <w:b/>
                <w:sz w:val="22"/>
                <w:szCs w:val="22"/>
              </w:rPr>
              <w:t>Marker</w:t>
            </w:r>
          </w:p>
        </w:tc>
        <w:tc>
          <w:tcPr>
            <w:tcW w:w="5174" w:type="dxa"/>
          </w:tcPr>
          <w:p w14:paraId="7B0A6528" w14:textId="77777777" w:rsidR="00723F02" w:rsidRPr="007904DB" w:rsidRDefault="00723F02" w:rsidP="00BD361D">
            <w:pPr>
              <w:spacing w:after="120"/>
              <w:jc w:val="both"/>
              <w:rPr>
                <w:rFonts w:cs="Calibri"/>
                <w:b/>
                <w:sz w:val="22"/>
                <w:szCs w:val="22"/>
              </w:rPr>
            </w:pPr>
            <w:r w:rsidRPr="007904DB">
              <w:rPr>
                <w:rFonts w:cs="Calibri"/>
                <w:b/>
                <w:sz w:val="22"/>
                <w:szCs w:val="22"/>
              </w:rPr>
              <w:t>Cell type</w:t>
            </w:r>
            <w:r>
              <w:rPr>
                <w:rFonts w:cs="Calibri"/>
                <w:b/>
                <w:sz w:val="22"/>
                <w:szCs w:val="22"/>
              </w:rPr>
              <w:t xml:space="preserve"> &amp; function</w:t>
            </w:r>
          </w:p>
        </w:tc>
        <w:tc>
          <w:tcPr>
            <w:tcW w:w="2065" w:type="dxa"/>
          </w:tcPr>
          <w:p w14:paraId="58D7B953" w14:textId="77777777" w:rsidR="00723F02" w:rsidRPr="007904DB" w:rsidRDefault="00723F02" w:rsidP="00BD361D">
            <w:pPr>
              <w:spacing w:after="120"/>
              <w:jc w:val="both"/>
              <w:rPr>
                <w:rFonts w:cs="Calibri"/>
                <w:b/>
                <w:sz w:val="22"/>
                <w:szCs w:val="22"/>
              </w:rPr>
            </w:pPr>
            <w:r>
              <w:rPr>
                <w:rFonts w:cs="Calibri"/>
                <w:b/>
                <w:sz w:val="22"/>
                <w:szCs w:val="22"/>
              </w:rPr>
              <w:t>MIBI validated</w:t>
            </w:r>
          </w:p>
        </w:tc>
      </w:tr>
      <w:tr w:rsidR="00723F02" w:rsidRPr="007904DB" w14:paraId="69A20171" w14:textId="77777777" w:rsidTr="00BD361D">
        <w:tc>
          <w:tcPr>
            <w:tcW w:w="2111" w:type="dxa"/>
            <w:vAlign w:val="bottom"/>
          </w:tcPr>
          <w:p w14:paraId="4067255C" w14:textId="77777777" w:rsidR="00723F02" w:rsidRPr="003F1248" w:rsidRDefault="00723F02" w:rsidP="00BD361D">
            <w:pPr>
              <w:spacing w:after="120"/>
              <w:jc w:val="both"/>
              <w:rPr>
                <w:color w:val="000000" w:themeColor="text1"/>
                <w:sz w:val="22"/>
                <w:szCs w:val="22"/>
              </w:rPr>
            </w:pPr>
            <w:r>
              <w:rPr>
                <w:color w:val="000000" w:themeColor="text1"/>
                <w:sz w:val="22"/>
                <w:szCs w:val="22"/>
              </w:rPr>
              <w:t>CD45</w:t>
            </w:r>
          </w:p>
        </w:tc>
        <w:tc>
          <w:tcPr>
            <w:tcW w:w="5174" w:type="dxa"/>
          </w:tcPr>
          <w:p w14:paraId="50110E1E" w14:textId="77777777" w:rsidR="00723F02" w:rsidRDefault="00723F02" w:rsidP="00BD361D">
            <w:pPr>
              <w:spacing w:after="120"/>
              <w:jc w:val="both"/>
              <w:rPr>
                <w:color w:val="000000" w:themeColor="text1"/>
                <w:sz w:val="22"/>
                <w:szCs w:val="22"/>
              </w:rPr>
            </w:pPr>
            <w:r>
              <w:rPr>
                <w:color w:val="000000" w:themeColor="text1"/>
                <w:sz w:val="22"/>
                <w:szCs w:val="22"/>
              </w:rPr>
              <w:t>All differentiated hematopoietic cells. Protein tyrosine phosphatase, regulates immune receptor signaling.</w:t>
            </w:r>
          </w:p>
        </w:tc>
        <w:tc>
          <w:tcPr>
            <w:tcW w:w="2065" w:type="dxa"/>
          </w:tcPr>
          <w:p w14:paraId="39576A9E" w14:textId="77777777" w:rsidR="00723F02" w:rsidRPr="00AE6CA8" w:rsidRDefault="00723F02" w:rsidP="00BD361D">
            <w:pPr>
              <w:spacing w:after="120"/>
              <w:jc w:val="both"/>
              <w:rPr>
                <w:color w:val="000000" w:themeColor="text1"/>
                <w:sz w:val="22"/>
                <w:szCs w:val="22"/>
              </w:rPr>
            </w:pPr>
            <w:r w:rsidRPr="00AE6CA8">
              <w:rPr>
                <w:rFonts w:ascii="Calibri" w:hAnsi="Calibri"/>
                <w:color w:val="000000" w:themeColor="text1"/>
                <w:sz w:val="22"/>
                <w:szCs w:val="22"/>
              </w:rPr>
              <w:sym w:font="Wingdings" w:char="F0FC"/>
            </w:r>
          </w:p>
        </w:tc>
      </w:tr>
      <w:tr w:rsidR="00723F02" w:rsidRPr="007904DB" w14:paraId="5C1DE61F" w14:textId="77777777" w:rsidTr="00BD361D">
        <w:tc>
          <w:tcPr>
            <w:tcW w:w="2111" w:type="dxa"/>
            <w:vAlign w:val="bottom"/>
          </w:tcPr>
          <w:p w14:paraId="071E4849" w14:textId="77777777" w:rsidR="00723F02" w:rsidRPr="003F1248" w:rsidRDefault="00723F02" w:rsidP="00BD361D">
            <w:pPr>
              <w:spacing w:after="120"/>
              <w:jc w:val="both"/>
              <w:rPr>
                <w:color w:val="000000" w:themeColor="text1"/>
                <w:sz w:val="22"/>
                <w:szCs w:val="22"/>
              </w:rPr>
            </w:pPr>
            <w:r w:rsidRPr="003F1248">
              <w:rPr>
                <w:color w:val="000000" w:themeColor="text1"/>
                <w:sz w:val="22"/>
                <w:szCs w:val="22"/>
              </w:rPr>
              <w:t>dsDNA</w:t>
            </w:r>
          </w:p>
        </w:tc>
        <w:tc>
          <w:tcPr>
            <w:tcW w:w="5174" w:type="dxa"/>
          </w:tcPr>
          <w:p w14:paraId="2FC7D224" w14:textId="77777777" w:rsidR="00723F02" w:rsidRDefault="00723F02" w:rsidP="00BD361D">
            <w:pPr>
              <w:spacing w:after="120"/>
              <w:jc w:val="both"/>
              <w:rPr>
                <w:color w:val="000000" w:themeColor="text1"/>
                <w:sz w:val="22"/>
                <w:szCs w:val="22"/>
              </w:rPr>
            </w:pPr>
            <w:r>
              <w:rPr>
                <w:color w:val="000000" w:themeColor="text1"/>
                <w:sz w:val="22"/>
                <w:szCs w:val="22"/>
              </w:rPr>
              <w:t>Nucleated cells.</w:t>
            </w:r>
          </w:p>
        </w:tc>
        <w:tc>
          <w:tcPr>
            <w:tcW w:w="2065" w:type="dxa"/>
          </w:tcPr>
          <w:p w14:paraId="1FD57CB5" w14:textId="77777777" w:rsidR="00723F02" w:rsidRDefault="00723F02" w:rsidP="00BD361D">
            <w:pPr>
              <w:spacing w:after="120"/>
              <w:jc w:val="both"/>
              <w:rPr>
                <w:color w:val="000000" w:themeColor="text1"/>
                <w:sz w:val="22"/>
                <w:szCs w:val="22"/>
              </w:rPr>
            </w:pPr>
            <w:r w:rsidRPr="00AE6CA8">
              <w:rPr>
                <w:rFonts w:ascii="Calibri" w:hAnsi="Calibri"/>
                <w:color w:val="000000" w:themeColor="text1"/>
                <w:sz w:val="22"/>
                <w:szCs w:val="22"/>
              </w:rPr>
              <w:sym w:font="Wingdings" w:char="F0FC"/>
            </w:r>
          </w:p>
        </w:tc>
      </w:tr>
      <w:tr w:rsidR="00723F02" w:rsidRPr="007904DB" w14:paraId="4835C7CF" w14:textId="77777777" w:rsidTr="00BD361D">
        <w:tc>
          <w:tcPr>
            <w:tcW w:w="2111" w:type="dxa"/>
            <w:vAlign w:val="center"/>
          </w:tcPr>
          <w:p w14:paraId="02122036" w14:textId="77777777" w:rsidR="00723F02" w:rsidRDefault="00723F02" w:rsidP="00BD361D">
            <w:pPr>
              <w:spacing w:after="120"/>
              <w:jc w:val="both"/>
              <w:rPr>
                <w:rFonts w:cs="Calibri"/>
                <w:sz w:val="22"/>
                <w:szCs w:val="22"/>
              </w:rPr>
            </w:pPr>
            <w:r w:rsidRPr="003F1248">
              <w:rPr>
                <w:color w:val="000000" w:themeColor="text1"/>
                <w:sz w:val="22"/>
                <w:szCs w:val="22"/>
              </w:rPr>
              <w:t>CD31</w:t>
            </w:r>
            <w:r>
              <w:rPr>
                <w:color w:val="000000" w:themeColor="text1"/>
                <w:sz w:val="22"/>
                <w:szCs w:val="22"/>
              </w:rPr>
              <w:t xml:space="preserve"> (PECAM1)</w:t>
            </w:r>
          </w:p>
        </w:tc>
        <w:tc>
          <w:tcPr>
            <w:tcW w:w="5174" w:type="dxa"/>
          </w:tcPr>
          <w:p w14:paraId="0C6A6F24" w14:textId="77777777" w:rsidR="00723F02" w:rsidRPr="007904DB" w:rsidRDefault="00723F02" w:rsidP="00BD361D">
            <w:pPr>
              <w:spacing w:after="120"/>
              <w:jc w:val="both"/>
              <w:rPr>
                <w:rFonts w:cs="Calibri"/>
                <w:sz w:val="22"/>
                <w:szCs w:val="22"/>
              </w:rPr>
            </w:pPr>
            <w:r>
              <w:rPr>
                <w:color w:val="000000" w:themeColor="text1"/>
                <w:sz w:val="22"/>
                <w:szCs w:val="22"/>
              </w:rPr>
              <w:t>Endothelia, angiogenic tumors, monocyte, neutrophil, T cell</w:t>
            </w:r>
          </w:p>
        </w:tc>
        <w:tc>
          <w:tcPr>
            <w:tcW w:w="2065" w:type="dxa"/>
          </w:tcPr>
          <w:p w14:paraId="6A368268" w14:textId="77777777" w:rsidR="00723F02" w:rsidRDefault="00723F02" w:rsidP="00BD361D">
            <w:pPr>
              <w:spacing w:after="120"/>
              <w:jc w:val="both"/>
              <w:rPr>
                <w:color w:val="000000" w:themeColor="text1"/>
                <w:sz w:val="22"/>
                <w:szCs w:val="22"/>
              </w:rPr>
            </w:pPr>
            <w:r w:rsidRPr="00C96CBB">
              <w:rPr>
                <w:rFonts w:ascii="Calibri" w:hAnsi="Calibri"/>
                <w:color w:val="000000" w:themeColor="text1"/>
                <w:sz w:val="22"/>
                <w:szCs w:val="22"/>
              </w:rPr>
              <w:sym w:font="Wingdings" w:char="F0FC"/>
            </w:r>
          </w:p>
        </w:tc>
      </w:tr>
      <w:tr w:rsidR="00723F02" w:rsidRPr="007904DB" w14:paraId="33E51337" w14:textId="77777777" w:rsidTr="00BD361D">
        <w:tc>
          <w:tcPr>
            <w:tcW w:w="2111" w:type="dxa"/>
          </w:tcPr>
          <w:p w14:paraId="523F1A4D" w14:textId="77777777" w:rsidR="00723F02" w:rsidRPr="007904DB" w:rsidRDefault="00723F02" w:rsidP="00BD361D">
            <w:pPr>
              <w:spacing w:after="120"/>
              <w:jc w:val="both"/>
              <w:rPr>
                <w:rFonts w:cs="Calibri"/>
                <w:sz w:val="22"/>
                <w:szCs w:val="22"/>
              </w:rPr>
            </w:pPr>
            <w:r>
              <w:rPr>
                <w:rFonts w:cs="Calibri"/>
                <w:sz w:val="22"/>
                <w:szCs w:val="22"/>
              </w:rPr>
              <w:t>Ki-67</w:t>
            </w:r>
          </w:p>
        </w:tc>
        <w:tc>
          <w:tcPr>
            <w:tcW w:w="5174" w:type="dxa"/>
          </w:tcPr>
          <w:p w14:paraId="59E0EE76" w14:textId="77777777" w:rsidR="00723F02" w:rsidRPr="007904DB" w:rsidRDefault="00723F02" w:rsidP="00BD361D">
            <w:pPr>
              <w:spacing w:after="120"/>
              <w:jc w:val="both"/>
              <w:rPr>
                <w:rFonts w:cs="Calibri"/>
                <w:sz w:val="22"/>
                <w:szCs w:val="22"/>
              </w:rPr>
            </w:pPr>
            <w:r>
              <w:rPr>
                <w:rFonts w:cs="Calibri"/>
                <w:sz w:val="22"/>
                <w:szCs w:val="22"/>
              </w:rPr>
              <w:t xml:space="preserve">Nuclear marker. Proliferating cells. </w:t>
            </w:r>
          </w:p>
        </w:tc>
        <w:tc>
          <w:tcPr>
            <w:tcW w:w="2065" w:type="dxa"/>
          </w:tcPr>
          <w:p w14:paraId="252913B0" w14:textId="77777777" w:rsidR="00723F02" w:rsidRDefault="00723F02" w:rsidP="00BD361D">
            <w:pPr>
              <w:spacing w:after="120"/>
              <w:jc w:val="both"/>
              <w:rPr>
                <w:rFonts w:cs="Calibri"/>
                <w:sz w:val="22"/>
                <w:szCs w:val="22"/>
              </w:rPr>
            </w:pPr>
            <w:r w:rsidRPr="00C96CBB">
              <w:rPr>
                <w:rFonts w:ascii="Calibri" w:hAnsi="Calibri"/>
                <w:color w:val="000000" w:themeColor="text1"/>
                <w:sz w:val="22"/>
                <w:szCs w:val="22"/>
              </w:rPr>
              <w:sym w:font="Wingdings" w:char="F0FC"/>
            </w:r>
          </w:p>
        </w:tc>
      </w:tr>
      <w:tr w:rsidR="00723F02" w:rsidRPr="007904DB" w14:paraId="233BDC60" w14:textId="77777777" w:rsidTr="00BD361D">
        <w:tc>
          <w:tcPr>
            <w:tcW w:w="2111" w:type="dxa"/>
            <w:vAlign w:val="center"/>
          </w:tcPr>
          <w:p w14:paraId="761EFB5F" w14:textId="77777777" w:rsidR="00723F02" w:rsidRDefault="00723F02" w:rsidP="00BD361D">
            <w:pPr>
              <w:spacing w:after="120"/>
              <w:jc w:val="both"/>
              <w:rPr>
                <w:rFonts w:cs="Calibri"/>
                <w:sz w:val="22"/>
                <w:szCs w:val="22"/>
              </w:rPr>
            </w:pPr>
            <w:r w:rsidRPr="003F1248">
              <w:rPr>
                <w:color w:val="000000" w:themeColor="text1"/>
                <w:sz w:val="22"/>
                <w:szCs w:val="22"/>
              </w:rPr>
              <w:t>Cyclin D1</w:t>
            </w:r>
          </w:p>
        </w:tc>
        <w:tc>
          <w:tcPr>
            <w:tcW w:w="5174" w:type="dxa"/>
          </w:tcPr>
          <w:p w14:paraId="1D9E55EA" w14:textId="77777777" w:rsidR="00723F02" w:rsidRPr="007904DB" w:rsidRDefault="00723F02" w:rsidP="00BD361D">
            <w:pPr>
              <w:spacing w:after="120"/>
              <w:jc w:val="both"/>
              <w:rPr>
                <w:rFonts w:cs="Calibri"/>
                <w:sz w:val="22"/>
                <w:szCs w:val="22"/>
              </w:rPr>
            </w:pPr>
            <w:r>
              <w:rPr>
                <w:color w:val="000000" w:themeColor="text1"/>
                <w:sz w:val="22"/>
                <w:szCs w:val="22"/>
              </w:rPr>
              <w:t xml:space="preserve">Nuclear marker. Proliferating cells. </w:t>
            </w:r>
          </w:p>
        </w:tc>
        <w:tc>
          <w:tcPr>
            <w:tcW w:w="2065" w:type="dxa"/>
          </w:tcPr>
          <w:p w14:paraId="5E52A2C9" w14:textId="77777777" w:rsidR="00723F02" w:rsidRDefault="00723F02" w:rsidP="00BD361D">
            <w:pPr>
              <w:spacing w:after="120"/>
              <w:jc w:val="both"/>
              <w:rPr>
                <w:color w:val="000000" w:themeColor="text1"/>
                <w:sz w:val="22"/>
                <w:szCs w:val="22"/>
              </w:rPr>
            </w:pPr>
            <w:r>
              <w:rPr>
                <w:rFonts w:ascii="Calibri" w:hAnsi="Calibri" w:cs="Calibri"/>
                <w:sz w:val="22"/>
                <w:szCs w:val="22"/>
              </w:rPr>
              <w:sym w:font="Wingdings" w:char="F0FB"/>
            </w:r>
          </w:p>
        </w:tc>
      </w:tr>
      <w:tr w:rsidR="00723F02" w:rsidRPr="007904DB" w14:paraId="294CD03F" w14:textId="77777777" w:rsidTr="00BD361D">
        <w:tc>
          <w:tcPr>
            <w:tcW w:w="2111" w:type="dxa"/>
          </w:tcPr>
          <w:p w14:paraId="4A82232B" w14:textId="77777777" w:rsidR="00723F02" w:rsidRPr="007904DB" w:rsidRDefault="00723F02" w:rsidP="00BD361D">
            <w:pPr>
              <w:spacing w:after="120"/>
              <w:jc w:val="both"/>
              <w:rPr>
                <w:rFonts w:cs="Calibri"/>
                <w:sz w:val="22"/>
                <w:szCs w:val="22"/>
              </w:rPr>
            </w:pPr>
            <w:r>
              <w:rPr>
                <w:rFonts w:cs="Calibri"/>
                <w:sz w:val="22"/>
                <w:szCs w:val="22"/>
              </w:rPr>
              <w:t>Neu-N</w:t>
            </w:r>
          </w:p>
        </w:tc>
        <w:tc>
          <w:tcPr>
            <w:tcW w:w="5174" w:type="dxa"/>
          </w:tcPr>
          <w:p w14:paraId="7D8C0FB8" w14:textId="77777777" w:rsidR="00723F02" w:rsidRPr="007904DB" w:rsidRDefault="00723F02" w:rsidP="00BD361D">
            <w:pPr>
              <w:spacing w:after="120"/>
              <w:jc w:val="both"/>
              <w:rPr>
                <w:rFonts w:cs="Calibri"/>
                <w:sz w:val="22"/>
                <w:szCs w:val="22"/>
              </w:rPr>
            </w:pPr>
            <w:r>
              <w:rPr>
                <w:rFonts w:cs="Calibri"/>
                <w:sz w:val="22"/>
                <w:szCs w:val="22"/>
              </w:rPr>
              <w:t>Neurons. Nuclear protein.</w:t>
            </w:r>
          </w:p>
        </w:tc>
        <w:tc>
          <w:tcPr>
            <w:tcW w:w="2065" w:type="dxa"/>
          </w:tcPr>
          <w:p w14:paraId="014403A7" w14:textId="77777777" w:rsidR="00723F02" w:rsidRDefault="00723F02" w:rsidP="00BD361D">
            <w:pPr>
              <w:spacing w:after="120"/>
              <w:jc w:val="both"/>
              <w:rPr>
                <w:rFonts w:cs="Calibri"/>
                <w:sz w:val="22"/>
                <w:szCs w:val="22"/>
              </w:rPr>
            </w:pPr>
            <w:r w:rsidRPr="00C96CBB">
              <w:rPr>
                <w:rFonts w:ascii="Calibri" w:hAnsi="Calibri"/>
                <w:color w:val="000000" w:themeColor="text1"/>
                <w:sz w:val="22"/>
                <w:szCs w:val="22"/>
              </w:rPr>
              <w:sym w:font="Wingdings" w:char="F0FC"/>
            </w:r>
          </w:p>
        </w:tc>
      </w:tr>
      <w:tr w:rsidR="00723F02" w:rsidRPr="007904DB" w14:paraId="3EFF6DB2" w14:textId="77777777" w:rsidTr="00BD361D">
        <w:tc>
          <w:tcPr>
            <w:tcW w:w="2111" w:type="dxa"/>
            <w:vAlign w:val="center"/>
          </w:tcPr>
          <w:p w14:paraId="02DDCBAC" w14:textId="77777777" w:rsidR="00723F02" w:rsidRDefault="00723F02" w:rsidP="00BD361D">
            <w:pPr>
              <w:spacing w:after="120"/>
              <w:jc w:val="both"/>
              <w:rPr>
                <w:rFonts w:cs="Calibri"/>
                <w:sz w:val="22"/>
                <w:szCs w:val="22"/>
              </w:rPr>
            </w:pPr>
            <w:r w:rsidRPr="003F1248">
              <w:rPr>
                <w:color w:val="000000" w:themeColor="text1"/>
                <w:sz w:val="22"/>
                <w:szCs w:val="22"/>
              </w:rPr>
              <w:t>CD45</w:t>
            </w:r>
            <w:r>
              <w:rPr>
                <w:color w:val="000000" w:themeColor="text1"/>
                <w:sz w:val="22"/>
                <w:szCs w:val="22"/>
              </w:rPr>
              <w:t xml:space="preserve"> (PTPRC)</w:t>
            </w:r>
          </w:p>
        </w:tc>
        <w:tc>
          <w:tcPr>
            <w:tcW w:w="5174" w:type="dxa"/>
          </w:tcPr>
          <w:p w14:paraId="11DB28BE" w14:textId="77777777" w:rsidR="00723F02" w:rsidRDefault="00723F02" w:rsidP="00BD361D">
            <w:pPr>
              <w:spacing w:after="120"/>
              <w:jc w:val="both"/>
              <w:rPr>
                <w:rFonts w:cs="Calibri"/>
                <w:sz w:val="22"/>
                <w:szCs w:val="22"/>
              </w:rPr>
            </w:pPr>
            <w:r>
              <w:rPr>
                <w:color w:val="000000" w:themeColor="text1"/>
                <w:sz w:val="22"/>
                <w:szCs w:val="22"/>
              </w:rPr>
              <w:t>Differentiated hematopoietic cells. Protein tyrosine phosphatase.</w:t>
            </w:r>
          </w:p>
        </w:tc>
        <w:tc>
          <w:tcPr>
            <w:tcW w:w="2065" w:type="dxa"/>
          </w:tcPr>
          <w:p w14:paraId="1FB6B30B" w14:textId="77777777" w:rsidR="00723F02" w:rsidRDefault="00723F02" w:rsidP="00BD361D">
            <w:pPr>
              <w:spacing w:after="120"/>
              <w:jc w:val="both"/>
              <w:rPr>
                <w:color w:val="000000" w:themeColor="text1"/>
                <w:sz w:val="22"/>
                <w:szCs w:val="22"/>
              </w:rPr>
            </w:pPr>
            <w:r w:rsidRPr="00C96CBB">
              <w:rPr>
                <w:rFonts w:ascii="Calibri" w:hAnsi="Calibri"/>
                <w:color w:val="000000" w:themeColor="text1"/>
                <w:sz w:val="22"/>
                <w:szCs w:val="22"/>
              </w:rPr>
              <w:sym w:font="Wingdings" w:char="F0FC"/>
            </w:r>
          </w:p>
        </w:tc>
      </w:tr>
      <w:tr w:rsidR="00723F02" w:rsidRPr="007904DB" w14:paraId="3B4A720F" w14:textId="77777777" w:rsidTr="00BD361D">
        <w:tc>
          <w:tcPr>
            <w:tcW w:w="2111" w:type="dxa"/>
          </w:tcPr>
          <w:p w14:paraId="68202CCD" w14:textId="77777777" w:rsidR="00723F02" w:rsidRPr="007904DB" w:rsidRDefault="00723F02" w:rsidP="00BD361D">
            <w:pPr>
              <w:spacing w:after="120"/>
              <w:jc w:val="both"/>
              <w:rPr>
                <w:rFonts w:cs="Calibri"/>
                <w:sz w:val="22"/>
                <w:szCs w:val="22"/>
              </w:rPr>
            </w:pPr>
            <w:r>
              <w:rPr>
                <w:rFonts w:cs="Calibri"/>
                <w:sz w:val="22"/>
                <w:szCs w:val="22"/>
              </w:rPr>
              <w:t>TMEM119</w:t>
            </w:r>
          </w:p>
        </w:tc>
        <w:tc>
          <w:tcPr>
            <w:tcW w:w="5174" w:type="dxa"/>
          </w:tcPr>
          <w:p w14:paraId="3563A29E" w14:textId="77777777" w:rsidR="00723F02" w:rsidRPr="007904DB" w:rsidRDefault="00723F02" w:rsidP="00BD361D">
            <w:pPr>
              <w:spacing w:after="120"/>
              <w:jc w:val="both"/>
              <w:rPr>
                <w:rFonts w:cs="Calibri"/>
                <w:sz w:val="22"/>
                <w:szCs w:val="22"/>
              </w:rPr>
            </w:pPr>
            <w:r>
              <w:rPr>
                <w:rFonts w:cs="Calibri"/>
                <w:sz w:val="22"/>
                <w:szCs w:val="22"/>
              </w:rPr>
              <w:t>Microglia. Trans-membrane. Unknown</w:t>
            </w:r>
            <w:r w:rsidRPr="007904DB">
              <w:rPr>
                <w:rFonts w:cs="Calibri"/>
                <w:sz w:val="22"/>
                <w:szCs w:val="22"/>
              </w:rPr>
              <w:t xml:space="preserve"> </w:t>
            </w:r>
            <w:r>
              <w:rPr>
                <w:rFonts w:cs="Calibri"/>
                <w:sz w:val="22"/>
                <w:szCs w:val="22"/>
              </w:rPr>
              <w:t>function.</w:t>
            </w:r>
          </w:p>
        </w:tc>
        <w:tc>
          <w:tcPr>
            <w:tcW w:w="2065" w:type="dxa"/>
          </w:tcPr>
          <w:p w14:paraId="4A6261B0" w14:textId="77777777" w:rsidR="00723F02" w:rsidRDefault="00723F02" w:rsidP="00BD361D">
            <w:pPr>
              <w:spacing w:after="120"/>
              <w:jc w:val="both"/>
              <w:rPr>
                <w:rFonts w:cs="Calibri"/>
                <w:sz w:val="22"/>
                <w:szCs w:val="22"/>
              </w:rPr>
            </w:pPr>
            <w:r w:rsidRPr="00C96CBB">
              <w:rPr>
                <w:rFonts w:ascii="Calibri" w:hAnsi="Calibri"/>
                <w:color w:val="000000" w:themeColor="text1"/>
                <w:sz w:val="22"/>
                <w:szCs w:val="22"/>
              </w:rPr>
              <w:sym w:font="Wingdings" w:char="F0FC"/>
            </w:r>
          </w:p>
        </w:tc>
      </w:tr>
      <w:tr w:rsidR="00723F02" w:rsidRPr="007904DB" w14:paraId="40B457EB" w14:textId="77777777" w:rsidTr="00BD361D">
        <w:tc>
          <w:tcPr>
            <w:tcW w:w="2111" w:type="dxa"/>
          </w:tcPr>
          <w:p w14:paraId="32066A1D" w14:textId="77777777" w:rsidR="00723F02" w:rsidRDefault="00723F02" w:rsidP="00BD361D">
            <w:pPr>
              <w:spacing w:after="120"/>
              <w:jc w:val="both"/>
              <w:rPr>
                <w:rFonts w:cs="Calibri"/>
                <w:sz w:val="22"/>
                <w:szCs w:val="22"/>
              </w:rPr>
            </w:pPr>
            <w:r>
              <w:rPr>
                <w:color w:val="000000" w:themeColor="text1"/>
                <w:sz w:val="22"/>
                <w:szCs w:val="22"/>
              </w:rPr>
              <w:t>Glial fibrillary acidic protein (</w:t>
            </w:r>
            <w:r>
              <w:rPr>
                <w:rFonts w:cs="Calibri"/>
                <w:sz w:val="22"/>
                <w:szCs w:val="22"/>
              </w:rPr>
              <w:t>GFAP)</w:t>
            </w:r>
          </w:p>
        </w:tc>
        <w:tc>
          <w:tcPr>
            <w:tcW w:w="5174" w:type="dxa"/>
          </w:tcPr>
          <w:p w14:paraId="3B21AB02" w14:textId="77777777" w:rsidR="00723F02" w:rsidRDefault="00723F02" w:rsidP="00BD361D">
            <w:pPr>
              <w:spacing w:after="120"/>
              <w:jc w:val="both"/>
              <w:rPr>
                <w:rFonts w:cs="Calibri"/>
                <w:sz w:val="22"/>
                <w:szCs w:val="22"/>
              </w:rPr>
            </w:pPr>
            <w:r>
              <w:rPr>
                <w:rFonts w:cs="Calibri"/>
                <w:sz w:val="22"/>
                <w:szCs w:val="22"/>
              </w:rPr>
              <w:t>Astrocyte. Cytoskeletal protein.</w:t>
            </w:r>
          </w:p>
        </w:tc>
        <w:tc>
          <w:tcPr>
            <w:tcW w:w="2065" w:type="dxa"/>
          </w:tcPr>
          <w:p w14:paraId="15AA48B7" w14:textId="77777777" w:rsidR="00723F02" w:rsidRDefault="00723F02" w:rsidP="00BD361D">
            <w:pPr>
              <w:spacing w:after="120"/>
              <w:jc w:val="both"/>
              <w:rPr>
                <w:rFonts w:cs="Calibri"/>
                <w:sz w:val="22"/>
                <w:szCs w:val="22"/>
              </w:rPr>
            </w:pPr>
            <w:r w:rsidRPr="00C96CBB">
              <w:rPr>
                <w:rFonts w:ascii="Calibri" w:hAnsi="Calibri"/>
                <w:color w:val="000000" w:themeColor="text1"/>
                <w:sz w:val="22"/>
                <w:szCs w:val="22"/>
              </w:rPr>
              <w:sym w:font="Wingdings" w:char="F0FC"/>
            </w:r>
          </w:p>
        </w:tc>
      </w:tr>
      <w:tr w:rsidR="00723F02" w:rsidRPr="007904DB" w14:paraId="7169D263" w14:textId="77777777" w:rsidTr="00BD361D">
        <w:tc>
          <w:tcPr>
            <w:tcW w:w="2111" w:type="dxa"/>
          </w:tcPr>
          <w:p w14:paraId="619D9821" w14:textId="77777777" w:rsidR="00723F02" w:rsidRPr="007904DB" w:rsidRDefault="00723F02" w:rsidP="00BD361D">
            <w:pPr>
              <w:spacing w:after="120"/>
              <w:jc w:val="both"/>
              <w:rPr>
                <w:rFonts w:cs="Calibri"/>
                <w:sz w:val="22"/>
                <w:szCs w:val="22"/>
              </w:rPr>
            </w:pPr>
            <w:r>
              <w:rPr>
                <w:rFonts w:cs="Calibri"/>
                <w:sz w:val="22"/>
                <w:szCs w:val="22"/>
              </w:rPr>
              <w:t>CD105</w:t>
            </w:r>
          </w:p>
        </w:tc>
        <w:tc>
          <w:tcPr>
            <w:tcW w:w="5174" w:type="dxa"/>
          </w:tcPr>
          <w:p w14:paraId="75E207F2" w14:textId="77777777" w:rsidR="00723F02" w:rsidRPr="007904DB" w:rsidRDefault="00723F02" w:rsidP="00BD361D">
            <w:pPr>
              <w:spacing w:after="120"/>
              <w:jc w:val="both"/>
              <w:rPr>
                <w:rFonts w:cs="Calibri"/>
                <w:sz w:val="22"/>
                <w:szCs w:val="22"/>
              </w:rPr>
            </w:pPr>
            <w:r>
              <w:rPr>
                <w:color w:val="000000" w:themeColor="text1"/>
                <w:sz w:val="22"/>
                <w:szCs w:val="22"/>
              </w:rPr>
              <w:t xml:space="preserve">Tumor associated angiogenic blood vessels. Receptor for </w:t>
            </w:r>
            <w:proofErr w:type="spellStart"/>
            <w:r>
              <w:rPr>
                <w:color w:val="000000" w:themeColor="text1"/>
                <w:sz w:val="22"/>
                <w:szCs w:val="22"/>
              </w:rPr>
              <w:t>TGFb</w:t>
            </w:r>
            <w:proofErr w:type="spellEnd"/>
            <w:r>
              <w:rPr>
                <w:color w:val="000000" w:themeColor="text1"/>
                <w:sz w:val="22"/>
                <w:szCs w:val="22"/>
              </w:rPr>
              <w:t>.</w:t>
            </w:r>
          </w:p>
        </w:tc>
        <w:tc>
          <w:tcPr>
            <w:tcW w:w="2065" w:type="dxa"/>
          </w:tcPr>
          <w:p w14:paraId="7B57C692" w14:textId="77777777" w:rsidR="00723F02" w:rsidRDefault="00723F02" w:rsidP="00BD361D">
            <w:pPr>
              <w:spacing w:after="120"/>
              <w:jc w:val="both"/>
              <w:rPr>
                <w:color w:val="000000" w:themeColor="text1"/>
                <w:sz w:val="22"/>
                <w:szCs w:val="22"/>
              </w:rPr>
            </w:pPr>
            <w:r w:rsidRPr="00C96CBB">
              <w:rPr>
                <w:rFonts w:ascii="Calibri" w:hAnsi="Calibri"/>
                <w:color w:val="000000" w:themeColor="text1"/>
                <w:sz w:val="22"/>
                <w:szCs w:val="22"/>
              </w:rPr>
              <w:sym w:font="Wingdings" w:char="F0FC"/>
            </w:r>
          </w:p>
        </w:tc>
      </w:tr>
      <w:tr w:rsidR="00723F02" w:rsidRPr="007904DB" w14:paraId="28CE81E8" w14:textId="77777777" w:rsidTr="00BD361D">
        <w:tc>
          <w:tcPr>
            <w:tcW w:w="2111" w:type="dxa"/>
          </w:tcPr>
          <w:p w14:paraId="03B909D8" w14:textId="77777777" w:rsidR="00723F02" w:rsidRPr="007904DB" w:rsidRDefault="00723F02" w:rsidP="00BD361D">
            <w:pPr>
              <w:spacing w:after="120"/>
              <w:jc w:val="both"/>
              <w:rPr>
                <w:rFonts w:cs="Calibri"/>
                <w:sz w:val="22"/>
                <w:szCs w:val="22"/>
              </w:rPr>
            </w:pPr>
            <w:r>
              <w:rPr>
                <w:rFonts w:cs="Calibri"/>
                <w:sz w:val="22"/>
                <w:szCs w:val="22"/>
              </w:rPr>
              <w:t>CD133</w:t>
            </w:r>
          </w:p>
        </w:tc>
        <w:tc>
          <w:tcPr>
            <w:tcW w:w="5174" w:type="dxa"/>
          </w:tcPr>
          <w:p w14:paraId="6CBB49E8" w14:textId="77777777" w:rsidR="00723F02" w:rsidRPr="007904DB" w:rsidRDefault="00723F02" w:rsidP="00BD361D">
            <w:pPr>
              <w:spacing w:after="120"/>
              <w:jc w:val="both"/>
              <w:rPr>
                <w:rFonts w:cs="Calibri"/>
                <w:sz w:val="22"/>
                <w:szCs w:val="22"/>
              </w:rPr>
            </w:pPr>
            <w:r>
              <w:rPr>
                <w:color w:val="000000" w:themeColor="text1"/>
                <w:sz w:val="22"/>
                <w:szCs w:val="22"/>
              </w:rPr>
              <w:t>Cancer stem cell marker</w:t>
            </w:r>
          </w:p>
        </w:tc>
        <w:tc>
          <w:tcPr>
            <w:tcW w:w="2065" w:type="dxa"/>
          </w:tcPr>
          <w:p w14:paraId="680F2A16" w14:textId="77777777" w:rsidR="00723F02" w:rsidRDefault="00723F02" w:rsidP="00BD361D">
            <w:pPr>
              <w:spacing w:after="120"/>
              <w:jc w:val="both"/>
              <w:rPr>
                <w:color w:val="000000" w:themeColor="text1"/>
                <w:sz w:val="22"/>
                <w:szCs w:val="22"/>
              </w:rPr>
            </w:pPr>
            <w:r w:rsidRPr="00C96CBB">
              <w:rPr>
                <w:rFonts w:ascii="Calibri" w:hAnsi="Calibri"/>
                <w:color w:val="000000" w:themeColor="text1"/>
                <w:sz w:val="22"/>
                <w:szCs w:val="22"/>
              </w:rPr>
              <w:sym w:font="Wingdings" w:char="F0FC"/>
            </w:r>
          </w:p>
        </w:tc>
      </w:tr>
      <w:tr w:rsidR="00723F02" w:rsidRPr="007904DB" w14:paraId="5C628B00" w14:textId="77777777" w:rsidTr="00BD361D">
        <w:tc>
          <w:tcPr>
            <w:tcW w:w="2111" w:type="dxa"/>
            <w:vAlign w:val="center"/>
          </w:tcPr>
          <w:p w14:paraId="155A7B0C" w14:textId="77777777" w:rsidR="00723F02" w:rsidRPr="007904DB" w:rsidRDefault="00723F02" w:rsidP="00BD361D">
            <w:pPr>
              <w:spacing w:after="120"/>
              <w:jc w:val="both"/>
              <w:rPr>
                <w:rFonts w:cs="Calibri"/>
                <w:sz w:val="22"/>
                <w:szCs w:val="22"/>
              </w:rPr>
            </w:pPr>
            <w:r w:rsidRPr="003F1248">
              <w:rPr>
                <w:color w:val="000000" w:themeColor="text1"/>
                <w:sz w:val="22"/>
                <w:szCs w:val="22"/>
              </w:rPr>
              <w:t>CD163</w:t>
            </w:r>
          </w:p>
        </w:tc>
        <w:tc>
          <w:tcPr>
            <w:tcW w:w="5174" w:type="dxa"/>
          </w:tcPr>
          <w:p w14:paraId="4B2F4610" w14:textId="77777777" w:rsidR="00723F02" w:rsidRPr="007904DB" w:rsidRDefault="00723F02" w:rsidP="00BD361D">
            <w:pPr>
              <w:spacing w:after="120"/>
              <w:jc w:val="both"/>
              <w:rPr>
                <w:rFonts w:cs="Calibri"/>
                <w:sz w:val="22"/>
                <w:szCs w:val="22"/>
              </w:rPr>
            </w:pPr>
            <w:r>
              <w:rPr>
                <w:color w:val="000000" w:themeColor="text1"/>
                <w:sz w:val="22"/>
                <w:szCs w:val="22"/>
              </w:rPr>
              <w:t>Macrophage. Hemoglobin scavenger R.</w:t>
            </w:r>
          </w:p>
        </w:tc>
        <w:tc>
          <w:tcPr>
            <w:tcW w:w="2065" w:type="dxa"/>
          </w:tcPr>
          <w:p w14:paraId="6F9FB152" w14:textId="77777777" w:rsidR="00723F02" w:rsidRDefault="00723F02" w:rsidP="00BD361D">
            <w:pPr>
              <w:spacing w:after="120"/>
              <w:jc w:val="both"/>
              <w:rPr>
                <w:color w:val="000000" w:themeColor="text1"/>
                <w:sz w:val="22"/>
                <w:szCs w:val="22"/>
              </w:rPr>
            </w:pPr>
            <w:r w:rsidRPr="00C96CBB">
              <w:rPr>
                <w:rFonts w:ascii="Calibri" w:hAnsi="Calibri"/>
                <w:color w:val="000000" w:themeColor="text1"/>
                <w:sz w:val="22"/>
                <w:szCs w:val="22"/>
              </w:rPr>
              <w:sym w:font="Wingdings" w:char="F0FC"/>
            </w:r>
          </w:p>
        </w:tc>
      </w:tr>
      <w:tr w:rsidR="00723F02" w:rsidRPr="007904DB" w14:paraId="45177B3A" w14:textId="77777777" w:rsidTr="00BD361D">
        <w:tc>
          <w:tcPr>
            <w:tcW w:w="2111" w:type="dxa"/>
            <w:vAlign w:val="center"/>
          </w:tcPr>
          <w:p w14:paraId="4B7B74B6" w14:textId="77777777" w:rsidR="00723F02" w:rsidRPr="007904DB" w:rsidRDefault="00723F02" w:rsidP="00BD361D">
            <w:pPr>
              <w:spacing w:after="120"/>
              <w:jc w:val="both"/>
              <w:rPr>
                <w:rFonts w:cs="Calibri"/>
                <w:sz w:val="22"/>
                <w:szCs w:val="22"/>
              </w:rPr>
            </w:pPr>
            <w:r w:rsidRPr="003F1248">
              <w:rPr>
                <w:color w:val="000000" w:themeColor="text1"/>
                <w:sz w:val="22"/>
                <w:szCs w:val="22"/>
              </w:rPr>
              <w:t>CD3</w:t>
            </w:r>
          </w:p>
        </w:tc>
        <w:tc>
          <w:tcPr>
            <w:tcW w:w="5174" w:type="dxa"/>
          </w:tcPr>
          <w:p w14:paraId="5A3951AB" w14:textId="77777777" w:rsidR="00723F02" w:rsidRPr="007904DB" w:rsidRDefault="00723F02" w:rsidP="00BD361D">
            <w:pPr>
              <w:spacing w:after="120"/>
              <w:jc w:val="both"/>
              <w:rPr>
                <w:rFonts w:cs="Calibri"/>
                <w:sz w:val="22"/>
                <w:szCs w:val="22"/>
              </w:rPr>
            </w:pPr>
            <w:r>
              <w:rPr>
                <w:color w:val="000000" w:themeColor="text1"/>
                <w:sz w:val="22"/>
                <w:szCs w:val="22"/>
              </w:rPr>
              <w:t>T cell, NK T cell. TCR signaling.</w:t>
            </w:r>
          </w:p>
        </w:tc>
        <w:tc>
          <w:tcPr>
            <w:tcW w:w="2065" w:type="dxa"/>
          </w:tcPr>
          <w:p w14:paraId="63FEE802" w14:textId="77777777" w:rsidR="00723F02" w:rsidRDefault="00723F02" w:rsidP="00BD361D">
            <w:pPr>
              <w:spacing w:after="120"/>
              <w:jc w:val="both"/>
              <w:rPr>
                <w:color w:val="000000" w:themeColor="text1"/>
                <w:sz w:val="22"/>
                <w:szCs w:val="22"/>
              </w:rPr>
            </w:pPr>
            <w:r w:rsidRPr="00C96CBB">
              <w:rPr>
                <w:rFonts w:ascii="Calibri" w:hAnsi="Calibri"/>
                <w:color w:val="000000" w:themeColor="text1"/>
                <w:sz w:val="22"/>
                <w:szCs w:val="22"/>
              </w:rPr>
              <w:sym w:font="Wingdings" w:char="F0FC"/>
            </w:r>
          </w:p>
        </w:tc>
      </w:tr>
      <w:tr w:rsidR="00723F02" w:rsidRPr="007904DB" w14:paraId="08C01771" w14:textId="77777777" w:rsidTr="00BD361D">
        <w:tc>
          <w:tcPr>
            <w:tcW w:w="2111" w:type="dxa"/>
          </w:tcPr>
          <w:p w14:paraId="30DF4C7E" w14:textId="77777777" w:rsidR="00723F02" w:rsidRPr="007904DB" w:rsidRDefault="00723F02" w:rsidP="00BD361D">
            <w:pPr>
              <w:spacing w:after="120"/>
              <w:jc w:val="both"/>
              <w:rPr>
                <w:rFonts w:cs="Calibri"/>
                <w:sz w:val="22"/>
                <w:szCs w:val="22"/>
              </w:rPr>
            </w:pPr>
            <w:r>
              <w:rPr>
                <w:rFonts w:cs="Calibri"/>
                <w:sz w:val="22"/>
                <w:szCs w:val="22"/>
              </w:rPr>
              <w:t>CD8</w:t>
            </w:r>
          </w:p>
        </w:tc>
        <w:tc>
          <w:tcPr>
            <w:tcW w:w="5174" w:type="dxa"/>
          </w:tcPr>
          <w:p w14:paraId="0186513F" w14:textId="77777777" w:rsidR="00723F02" w:rsidRPr="007904DB" w:rsidRDefault="00723F02" w:rsidP="00BD361D">
            <w:pPr>
              <w:tabs>
                <w:tab w:val="left" w:pos="500"/>
              </w:tabs>
              <w:spacing w:after="120"/>
              <w:jc w:val="both"/>
              <w:rPr>
                <w:rFonts w:cs="Calibri"/>
                <w:sz w:val="22"/>
                <w:szCs w:val="22"/>
              </w:rPr>
            </w:pPr>
            <w:r>
              <w:rPr>
                <w:rFonts w:cs="Calibri"/>
                <w:sz w:val="22"/>
                <w:szCs w:val="22"/>
              </w:rPr>
              <w:t xml:space="preserve">CD8+ </w:t>
            </w:r>
            <w:r w:rsidRPr="00C26533">
              <w:rPr>
                <w:rFonts w:cs="Calibri"/>
                <w:sz w:val="22"/>
                <w:szCs w:val="22"/>
              </w:rPr>
              <w:t>T cell, DC, NK</w:t>
            </w:r>
            <w:r>
              <w:rPr>
                <w:rFonts w:cs="Calibri"/>
                <w:sz w:val="22"/>
                <w:szCs w:val="22"/>
              </w:rPr>
              <w:t>. Binds HLA class 1.</w:t>
            </w:r>
          </w:p>
        </w:tc>
        <w:tc>
          <w:tcPr>
            <w:tcW w:w="2065" w:type="dxa"/>
          </w:tcPr>
          <w:p w14:paraId="18E79EB4" w14:textId="77777777" w:rsidR="00723F02" w:rsidRDefault="00723F02" w:rsidP="00BD361D">
            <w:pPr>
              <w:tabs>
                <w:tab w:val="left" w:pos="500"/>
              </w:tabs>
              <w:spacing w:after="120"/>
              <w:jc w:val="both"/>
              <w:rPr>
                <w:rFonts w:cs="Calibri"/>
                <w:sz w:val="22"/>
                <w:szCs w:val="22"/>
              </w:rPr>
            </w:pPr>
            <w:r w:rsidRPr="00C96CBB">
              <w:rPr>
                <w:rFonts w:ascii="Calibri" w:hAnsi="Calibri"/>
                <w:color w:val="000000" w:themeColor="text1"/>
                <w:sz w:val="22"/>
                <w:szCs w:val="22"/>
              </w:rPr>
              <w:sym w:font="Wingdings" w:char="F0FC"/>
            </w:r>
          </w:p>
        </w:tc>
      </w:tr>
      <w:tr w:rsidR="00723F02" w:rsidRPr="007904DB" w14:paraId="760F00A3" w14:textId="77777777" w:rsidTr="00BD361D">
        <w:tc>
          <w:tcPr>
            <w:tcW w:w="2111" w:type="dxa"/>
          </w:tcPr>
          <w:p w14:paraId="4C5003EF" w14:textId="77777777" w:rsidR="00723F02" w:rsidRPr="007904DB" w:rsidRDefault="00723F02" w:rsidP="00BD361D">
            <w:pPr>
              <w:spacing w:after="120"/>
              <w:jc w:val="both"/>
              <w:rPr>
                <w:rFonts w:cs="Calibri"/>
                <w:sz w:val="22"/>
                <w:szCs w:val="22"/>
              </w:rPr>
            </w:pPr>
            <w:r>
              <w:rPr>
                <w:rFonts w:cs="Calibri"/>
                <w:sz w:val="22"/>
                <w:szCs w:val="22"/>
              </w:rPr>
              <w:t>CD4</w:t>
            </w:r>
          </w:p>
        </w:tc>
        <w:tc>
          <w:tcPr>
            <w:tcW w:w="5174" w:type="dxa"/>
          </w:tcPr>
          <w:p w14:paraId="34B3BAA9" w14:textId="77777777" w:rsidR="00723F02" w:rsidRPr="007904DB" w:rsidRDefault="00723F02" w:rsidP="00BD361D">
            <w:pPr>
              <w:spacing w:after="120"/>
              <w:jc w:val="both"/>
              <w:rPr>
                <w:rFonts w:cs="Calibri"/>
                <w:sz w:val="22"/>
                <w:szCs w:val="22"/>
              </w:rPr>
            </w:pPr>
            <w:r>
              <w:rPr>
                <w:rFonts w:cs="Calibri"/>
                <w:sz w:val="22"/>
                <w:szCs w:val="22"/>
              </w:rPr>
              <w:t xml:space="preserve">CD4+ </w:t>
            </w:r>
            <w:r w:rsidRPr="00C26533">
              <w:rPr>
                <w:rFonts w:cs="Calibri"/>
                <w:sz w:val="22"/>
                <w:szCs w:val="22"/>
              </w:rPr>
              <w:t>T cell, DC, monocyte, macrophage</w:t>
            </w:r>
            <w:r>
              <w:rPr>
                <w:rFonts w:cs="Calibri"/>
                <w:sz w:val="22"/>
                <w:szCs w:val="22"/>
              </w:rPr>
              <w:t>. Binds HLA class 2.</w:t>
            </w:r>
          </w:p>
        </w:tc>
        <w:tc>
          <w:tcPr>
            <w:tcW w:w="2065" w:type="dxa"/>
          </w:tcPr>
          <w:p w14:paraId="6E0CA47B" w14:textId="77777777" w:rsidR="00723F02" w:rsidRDefault="00723F02" w:rsidP="00BD361D">
            <w:pPr>
              <w:spacing w:after="120"/>
              <w:jc w:val="both"/>
              <w:rPr>
                <w:rFonts w:cs="Calibri"/>
                <w:sz w:val="22"/>
                <w:szCs w:val="22"/>
              </w:rPr>
            </w:pPr>
            <w:r w:rsidRPr="00C96CBB">
              <w:rPr>
                <w:rFonts w:ascii="Calibri" w:hAnsi="Calibri"/>
                <w:color w:val="000000" w:themeColor="text1"/>
                <w:sz w:val="22"/>
                <w:szCs w:val="22"/>
              </w:rPr>
              <w:sym w:font="Wingdings" w:char="F0FC"/>
            </w:r>
          </w:p>
        </w:tc>
      </w:tr>
      <w:tr w:rsidR="00723F02" w:rsidRPr="007904DB" w14:paraId="4D587C0C" w14:textId="77777777" w:rsidTr="00BD361D">
        <w:tc>
          <w:tcPr>
            <w:tcW w:w="2111" w:type="dxa"/>
            <w:vAlign w:val="center"/>
          </w:tcPr>
          <w:p w14:paraId="38985418" w14:textId="77777777" w:rsidR="00723F02" w:rsidRPr="007904DB" w:rsidRDefault="00723F02" w:rsidP="00BD361D">
            <w:pPr>
              <w:spacing w:after="120"/>
              <w:jc w:val="both"/>
              <w:rPr>
                <w:rFonts w:cs="Calibri"/>
                <w:sz w:val="22"/>
                <w:szCs w:val="22"/>
              </w:rPr>
            </w:pPr>
            <w:r w:rsidRPr="003F1248">
              <w:rPr>
                <w:color w:val="000000" w:themeColor="text1"/>
                <w:sz w:val="22"/>
                <w:szCs w:val="22"/>
              </w:rPr>
              <w:t>FoxP3</w:t>
            </w:r>
          </w:p>
        </w:tc>
        <w:tc>
          <w:tcPr>
            <w:tcW w:w="5174" w:type="dxa"/>
          </w:tcPr>
          <w:p w14:paraId="46DEDF54" w14:textId="77777777" w:rsidR="00723F02" w:rsidRPr="007904DB" w:rsidRDefault="00723F02" w:rsidP="00BD361D">
            <w:pPr>
              <w:spacing w:after="120"/>
              <w:jc w:val="both"/>
              <w:rPr>
                <w:rFonts w:cs="Calibri"/>
                <w:sz w:val="22"/>
                <w:szCs w:val="22"/>
              </w:rPr>
            </w:pPr>
            <w:r>
              <w:rPr>
                <w:color w:val="000000" w:themeColor="text1"/>
                <w:sz w:val="22"/>
                <w:szCs w:val="22"/>
              </w:rPr>
              <w:t xml:space="preserve">Early </w:t>
            </w:r>
            <w:proofErr w:type="spellStart"/>
            <w:r>
              <w:rPr>
                <w:color w:val="000000" w:themeColor="text1"/>
                <w:sz w:val="22"/>
                <w:szCs w:val="22"/>
              </w:rPr>
              <w:t>activ</w:t>
            </w:r>
            <w:proofErr w:type="spellEnd"/>
            <w:r>
              <w:rPr>
                <w:color w:val="000000" w:themeColor="text1"/>
                <w:sz w:val="22"/>
                <w:szCs w:val="22"/>
              </w:rPr>
              <w:t>. T cell. CD4+ T regulatory cell. Transcription factor.</w:t>
            </w:r>
          </w:p>
        </w:tc>
        <w:tc>
          <w:tcPr>
            <w:tcW w:w="2065" w:type="dxa"/>
          </w:tcPr>
          <w:p w14:paraId="6F2A85B6" w14:textId="77777777" w:rsidR="00723F02" w:rsidRDefault="00723F02" w:rsidP="00BD361D">
            <w:pPr>
              <w:spacing w:after="120"/>
              <w:jc w:val="both"/>
              <w:rPr>
                <w:color w:val="000000" w:themeColor="text1"/>
                <w:sz w:val="22"/>
                <w:szCs w:val="22"/>
              </w:rPr>
            </w:pPr>
            <w:r w:rsidRPr="00C96CBB">
              <w:rPr>
                <w:rFonts w:ascii="Calibri" w:hAnsi="Calibri"/>
                <w:color w:val="000000" w:themeColor="text1"/>
                <w:sz w:val="22"/>
                <w:szCs w:val="22"/>
              </w:rPr>
              <w:sym w:font="Wingdings" w:char="F0FC"/>
            </w:r>
          </w:p>
        </w:tc>
      </w:tr>
      <w:tr w:rsidR="00723F02" w:rsidRPr="007904DB" w14:paraId="4463EC88" w14:textId="77777777" w:rsidTr="00BD361D">
        <w:tc>
          <w:tcPr>
            <w:tcW w:w="2111" w:type="dxa"/>
          </w:tcPr>
          <w:p w14:paraId="569BA59C" w14:textId="77777777" w:rsidR="00723F02" w:rsidRPr="007904DB" w:rsidRDefault="00723F02" w:rsidP="00BD361D">
            <w:pPr>
              <w:spacing w:after="120"/>
              <w:jc w:val="both"/>
              <w:rPr>
                <w:rFonts w:cs="Calibri"/>
                <w:sz w:val="22"/>
                <w:szCs w:val="22"/>
              </w:rPr>
            </w:pPr>
            <w:r w:rsidRPr="003F1248">
              <w:rPr>
                <w:color w:val="000000" w:themeColor="text1"/>
                <w:sz w:val="22"/>
                <w:szCs w:val="22"/>
              </w:rPr>
              <w:t>HLA Class 1</w:t>
            </w:r>
          </w:p>
        </w:tc>
        <w:tc>
          <w:tcPr>
            <w:tcW w:w="5174" w:type="dxa"/>
          </w:tcPr>
          <w:p w14:paraId="2C2D35ED" w14:textId="77777777" w:rsidR="00723F02" w:rsidRPr="007904DB" w:rsidRDefault="00723F02" w:rsidP="00BD361D">
            <w:pPr>
              <w:spacing w:after="120"/>
              <w:jc w:val="both"/>
              <w:rPr>
                <w:rFonts w:cs="Calibri"/>
                <w:sz w:val="22"/>
                <w:szCs w:val="22"/>
              </w:rPr>
            </w:pPr>
            <w:r>
              <w:rPr>
                <w:color w:val="000000" w:themeColor="text1"/>
                <w:sz w:val="22"/>
                <w:szCs w:val="22"/>
              </w:rPr>
              <w:t>All cells. Presentation of endogenous antigenic peptides to CD8+ T cells.</w:t>
            </w:r>
          </w:p>
        </w:tc>
        <w:tc>
          <w:tcPr>
            <w:tcW w:w="2065" w:type="dxa"/>
          </w:tcPr>
          <w:p w14:paraId="5D7AA049" w14:textId="77777777" w:rsidR="00723F02" w:rsidRDefault="00723F02" w:rsidP="00BD361D">
            <w:pPr>
              <w:spacing w:after="120"/>
              <w:jc w:val="both"/>
              <w:rPr>
                <w:color w:val="000000" w:themeColor="text1"/>
                <w:sz w:val="22"/>
                <w:szCs w:val="22"/>
              </w:rPr>
            </w:pPr>
            <w:r w:rsidRPr="00AA6EBA">
              <w:rPr>
                <w:rFonts w:ascii="Calibri" w:hAnsi="Calibri"/>
                <w:color w:val="000000" w:themeColor="text1"/>
                <w:sz w:val="22"/>
                <w:szCs w:val="22"/>
              </w:rPr>
              <w:sym w:font="Wingdings" w:char="F0FC"/>
            </w:r>
          </w:p>
        </w:tc>
      </w:tr>
      <w:tr w:rsidR="00723F02" w:rsidRPr="007904DB" w14:paraId="02EA0D96" w14:textId="77777777" w:rsidTr="00BD361D">
        <w:tc>
          <w:tcPr>
            <w:tcW w:w="2111" w:type="dxa"/>
          </w:tcPr>
          <w:p w14:paraId="4875F958" w14:textId="77777777" w:rsidR="00723F02" w:rsidRPr="007904DB" w:rsidRDefault="00723F02" w:rsidP="00BD361D">
            <w:pPr>
              <w:spacing w:after="120"/>
              <w:jc w:val="both"/>
              <w:rPr>
                <w:rFonts w:cs="Calibri"/>
                <w:sz w:val="22"/>
                <w:szCs w:val="22"/>
              </w:rPr>
            </w:pPr>
            <w:r w:rsidRPr="003F1248">
              <w:rPr>
                <w:color w:val="000000" w:themeColor="text1"/>
                <w:sz w:val="22"/>
                <w:szCs w:val="22"/>
              </w:rPr>
              <w:t>HLA-DR</w:t>
            </w:r>
          </w:p>
        </w:tc>
        <w:tc>
          <w:tcPr>
            <w:tcW w:w="5174" w:type="dxa"/>
          </w:tcPr>
          <w:p w14:paraId="70EB79EF" w14:textId="77777777" w:rsidR="00723F02" w:rsidRPr="007904DB" w:rsidRDefault="00723F02" w:rsidP="00BD361D">
            <w:pPr>
              <w:spacing w:after="120"/>
              <w:rPr>
                <w:rFonts w:cs="Calibri"/>
                <w:sz w:val="22"/>
                <w:szCs w:val="22"/>
              </w:rPr>
            </w:pPr>
            <w:r>
              <w:rPr>
                <w:color w:val="000000" w:themeColor="text1"/>
                <w:sz w:val="22"/>
                <w:szCs w:val="22"/>
              </w:rPr>
              <w:t xml:space="preserve">DC. Macrophage. </w:t>
            </w:r>
            <w:proofErr w:type="spellStart"/>
            <w:r>
              <w:rPr>
                <w:color w:val="000000" w:themeColor="text1"/>
                <w:sz w:val="22"/>
                <w:szCs w:val="22"/>
              </w:rPr>
              <w:t>Activ</w:t>
            </w:r>
            <w:proofErr w:type="spellEnd"/>
            <w:r>
              <w:rPr>
                <w:color w:val="000000" w:themeColor="text1"/>
                <w:sz w:val="22"/>
                <w:szCs w:val="22"/>
              </w:rPr>
              <w:t>. B &amp; T cell. Tumor cell.  Presentation of exogenous antigenic peptides to CD4+ T cells.</w:t>
            </w:r>
          </w:p>
        </w:tc>
        <w:tc>
          <w:tcPr>
            <w:tcW w:w="2065" w:type="dxa"/>
          </w:tcPr>
          <w:p w14:paraId="14B1C548" w14:textId="77777777" w:rsidR="00723F02" w:rsidRDefault="00723F02" w:rsidP="00BD361D">
            <w:pPr>
              <w:spacing w:after="120"/>
              <w:jc w:val="both"/>
              <w:rPr>
                <w:color w:val="000000" w:themeColor="text1"/>
                <w:sz w:val="22"/>
                <w:szCs w:val="22"/>
              </w:rPr>
            </w:pPr>
            <w:r w:rsidRPr="00AA6EBA">
              <w:rPr>
                <w:rFonts w:ascii="Calibri" w:hAnsi="Calibri"/>
                <w:color w:val="000000" w:themeColor="text1"/>
                <w:sz w:val="22"/>
                <w:szCs w:val="22"/>
              </w:rPr>
              <w:sym w:font="Wingdings" w:char="F0FC"/>
            </w:r>
          </w:p>
        </w:tc>
      </w:tr>
      <w:tr w:rsidR="00723F02" w:rsidRPr="007904DB" w14:paraId="2934202A" w14:textId="77777777" w:rsidTr="00BD361D">
        <w:tc>
          <w:tcPr>
            <w:tcW w:w="2111" w:type="dxa"/>
          </w:tcPr>
          <w:p w14:paraId="6817F055" w14:textId="77777777" w:rsidR="00723F02" w:rsidRPr="007904DB" w:rsidRDefault="00723F02" w:rsidP="00BD361D">
            <w:pPr>
              <w:spacing w:after="120"/>
              <w:jc w:val="both"/>
              <w:rPr>
                <w:rFonts w:cs="Calibri"/>
                <w:sz w:val="22"/>
                <w:szCs w:val="22"/>
              </w:rPr>
            </w:pPr>
            <w:r>
              <w:rPr>
                <w:rFonts w:cs="Calibri"/>
                <w:sz w:val="22"/>
                <w:szCs w:val="22"/>
              </w:rPr>
              <w:t>CD11b</w:t>
            </w:r>
          </w:p>
        </w:tc>
        <w:tc>
          <w:tcPr>
            <w:tcW w:w="5174" w:type="dxa"/>
          </w:tcPr>
          <w:p w14:paraId="796BD999" w14:textId="77777777" w:rsidR="00723F02" w:rsidRPr="00AF1668" w:rsidRDefault="00723F02" w:rsidP="00BD361D">
            <w:pPr>
              <w:spacing w:after="120"/>
              <w:rPr>
                <w:rFonts w:ascii="Calibri" w:hAnsi="Calibri" w:cs="Calibri"/>
                <w:color w:val="000000"/>
                <w:sz w:val="22"/>
                <w:szCs w:val="22"/>
              </w:rPr>
            </w:pPr>
            <w:r>
              <w:rPr>
                <w:rFonts w:ascii="Calibri" w:hAnsi="Calibri" w:cs="Calibri"/>
                <w:color w:val="000000"/>
                <w:sz w:val="22"/>
                <w:szCs w:val="22"/>
              </w:rPr>
              <w:t>Pan myeloid. Leukocyte adhesion.</w:t>
            </w:r>
          </w:p>
        </w:tc>
        <w:tc>
          <w:tcPr>
            <w:tcW w:w="2065" w:type="dxa"/>
          </w:tcPr>
          <w:p w14:paraId="3987C8EE" w14:textId="77777777" w:rsidR="00723F02" w:rsidRDefault="00723F02" w:rsidP="00BD361D">
            <w:pPr>
              <w:spacing w:after="120"/>
              <w:rPr>
                <w:rFonts w:ascii="Calibri" w:hAnsi="Calibri" w:cs="Calibri"/>
                <w:color w:val="000000"/>
                <w:sz w:val="22"/>
                <w:szCs w:val="22"/>
              </w:rPr>
            </w:pPr>
            <w:r w:rsidRPr="00AA6EBA">
              <w:rPr>
                <w:rFonts w:ascii="Calibri" w:hAnsi="Calibri"/>
                <w:color w:val="000000" w:themeColor="text1"/>
                <w:sz w:val="22"/>
                <w:szCs w:val="22"/>
              </w:rPr>
              <w:sym w:font="Wingdings" w:char="F0FC"/>
            </w:r>
          </w:p>
        </w:tc>
      </w:tr>
      <w:tr w:rsidR="00723F02" w:rsidRPr="007904DB" w14:paraId="78172AEE" w14:textId="77777777" w:rsidTr="00BD361D">
        <w:tc>
          <w:tcPr>
            <w:tcW w:w="2111" w:type="dxa"/>
          </w:tcPr>
          <w:p w14:paraId="4FC2AC98" w14:textId="77777777" w:rsidR="00723F02" w:rsidRDefault="00723F02" w:rsidP="00BD361D">
            <w:pPr>
              <w:spacing w:after="120"/>
              <w:rPr>
                <w:rFonts w:cs="Calibri"/>
                <w:sz w:val="22"/>
                <w:szCs w:val="22"/>
              </w:rPr>
            </w:pPr>
            <w:r>
              <w:rPr>
                <w:rFonts w:cs="Calibri"/>
                <w:sz w:val="22"/>
                <w:szCs w:val="22"/>
              </w:rPr>
              <w:lastRenderedPageBreak/>
              <w:t>CD20</w:t>
            </w:r>
          </w:p>
        </w:tc>
        <w:tc>
          <w:tcPr>
            <w:tcW w:w="5174" w:type="dxa"/>
          </w:tcPr>
          <w:p w14:paraId="7A642C0A" w14:textId="77777777" w:rsidR="00723F02" w:rsidRDefault="00723F02" w:rsidP="00BD361D">
            <w:pPr>
              <w:spacing w:after="120"/>
              <w:rPr>
                <w:rFonts w:ascii="Calibri" w:hAnsi="Calibri" w:cs="Calibri"/>
                <w:color w:val="000000"/>
                <w:sz w:val="22"/>
                <w:szCs w:val="22"/>
              </w:rPr>
            </w:pPr>
            <w:r>
              <w:rPr>
                <w:rFonts w:ascii="Calibri" w:hAnsi="Calibri" w:cs="Calibri"/>
                <w:color w:val="000000"/>
                <w:sz w:val="22"/>
                <w:szCs w:val="22"/>
              </w:rPr>
              <w:t>B cell. Calcium channel.</w:t>
            </w:r>
          </w:p>
        </w:tc>
        <w:tc>
          <w:tcPr>
            <w:tcW w:w="2065" w:type="dxa"/>
          </w:tcPr>
          <w:p w14:paraId="6FFA8041" w14:textId="77777777" w:rsidR="00723F02" w:rsidRDefault="00723F02" w:rsidP="00BD361D">
            <w:pPr>
              <w:spacing w:after="120"/>
              <w:rPr>
                <w:rFonts w:ascii="Calibri" w:hAnsi="Calibri" w:cs="Calibri"/>
                <w:color w:val="000000"/>
                <w:sz w:val="22"/>
                <w:szCs w:val="22"/>
              </w:rPr>
            </w:pPr>
            <w:r w:rsidRPr="00AA6EBA">
              <w:rPr>
                <w:rFonts w:ascii="Calibri" w:hAnsi="Calibri"/>
                <w:color w:val="000000" w:themeColor="text1"/>
                <w:sz w:val="22"/>
                <w:szCs w:val="22"/>
              </w:rPr>
              <w:sym w:font="Wingdings" w:char="F0FC"/>
            </w:r>
          </w:p>
        </w:tc>
      </w:tr>
    </w:tbl>
    <w:p w14:paraId="2BD6ED44" w14:textId="77777777" w:rsidR="00723F02" w:rsidRDefault="00723F02" w:rsidP="00723F02">
      <w:pPr>
        <w:spacing w:after="120"/>
        <w:jc w:val="both"/>
        <w:rPr>
          <w:b/>
          <w:bCs/>
        </w:rPr>
      </w:pPr>
    </w:p>
    <w:p w14:paraId="6F590678" w14:textId="77777777" w:rsidR="00723F02" w:rsidRDefault="00723F02" w:rsidP="00723F02">
      <w:pPr>
        <w:spacing w:after="120"/>
        <w:jc w:val="both"/>
        <w:rPr>
          <w:b/>
          <w:bCs/>
        </w:rPr>
      </w:pPr>
    </w:p>
    <w:p w14:paraId="455A0F59" w14:textId="77777777" w:rsidR="00723F02" w:rsidRDefault="00723F02" w:rsidP="00723F02">
      <w:pPr>
        <w:spacing w:after="120"/>
        <w:jc w:val="both"/>
        <w:rPr>
          <w:b/>
          <w:bCs/>
        </w:rPr>
      </w:pPr>
      <w:r>
        <w:rPr>
          <w:b/>
          <w:bCs/>
        </w:rPr>
        <w:t xml:space="preserve">Table 3. Markers specific to the </w:t>
      </w:r>
      <w:proofErr w:type="spellStart"/>
      <w:r>
        <w:rPr>
          <w:b/>
          <w:bCs/>
        </w:rPr>
        <w:t>immuno</w:t>
      </w:r>
      <w:proofErr w:type="spellEnd"/>
      <w:r>
        <w:rPr>
          <w:b/>
          <w:bCs/>
        </w:rPr>
        <w:t xml:space="preserve"> panel</w:t>
      </w:r>
    </w:p>
    <w:tbl>
      <w:tblPr>
        <w:tblStyle w:val="TableGrid"/>
        <w:tblW w:w="0" w:type="auto"/>
        <w:tblLook w:val="04A0" w:firstRow="1" w:lastRow="0" w:firstColumn="1" w:lastColumn="0" w:noHBand="0" w:noVBand="1"/>
      </w:tblPr>
      <w:tblGrid>
        <w:gridCol w:w="2069"/>
        <w:gridCol w:w="5216"/>
        <w:gridCol w:w="2065"/>
      </w:tblGrid>
      <w:tr w:rsidR="00723F02" w:rsidRPr="007904DB" w14:paraId="28112979" w14:textId="77777777" w:rsidTr="00BD361D">
        <w:tc>
          <w:tcPr>
            <w:tcW w:w="2069" w:type="dxa"/>
          </w:tcPr>
          <w:p w14:paraId="2B0B9696" w14:textId="77777777" w:rsidR="00723F02" w:rsidRPr="007904DB" w:rsidRDefault="00723F02" w:rsidP="00BD361D">
            <w:pPr>
              <w:spacing w:after="120"/>
              <w:jc w:val="both"/>
              <w:rPr>
                <w:rFonts w:cs="Calibri"/>
                <w:b/>
                <w:sz w:val="22"/>
                <w:szCs w:val="22"/>
              </w:rPr>
            </w:pPr>
            <w:r>
              <w:rPr>
                <w:rFonts w:cs="Calibri"/>
                <w:b/>
                <w:sz w:val="22"/>
                <w:szCs w:val="22"/>
              </w:rPr>
              <w:t>Markers</w:t>
            </w:r>
          </w:p>
        </w:tc>
        <w:tc>
          <w:tcPr>
            <w:tcW w:w="5216" w:type="dxa"/>
          </w:tcPr>
          <w:p w14:paraId="769CB661" w14:textId="77777777" w:rsidR="00723F02" w:rsidRPr="007904DB" w:rsidRDefault="00723F02" w:rsidP="00BD361D">
            <w:pPr>
              <w:spacing w:after="120"/>
              <w:jc w:val="both"/>
              <w:rPr>
                <w:rFonts w:cs="Calibri"/>
                <w:b/>
                <w:sz w:val="22"/>
                <w:szCs w:val="22"/>
              </w:rPr>
            </w:pPr>
            <w:r>
              <w:rPr>
                <w:rFonts w:cs="Calibri"/>
                <w:b/>
                <w:sz w:val="22"/>
                <w:szCs w:val="22"/>
              </w:rPr>
              <w:t>Cell type / functional relevance</w:t>
            </w:r>
          </w:p>
        </w:tc>
        <w:tc>
          <w:tcPr>
            <w:tcW w:w="2065" w:type="dxa"/>
          </w:tcPr>
          <w:p w14:paraId="750DA8C9" w14:textId="77777777" w:rsidR="00723F02" w:rsidRPr="007904DB" w:rsidRDefault="00723F02" w:rsidP="00BD361D">
            <w:pPr>
              <w:spacing w:after="120"/>
              <w:jc w:val="both"/>
              <w:rPr>
                <w:rFonts w:cs="Calibri"/>
                <w:b/>
                <w:sz w:val="22"/>
                <w:szCs w:val="22"/>
              </w:rPr>
            </w:pPr>
            <w:r>
              <w:rPr>
                <w:rFonts w:cs="Calibri"/>
                <w:b/>
                <w:sz w:val="22"/>
                <w:szCs w:val="22"/>
              </w:rPr>
              <w:t>MIBI validated</w:t>
            </w:r>
          </w:p>
        </w:tc>
      </w:tr>
      <w:tr w:rsidR="00723F02" w:rsidRPr="007904DB" w14:paraId="62E2D081" w14:textId="77777777" w:rsidTr="00BD361D">
        <w:tc>
          <w:tcPr>
            <w:tcW w:w="2069" w:type="dxa"/>
          </w:tcPr>
          <w:p w14:paraId="3570C393" w14:textId="77777777" w:rsidR="00723F02" w:rsidRPr="007904DB" w:rsidRDefault="00723F02" w:rsidP="00BD361D">
            <w:pPr>
              <w:spacing w:after="120"/>
              <w:jc w:val="both"/>
              <w:rPr>
                <w:rFonts w:cs="Calibri"/>
                <w:sz w:val="22"/>
                <w:szCs w:val="22"/>
              </w:rPr>
            </w:pPr>
            <w:r>
              <w:rPr>
                <w:rFonts w:cs="Calibri"/>
                <w:sz w:val="22"/>
                <w:szCs w:val="22"/>
              </w:rPr>
              <w:t>CD14</w:t>
            </w:r>
          </w:p>
        </w:tc>
        <w:tc>
          <w:tcPr>
            <w:tcW w:w="5216" w:type="dxa"/>
          </w:tcPr>
          <w:p w14:paraId="420BB638" w14:textId="77777777" w:rsidR="00723F02" w:rsidRPr="007904DB" w:rsidRDefault="00723F02" w:rsidP="00BD361D">
            <w:pPr>
              <w:spacing w:after="120"/>
              <w:jc w:val="both"/>
              <w:rPr>
                <w:rFonts w:cs="Calibri"/>
                <w:sz w:val="22"/>
                <w:szCs w:val="22"/>
              </w:rPr>
            </w:pPr>
            <w:r>
              <w:rPr>
                <w:rFonts w:cs="Calibri"/>
                <w:sz w:val="22"/>
                <w:szCs w:val="22"/>
              </w:rPr>
              <w:t>Monocyte. Co-receptor for LPS.</w:t>
            </w:r>
          </w:p>
        </w:tc>
        <w:tc>
          <w:tcPr>
            <w:tcW w:w="2065" w:type="dxa"/>
          </w:tcPr>
          <w:p w14:paraId="565A57B0" w14:textId="77777777" w:rsidR="00723F02" w:rsidRDefault="00723F02" w:rsidP="00BD361D">
            <w:pPr>
              <w:spacing w:after="120"/>
              <w:jc w:val="both"/>
              <w:rPr>
                <w:rFonts w:cs="Calibri"/>
                <w:sz w:val="22"/>
                <w:szCs w:val="22"/>
              </w:rPr>
            </w:pPr>
            <w:r w:rsidRPr="00F810E2">
              <w:rPr>
                <w:rFonts w:ascii="Calibri" w:hAnsi="Calibri"/>
                <w:color w:val="000000" w:themeColor="text1"/>
                <w:sz w:val="22"/>
                <w:szCs w:val="22"/>
              </w:rPr>
              <w:sym w:font="Wingdings" w:char="F0FC"/>
            </w:r>
          </w:p>
        </w:tc>
      </w:tr>
      <w:tr w:rsidR="00723F02" w:rsidRPr="007904DB" w14:paraId="49B02221" w14:textId="77777777" w:rsidTr="00BD361D">
        <w:tc>
          <w:tcPr>
            <w:tcW w:w="2069" w:type="dxa"/>
          </w:tcPr>
          <w:p w14:paraId="3265CF56" w14:textId="77777777" w:rsidR="00723F02" w:rsidRPr="007904DB" w:rsidRDefault="00723F02" w:rsidP="00BD361D">
            <w:pPr>
              <w:spacing w:after="120"/>
              <w:jc w:val="both"/>
              <w:rPr>
                <w:rFonts w:cs="Calibri"/>
                <w:sz w:val="22"/>
                <w:szCs w:val="22"/>
              </w:rPr>
            </w:pPr>
            <w:r>
              <w:rPr>
                <w:rFonts w:cs="Calibri"/>
                <w:sz w:val="22"/>
                <w:szCs w:val="22"/>
              </w:rPr>
              <w:t>CD15</w:t>
            </w:r>
          </w:p>
        </w:tc>
        <w:tc>
          <w:tcPr>
            <w:tcW w:w="5216" w:type="dxa"/>
          </w:tcPr>
          <w:p w14:paraId="06CFF45B" w14:textId="77777777" w:rsidR="00723F02" w:rsidRPr="007904DB" w:rsidRDefault="00723F02" w:rsidP="00BD361D">
            <w:pPr>
              <w:spacing w:after="120"/>
              <w:jc w:val="both"/>
              <w:rPr>
                <w:rFonts w:cs="Calibri"/>
                <w:sz w:val="22"/>
                <w:szCs w:val="22"/>
              </w:rPr>
            </w:pPr>
            <w:r>
              <w:rPr>
                <w:rFonts w:cs="Calibri"/>
                <w:sz w:val="22"/>
                <w:szCs w:val="22"/>
              </w:rPr>
              <w:t>Neutrophil. A</w:t>
            </w:r>
            <w:r w:rsidRPr="00215692">
              <w:rPr>
                <w:rFonts w:cs="Calibri"/>
                <w:sz w:val="22"/>
                <w:szCs w:val="22"/>
              </w:rPr>
              <w:t>dhesion</w:t>
            </w:r>
            <w:r>
              <w:rPr>
                <w:rFonts w:cs="Calibri"/>
                <w:sz w:val="22"/>
                <w:szCs w:val="22"/>
              </w:rPr>
              <w:t xml:space="preserve">, </w:t>
            </w:r>
            <w:r w:rsidRPr="00215692">
              <w:rPr>
                <w:rFonts w:cs="Calibri"/>
                <w:sz w:val="22"/>
                <w:szCs w:val="22"/>
              </w:rPr>
              <w:t>phagocytosis and</w:t>
            </w:r>
            <w:r>
              <w:rPr>
                <w:rFonts w:cs="Calibri"/>
                <w:sz w:val="22"/>
                <w:szCs w:val="22"/>
              </w:rPr>
              <w:t xml:space="preserve"> c</w:t>
            </w:r>
            <w:r w:rsidRPr="00215692">
              <w:rPr>
                <w:rFonts w:cs="Calibri"/>
                <w:sz w:val="22"/>
                <w:szCs w:val="22"/>
              </w:rPr>
              <w:t>hemotaxis</w:t>
            </w:r>
          </w:p>
        </w:tc>
        <w:tc>
          <w:tcPr>
            <w:tcW w:w="2065" w:type="dxa"/>
          </w:tcPr>
          <w:p w14:paraId="72DDFFED" w14:textId="77777777" w:rsidR="00723F02" w:rsidRDefault="00723F02" w:rsidP="00BD361D">
            <w:pPr>
              <w:spacing w:after="120"/>
              <w:jc w:val="both"/>
              <w:rPr>
                <w:rFonts w:cs="Calibri"/>
                <w:sz w:val="22"/>
                <w:szCs w:val="22"/>
              </w:rPr>
            </w:pPr>
            <w:r w:rsidRPr="00F810E2">
              <w:rPr>
                <w:rFonts w:ascii="Calibri" w:hAnsi="Calibri"/>
                <w:color w:val="000000" w:themeColor="text1"/>
                <w:sz w:val="22"/>
                <w:szCs w:val="22"/>
              </w:rPr>
              <w:sym w:font="Wingdings" w:char="F0FC"/>
            </w:r>
          </w:p>
        </w:tc>
      </w:tr>
      <w:tr w:rsidR="00723F02" w:rsidRPr="007904DB" w14:paraId="2E52F382" w14:textId="77777777" w:rsidTr="00BD361D">
        <w:tc>
          <w:tcPr>
            <w:tcW w:w="2069" w:type="dxa"/>
          </w:tcPr>
          <w:p w14:paraId="051A2FB9" w14:textId="77777777" w:rsidR="00723F02" w:rsidRPr="007904DB" w:rsidRDefault="00723F02" w:rsidP="00BD361D">
            <w:pPr>
              <w:spacing w:after="120"/>
              <w:jc w:val="both"/>
              <w:rPr>
                <w:rFonts w:cs="Calibri"/>
                <w:sz w:val="22"/>
                <w:szCs w:val="22"/>
              </w:rPr>
            </w:pPr>
            <w:r>
              <w:rPr>
                <w:rFonts w:cs="Calibri"/>
                <w:sz w:val="22"/>
                <w:szCs w:val="22"/>
              </w:rPr>
              <w:t>CD68</w:t>
            </w:r>
          </w:p>
        </w:tc>
        <w:tc>
          <w:tcPr>
            <w:tcW w:w="5216" w:type="dxa"/>
          </w:tcPr>
          <w:p w14:paraId="58A5769E" w14:textId="77777777" w:rsidR="00723F02" w:rsidRPr="007904DB" w:rsidRDefault="00723F02" w:rsidP="00BD361D">
            <w:pPr>
              <w:spacing w:after="120"/>
              <w:jc w:val="both"/>
              <w:rPr>
                <w:rFonts w:cs="Calibri"/>
                <w:sz w:val="22"/>
                <w:szCs w:val="22"/>
              </w:rPr>
            </w:pPr>
            <w:r>
              <w:rPr>
                <w:rFonts w:cs="Calibri"/>
                <w:sz w:val="22"/>
                <w:szCs w:val="22"/>
              </w:rPr>
              <w:t>M1-like macrophage. Phagocytic, homing</w:t>
            </w:r>
          </w:p>
        </w:tc>
        <w:tc>
          <w:tcPr>
            <w:tcW w:w="2065" w:type="dxa"/>
          </w:tcPr>
          <w:p w14:paraId="5EC45DE5" w14:textId="77777777" w:rsidR="00723F02" w:rsidRDefault="00723F02" w:rsidP="00BD361D">
            <w:pPr>
              <w:spacing w:after="120"/>
              <w:jc w:val="both"/>
              <w:rPr>
                <w:rFonts w:cs="Calibri"/>
                <w:sz w:val="22"/>
                <w:szCs w:val="22"/>
              </w:rPr>
            </w:pPr>
            <w:r w:rsidRPr="00F810E2">
              <w:rPr>
                <w:rFonts w:ascii="Calibri" w:hAnsi="Calibri"/>
                <w:color w:val="000000" w:themeColor="text1"/>
                <w:sz w:val="22"/>
                <w:szCs w:val="22"/>
              </w:rPr>
              <w:sym w:font="Wingdings" w:char="F0FC"/>
            </w:r>
          </w:p>
        </w:tc>
      </w:tr>
      <w:tr w:rsidR="00723F02" w:rsidRPr="007904DB" w14:paraId="68D6DDA5" w14:textId="77777777" w:rsidTr="00BD361D">
        <w:tc>
          <w:tcPr>
            <w:tcW w:w="2069" w:type="dxa"/>
          </w:tcPr>
          <w:p w14:paraId="3F54897C" w14:textId="77777777" w:rsidR="00723F02" w:rsidRDefault="00723F02" w:rsidP="00BD361D">
            <w:pPr>
              <w:spacing w:after="120"/>
              <w:jc w:val="both"/>
              <w:rPr>
                <w:rFonts w:cs="Calibri"/>
                <w:sz w:val="22"/>
                <w:szCs w:val="22"/>
              </w:rPr>
            </w:pPr>
            <w:proofErr w:type="spellStart"/>
            <w:r>
              <w:rPr>
                <w:rFonts w:cs="Calibri"/>
                <w:sz w:val="22"/>
                <w:szCs w:val="22"/>
              </w:rPr>
              <w:t>iNOS</w:t>
            </w:r>
            <w:proofErr w:type="spellEnd"/>
          </w:p>
        </w:tc>
        <w:tc>
          <w:tcPr>
            <w:tcW w:w="5216" w:type="dxa"/>
          </w:tcPr>
          <w:p w14:paraId="292B29EC" w14:textId="77777777" w:rsidR="00723F02" w:rsidRPr="007904DB" w:rsidRDefault="00723F02" w:rsidP="00BD361D">
            <w:pPr>
              <w:spacing w:after="120"/>
              <w:jc w:val="both"/>
              <w:rPr>
                <w:rFonts w:cs="Calibri"/>
                <w:sz w:val="22"/>
                <w:szCs w:val="22"/>
              </w:rPr>
            </w:pPr>
            <w:r>
              <w:rPr>
                <w:rFonts w:cs="Calibri"/>
                <w:sz w:val="22"/>
                <w:szCs w:val="22"/>
              </w:rPr>
              <w:t>M1-like macrophage. S</w:t>
            </w:r>
            <w:r w:rsidRPr="00EF461A">
              <w:rPr>
                <w:rFonts w:cs="Calibri"/>
                <w:sz w:val="22"/>
                <w:szCs w:val="22"/>
              </w:rPr>
              <w:t>ynthase of nitric oxide</w:t>
            </w:r>
            <w:r>
              <w:rPr>
                <w:rFonts w:cs="Calibri"/>
                <w:sz w:val="22"/>
                <w:szCs w:val="22"/>
              </w:rPr>
              <w:t>. Tx in clinical dev.</w:t>
            </w:r>
          </w:p>
        </w:tc>
        <w:tc>
          <w:tcPr>
            <w:tcW w:w="2065" w:type="dxa"/>
          </w:tcPr>
          <w:p w14:paraId="77F40E55" w14:textId="77777777" w:rsidR="00723F02" w:rsidRDefault="00723F02" w:rsidP="00BD361D">
            <w:pPr>
              <w:spacing w:after="120"/>
              <w:jc w:val="both"/>
              <w:rPr>
                <w:rFonts w:cs="Calibri"/>
                <w:sz w:val="22"/>
                <w:szCs w:val="22"/>
              </w:rPr>
            </w:pPr>
            <w:r w:rsidRPr="00F810E2">
              <w:rPr>
                <w:rFonts w:ascii="Calibri" w:hAnsi="Calibri"/>
                <w:color w:val="000000" w:themeColor="text1"/>
                <w:sz w:val="22"/>
                <w:szCs w:val="22"/>
              </w:rPr>
              <w:sym w:font="Wingdings" w:char="F0FC"/>
            </w:r>
          </w:p>
        </w:tc>
      </w:tr>
      <w:tr w:rsidR="00723F02" w:rsidRPr="007904DB" w14:paraId="325AB4DF" w14:textId="77777777" w:rsidTr="00BD361D">
        <w:tc>
          <w:tcPr>
            <w:tcW w:w="2069" w:type="dxa"/>
          </w:tcPr>
          <w:p w14:paraId="1601EC12" w14:textId="77777777" w:rsidR="00723F02" w:rsidRDefault="00723F02" w:rsidP="00BD361D">
            <w:pPr>
              <w:spacing w:after="120"/>
              <w:jc w:val="both"/>
              <w:rPr>
                <w:rFonts w:cs="Calibri"/>
                <w:sz w:val="22"/>
                <w:szCs w:val="22"/>
              </w:rPr>
            </w:pPr>
            <w:r>
              <w:rPr>
                <w:rFonts w:cs="Calibri"/>
                <w:sz w:val="22"/>
                <w:szCs w:val="22"/>
              </w:rPr>
              <w:t>IDO-1</w:t>
            </w:r>
          </w:p>
        </w:tc>
        <w:tc>
          <w:tcPr>
            <w:tcW w:w="5216" w:type="dxa"/>
          </w:tcPr>
          <w:p w14:paraId="62CA1BF2" w14:textId="77777777" w:rsidR="00723F02" w:rsidRPr="007904DB" w:rsidRDefault="00723F02" w:rsidP="00BD361D">
            <w:pPr>
              <w:spacing w:after="120"/>
              <w:jc w:val="both"/>
              <w:rPr>
                <w:rFonts w:cs="Calibri"/>
                <w:sz w:val="22"/>
                <w:szCs w:val="22"/>
              </w:rPr>
            </w:pPr>
            <w:r>
              <w:rPr>
                <w:rFonts w:cs="Calibri"/>
                <w:sz w:val="22"/>
                <w:szCs w:val="22"/>
              </w:rPr>
              <w:t>M1-like macrophage</w:t>
            </w:r>
            <w:r w:rsidRPr="00EF461A">
              <w:rPr>
                <w:rFonts w:cs="Calibri"/>
                <w:sz w:val="22"/>
                <w:szCs w:val="22"/>
              </w:rPr>
              <w:t>, DC, tumor cell</w:t>
            </w:r>
            <w:r>
              <w:rPr>
                <w:rFonts w:cs="Calibri"/>
                <w:sz w:val="22"/>
                <w:szCs w:val="22"/>
              </w:rPr>
              <w:t xml:space="preserve">. </w:t>
            </w:r>
            <w:r w:rsidRPr="00EF461A">
              <w:rPr>
                <w:rFonts w:cs="Calibri"/>
                <w:sz w:val="22"/>
                <w:szCs w:val="22"/>
              </w:rPr>
              <w:t>Enzyme in the kynurenine pathways</w:t>
            </w:r>
            <w:r>
              <w:rPr>
                <w:rFonts w:cs="Calibri"/>
                <w:sz w:val="22"/>
                <w:szCs w:val="22"/>
              </w:rPr>
              <w:t>. Immunosuppressive. Tx in clinical dev.</w:t>
            </w:r>
          </w:p>
        </w:tc>
        <w:tc>
          <w:tcPr>
            <w:tcW w:w="2065" w:type="dxa"/>
          </w:tcPr>
          <w:p w14:paraId="7E9EEF99" w14:textId="77777777" w:rsidR="00723F02" w:rsidRDefault="00723F02" w:rsidP="00BD361D">
            <w:pPr>
              <w:spacing w:after="120"/>
              <w:jc w:val="both"/>
              <w:rPr>
                <w:rFonts w:cs="Calibri"/>
                <w:sz w:val="22"/>
                <w:szCs w:val="22"/>
              </w:rPr>
            </w:pPr>
            <w:r w:rsidRPr="00F810E2">
              <w:rPr>
                <w:rFonts w:ascii="Calibri" w:hAnsi="Calibri"/>
                <w:color w:val="000000" w:themeColor="text1"/>
                <w:sz w:val="22"/>
                <w:szCs w:val="22"/>
              </w:rPr>
              <w:sym w:font="Wingdings" w:char="F0FC"/>
            </w:r>
          </w:p>
        </w:tc>
      </w:tr>
      <w:tr w:rsidR="00723F02" w:rsidRPr="007904DB" w14:paraId="77B6CE1F" w14:textId="77777777" w:rsidTr="00BD361D">
        <w:tc>
          <w:tcPr>
            <w:tcW w:w="2069" w:type="dxa"/>
          </w:tcPr>
          <w:p w14:paraId="5CD9A541" w14:textId="77777777" w:rsidR="00723F02" w:rsidRPr="007904DB" w:rsidRDefault="00723F02" w:rsidP="00BD361D">
            <w:pPr>
              <w:spacing w:after="120"/>
              <w:jc w:val="both"/>
              <w:rPr>
                <w:rFonts w:cs="Calibri"/>
                <w:sz w:val="22"/>
                <w:szCs w:val="22"/>
              </w:rPr>
            </w:pPr>
            <w:r>
              <w:rPr>
                <w:rFonts w:cs="Calibri"/>
                <w:sz w:val="22"/>
                <w:szCs w:val="22"/>
              </w:rPr>
              <w:t>Arginase 1</w:t>
            </w:r>
          </w:p>
        </w:tc>
        <w:tc>
          <w:tcPr>
            <w:tcW w:w="5216" w:type="dxa"/>
          </w:tcPr>
          <w:p w14:paraId="24A58B14" w14:textId="77777777" w:rsidR="00723F02" w:rsidRPr="007904DB" w:rsidRDefault="00723F02" w:rsidP="00BD361D">
            <w:pPr>
              <w:spacing w:after="120"/>
              <w:jc w:val="both"/>
              <w:rPr>
                <w:rFonts w:cs="Calibri"/>
                <w:sz w:val="22"/>
                <w:szCs w:val="22"/>
              </w:rPr>
            </w:pPr>
            <w:r>
              <w:rPr>
                <w:rFonts w:cs="Calibri"/>
                <w:sz w:val="22"/>
                <w:szCs w:val="22"/>
              </w:rPr>
              <w:t>M2-like macrophage. Enzyme in the urea cycle. Tx in clinical dev.</w:t>
            </w:r>
          </w:p>
        </w:tc>
        <w:tc>
          <w:tcPr>
            <w:tcW w:w="2065" w:type="dxa"/>
          </w:tcPr>
          <w:p w14:paraId="7DD53748" w14:textId="77777777" w:rsidR="00723F02" w:rsidRDefault="00723F02" w:rsidP="00BD361D">
            <w:pPr>
              <w:spacing w:after="120"/>
              <w:jc w:val="both"/>
              <w:rPr>
                <w:rFonts w:cs="Calibri"/>
                <w:sz w:val="22"/>
                <w:szCs w:val="22"/>
              </w:rPr>
            </w:pPr>
            <w:r w:rsidRPr="00F810E2">
              <w:rPr>
                <w:rFonts w:ascii="Calibri" w:hAnsi="Calibri"/>
                <w:color w:val="000000" w:themeColor="text1"/>
                <w:sz w:val="22"/>
                <w:szCs w:val="22"/>
              </w:rPr>
              <w:sym w:font="Wingdings" w:char="F0FC"/>
            </w:r>
          </w:p>
        </w:tc>
      </w:tr>
      <w:tr w:rsidR="00723F02" w:rsidRPr="007904DB" w14:paraId="553C4ADF" w14:textId="77777777" w:rsidTr="00BD361D">
        <w:tc>
          <w:tcPr>
            <w:tcW w:w="2069" w:type="dxa"/>
          </w:tcPr>
          <w:p w14:paraId="3B0E7CF7" w14:textId="77777777" w:rsidR="00723F02" w:rsidRPr="007904DB" w:rsidRDefault="00723F02" w:rsidP="00BD361D">
            <w:pPr>
              <w:spacing w:after="120"/>
              <w:jc w:val="both"/>
              <w:rPr>
                <w:rFonts w:cs="Calibri"/>
                <w:sz w:val="22"/>
                <w:szCs w:val="22"/>
              </w:rPr>
            </w:pPr>
            <w:r>
              <w:rPr>
                <w:rFonts w:cs="Calibri"/>
                <w:sz w:val="22"/>
                <w:szCs w:val="22"/>
              </w:rPr>
              <w:t>CD33</w:t>
            </w:r>
          </w:p>
        </w:tc>
        <w:tc>
          <w:tcPr>
            <w:tcW w:w="5216" w:type="dxa"/>
          </w:tcPr>
          <w:p w14:paraId="35DCD364" w14:textId="77777777" w:rsidR="00723F02" w:rsidRPr="007904DB" w:rsidRDefault="00723F02" w:rsidP="00BD361D">
            <w:pPr>
              <w:spacing w:after="120"/>
              <w:jc w:val="both"/>
              <w:rPr>
                <w:rFonts w:cs="Calibri"/>
                <w:sz w:val="22"/>
                <w:szCs w:val="22"/>
              </w:rPr>
            </w:pPr>
            <w:r w:rsidRPr="00EF461A">
              <w:rPr>
                <w:rFonts w:cs="Calibri"/>
                <w:sz w:val="22"/>
                <w:szCs w:val="22"/>
              </w:rPr>
              <w:t xml:space="preserve">AML, CML, Monocytes, </w:t>
            </w:r>
            <w:proofErr w:type="spellStart"/>
            <w:r w:rsidRPr="00EF461A">
              <w:rPr>
                <w:rFonts w:cs="Calibri"/>
                <w:sz w:val="22"/>
                <w:szCs w:val="22"/>
              </w:rPr>
              <w:t>pDC</w:t>
            </w:r>
            <w:proofErr w:type="spellEnd"/>
            <w:r w:rsidRPr="00EF461A">
              <w:rPr>
                <w:rFonts w:cs="Calibri"/>
                <w:sz w:val="22"/>
                <w:szCs w:val="22"/>
              </w:rPr>
              <w:t>, M</w:t>
            </w:r>
            <w:r>
              <w:rPr>
                <w:rFonts w:cs="Calibri"/>
                <w:sz w:val="22"/>
                <w:szCs w:val="22"/>
              </w:rPr>
              <w:t>yeloid “suppressor” cell</w:t>
            </w:r>
            <w:r w:rsidRPr="00EF461A">
              <w:rPr>
                <w:rFonts w:cs="Calibri"/>
                <w:sz w:val="22"/>
                <w:szCs w:val="22"/>
              </w:rPr>
              <w:t>.</w:t>
            </w:r>
            <w:r>
              <w:rPr>
                <w:rFonts w:cs="Calibri"/>
                <w:sz w:val="22"/>
                <w:szCs w:val="22"/>
              </w:rPr>
              <w:t xml:space="preserve"> </w:t>
            </w:r>
            <w:r w:rsidRPr="00EF461A">
              <w:rPr>
                <w:rFonts w:cs="Calibri"/>
                <w:sz w:val="22"/>
                <w:szCs w:val="22"/>
              </w:rPr>
              <w:t>Sialic acid binding Ig-like lectin (3</w:t>
            </w:r>
            <w:r>
              <w:rPr>
                <w:rFonts w:cs="Calibri"/>
                <w:sz w:val="22"/>
                <w:szCs w:val="22"/>
              </w:rPr>
              <w:t>)</w:t>
            </w:r>
          </w:p>
        </w:tc>
        <w:tc>
          <w:tcPr>
            <w:tcW w:w="2065" w:type="dxa"/>
          </w:tcPr>
          <w:p w14:paraId="73A67DFD" w14:textId="77777777" w:rsidR="00723F02" w:rsidRPr="00EF461A" w:rsidRDefault="00723F02" w:rsidP="00BD361D">
            <w:pPr>
              <w:spacing w:after="120"/>
              <w:jc w:val="both"/>
              <w:rPr>
                <w:rFonts w:cs="Calibri"/>
                <w:sz w:val="22"/>
                <w:szCs w:val="22"/>
              </w:rPr>
            </w:pPr>
            <w:r>
              <w:rPr>
                <w:rFonts w:ascii="Calibri" w:hAnsi="Calibri" w:cs="Calibri"/>
                <w:sz w:val="22"/>
                <w:szCs w:val="22"/>
              </w:rPr>
              <w:sym w:font="Wingdings" w:char="F0FB"/>
            </w:r>
          </w:p>
        </w:tc>
      </w:tr>
      <w:tr w:rsidR="00723F02" w:rsidRPr="007904DB" w14:paraId="50549A10" w14:textId="77777777" w:rsidTr="00BD361D">
        <w:tc>
          <w:tcPr>
            <w:tcW w:w="2069" w:type="dxa"/>
          </w:tcPr>
          <w:p w14:paraId="05111F83" w14:textId="77777777" w:rsidR="00723F02" w:rsidRPr="007904DB" w:rsidRDefault="00723F02" w:rsidP="00BD361D">
            <w:pPr>
              <w:spacing w:after="120"/>
              <w:jc w:val="both"/>
              <w:rPr>
                <w:rFonts w:cs="Calibri"/>
                <w:sz w:val="22"/>
                <w:szCs w:val="22"/>
              </w:rPr>
            </w:pPr>
            <w:r>
              <w:rPr>
                <w:rFonts w:cs="Calibri"/>
                <w:sz w:val="22"/>
                <w:szCs w:val="22"/>
              </w:rPr>
              <w:t>CD141</w:t>
            </w:r>
          </w:p>
        </w:tc>
        <w:tc>
          <w:tcPr>
            <w:tcW w:w="5216" w:type="dxa"/>
          </w:tcPr>
          <w:p w14:paraId="7CF2978A" w14:textId="77777777" w:rsidR="00723F02" w:rsidRPr="007904DB" w:rsidRDefault="00723F02" w:rsidP="00BD361D">
            <w:pPr>
              <w:spacing w:after="120"/>
              <w:jc w:val="both"/>
              <w:rPr>
                <w:rFonts w:cs="Calibri"/>
                <w:sz w:val="22"/>
                <w:szCs w:val="22"/>
              </w:rPr>
            </w:pPr>
            <w:r w:rsidRPr="00DB1BCF">
              <w:rPr>
                <w:rFonts w:cs="Calibri"/>
                <w:sz w:val="22"/>
                <w:szCs w:val="22"/>
              </w:rPr>
              <w:t xml:space="preserve">Endothelia, monocytes, Cross presenting DC1 (CD103 </w:t>
            </w:r>
            <w:proofErr w:type="spellStart"/>
            <w:r w:rsidRPr="00DB1BCF">
              <w:rPr>
                <w:rFonts w:cs="Calibri"/>
                <w:sz w:val="22"/>
                <w:szCs w:val="22"/>
              </w:rPr>
              <w:t>equiv</w:t>
            </w:r>
            <w:proofErr w:type="spellEnd"/>
            <w:r w:rsidRPr="00DB1BCF">
              <w:rPr>
                <w:rFonts w:cs="Calibri"/>
                <w:sz w:val="22"/>
                <w:szCs w:val="22"/>
              </w:rPr>
              <w:t>)</w:t>
            </w:r>
            <w:r>
              <w:rPr>
                <w:rFonts w:cs="Calibri"/>
                <w:sz w:val="22"/>
                <w:szCs w:val="22"/>
              </w:rPr>
              <w:t xml:space="preserve">. </w:t>
            </w:r>
            <w:proofErr w:type="spellStart"/>
            <w:r w:rsidRPr="00DB1BCF">
              <w:rPr>
                <w:rFonts w:cs="Calibri"/>
                <w:sz w:val="22"/>
                <w:szCs w:val="22"/>
              </w:rPr>
              <w:t>Thombomodulin</w:t>
            </w:r>
            <w:proofErr w:type="spellEnd"/>
            <w:r w:rsidRPr="00DB1BCF">
              <w:rPr>
                <w:rFonts w:cs="Calibri"/>
                <w:sz w:val="22"/>
                <w:szCs w:val="22"/>
              </w:rPr>
              <w:t xml:space="preserve"> – anti-coagulant by thrombin conversion</w:t>
            </w:r>
          </w:p>
        </w:tc>
        <w:tc>
          <w:tcPr>
            <w:tcW w:w="2065" w:type="dxa"/>
          </w:tcPr>
          <w:p w14:paraId="01AC76C2" w14:textId="77777777" w:rsidR="00723F02" w:rsidRPr="00DB1BCF" w:rsidRDefault="00723F02" w:rsidP="00BD361D">
            <w:pPr>
              <w:spacing w:after="120"/>
              <w:jc w:val="both"/>
              <w:rPr>
                <w:rFonts w:cs="Calibri"/>
                <w:sz w:val="22"/>
                <w:szCs w:val="22"/>
              </w:rPr>
            </w:pPr>
            <w:r w:rsidRPr="00A60CFE">
              <w:rPr>
                <w:rFonts w:ascii="Calibri" w:hAnsi="Calibri"/>
                <w:color w:val="000000" w:themeColor="text1"/>
                <w:sz w:val="22"/>
                <w:szCs w:val="22"/>
              </w:rPr>
              <w:sym w:font="Wingdings" w:char="F0FC"/>
            </w:r>
          </w:p>
        </w:tc>
      </w:tr>
      <w:tr w:rsidR="00723F02" w:rsidRPr="007904DB" w14:paraId="6F6744A0" w14:textId="77777777" w:rsidTr="00BD361D">
        <w:tc>
          <w:tcPr>
            <w:tcW w:w="2069" w:type="dxa"/>
          </w:tcPr>
          <w:p w14:paraId="58A72A62" w14:textId="77777777" w:rsidR="00723F02" w:rsidRPr="007904DB" w:rsidRDefault="00723F02" w:rsidP="00BD361D">
            <w:pPr>
              <w:spacing w:after="120"/>
              <w:jc w:val="both"/>
              <w:rPr>
                <w:rFonts w:cs="Calibri"/>
                <w:sz w:val="22"/>
                <w:szCs w:val="22"/>
              </w:rPr>
            </w:pPr>
            <w:r>
              <w:rPr>
                <w:rFonts w:cs="Calibri"/>
                <w:sz w:val="22"/>
                <w:szCs w:val="22"/>
              </w:rPr>
              <w:t>CD209 (DC-SIGN)</w:t>
            </w:r>
          </w:p>
        </w:tc>
        <w:tc>
          <w:tcPr>
            <w:tcW w:w="5216" w:type="dxa"/>
          </w:tcPr>
          <w:p w14:paraId="2011E8E4" w14:textId="77777777" w:rsidR="00723F02" w:rsidRPr="007904DB" w:rsidRDefault="00723F02" w:rsidP="00BD361D">
            <w:pPr>
              <w:spacing w:after="120"/>
              <w:jc w:val="both"/>
              <w:rPr>
                <w:rFonts w:cs="Calibri"/>
                <w:sz w:val="22"/>
                <w:szCs w:val="22"/>
              </w:rPr>
            </w:pPr>
            <w:r w:rsidRPr="00EF461A">
              <w:rPr>
                <w:rFonts w:cs="Calibri"/>
                <w:sz w:val="22"/>
                <w:szCs w:val="22"/>
              </w:rPr>
              <w:t>DC2 (</w:t>
            </w:r>
            <w:proofErr w:type="spellStart"/>
            <w:r w:rsidRPr="00EF461A">
              <w:rPr>
                <w:rFonts w:cs="Calibri"/>
                <w:sz w:val="22"/>
                <w:szCs w:val="22"/>
              </w:rPr>
              <w:t>mDC</w:t>
            </w:r>
            <w:proofErr w:type="spellEnd"/>
            <w:r w:rsidRPr="00EF461A">
              <w:rPr>
                <w:rFonts w:cs="Calibri"/>
                <w:sz w:val="22"/>
                <w:szCs w:val="22"/>
              </w:rPr>
              <w:t>), macrophages</w:t>
            </w:r>
            <w:r>
              <w:rPr>
                <w:rFonts w:cs="Calibri"/>
                <w:sz w:val="22"/>
                <w:szCs w:val="22"/>
              </w:rPr>
              <w:t>. Adhesion molecule</w:t>
            </w:r>
          </w:p>
        </w:tc>
        <w:tc>
          <w:tcPr>
            <w:tcW w:w="2065" w:type="dxa"/>
          </w:tcPr>
          <w:p w14:paraId="6A202CE5" w14:textId="77777777" w:rsidR="00723F02" w:rsidRPr="00EF461A" w:rsidRDefault="00723F02" w:rsidP="00BD361D">
            <w:pPr>
              <w:spacing w:after="120"/>
              <w:jc w:val="both"/>
              <w:rPr>
                <w:rFonts w:cs="Calibri"/>
                <w:sz w:val="22"/>
                <w:szCs w:val="22"/>
              </w:rPr>
            </w:pPr>
            <w:r w:rsidRPr="00A60CFE">
              <w:rPr>
                <w:rFonts w:ascii="Calibri" w:hAnsi="Calibri"/>
                <w:color w:val="000000" w:themeColor="text1"/>
                <w:sz w:val="22"/>
                <w:szCs w:val="22"/>
              </w:rPr>
              <w:sym w:font="Wingdings" w:char="F0FC"/>
            </w:r>
          </w:p>
        </w:tc>
      </w:tr>
      <w:tr w:rsidR="00723F02" w:rsidRPr="007904DB" w14:paraId="61B21CDF" w14:textId="77777777" w:rsidTr="00BD361D">
        <w:tc>
          <w:tcPr>
            <w:tcW w:w="2069" w:type="dxa"/>
          </w:tcPr>
          <w:p w14:paraId="67C09C7E" w14:textId="77777777" w:rsidR="00723F02" w:rsidRDefault="00723F02" w:rsidP="00BD361D">
            <w:pPr>
              <w:spacing w:after="120"/>
              <w:jc w:val="both"/>
              <w:rPr>
                <w:rFonts w:cs="Calibri"/>
                <w:sz w:val="22"/>
                <w:szCs w:val="22"/>
              </w:rPr>
            </w:pPr>
            <w:r>
              <w:rPr>
                <w:rFonts w:cs="Calibri"/>
                <w:sz w:val="22"/>
                <w:szCs w:val="22"/>
              </w:rPr>
              <w:t>CD208 (Lamp3)</w:t>
            </w:r>
          </w:p>
        </w:tc>
        <w:tc>
          <w:tcPr>
            <w:tcW w:w="5216" w:type="dxa"/>
          </w:tcPr>
          <w:p w14:paraId="63407D0A" w14:textId="77777777" w:rsidR="00723F02" w:rsidRPr="00EF461A" w:rsidRDefault="00723F02" w:rsidP="00BD361D">
            <w:pPr>
              <w:spacing w:after="120"/>
              <w:jc w:val="both"/>
              <w:rPr>
                <w:rFonts w:cs="Calibri"/>
                <w:sz w:val="22"/>
                <w:szCs w:val="22"/>
              </w:rPr>
            </w:pPr>
            <w:r>
              <w:rPr>
                <w:rFonts w:cs="Calibri"/>
                <w:sz w:val="22"/>
                <w:szCs w:val="22"/>
              </w:rPr>
              <w:t>Mature dendritic cell. Antigen presentation on HLA class 1.</w:t>
            </w:r>
          </w:p>
        </w:tc>
        <w:tc>
          <w:tcPr>
            <w:tcW w:w="2065" w:type="dxa"/>
          </w:tcPr>
          <w:p w14:paraId="3C09DEB8" w14:textId="77777777" w:rsidR="00723F02" w:rsidRDefault="00723F02" w:rsidP="00BD361D">
            <w:pPr>
              <w:spacing w:after="120"/>
              <w:jc w:val="both"/>
              <w:rPr>
                <w:rFonts w:cs="Calibri"/>
                <w:sz w:val="22"/>
                <w:szCs w:val="22"/>
              </w:rPr>
            </w:pPr>
            <w:r w:rsidRPr="00B363F7">
              <w:rPr>
                <w:rFonts w:ascii="Calibri" w:hAnsi="Calibri" w:cs="Calibri"/>
                <w:sz w:val="22"/>
                <w:szCs w:val="22"/>
              </w:rPr>
              <w:sym w:font="Wingdings" w:char="F0FB"/>
            </w:r>
          </w:p>
        </w:tc>
      </w:tr>
      <w:tr w:rsidR="00723F02" w:rsidRPr="007904DB" w14:paraId="230C62C1" w14:textId="77777777" w:rsidTr="00BD361D">
        <w:tc>
          <w:tcPr>
            <w:tcW w:w="2069" w:type="dxa"/>
          </w:tcPr>
          <w:p w14:paraId="090A83A9" w14:textId="77777777" w:rsidR="00723F02" w:rsidRPr="007904DB" w:rsidRDefault="00723F02" w:rsidP="00BD361D">
            <w:pPr>
              <w:spacing w:after="120"/>
              <w:jc w:val="both"/>
              <w:rPr>
                <w:rFonts w:cs="Calibri"/>
                <w:sz w:val="22"/>
                <w:szCs w:val="22"/>
              </w:rPr>
            </w:pPr>
            <w:r>
              <w:rPr>
                <w:rFonts w:cs="Calibri"/>
                <w:sz w:val="22"/>
                <w:szCs w:val="22"/>
              </w:rPr>
              <w:t>CD123</w:t>
            </w:r>
          </w:p>
        </w:tc>
        <w:tc>
          <w:tcPr>
            <w:tcW w:w="5216" w:type="dxa"/>
          </w:tcPr>
          <w:p w14:paraId="7369AC67" w14:textId="77777777" w:rsidR="00723F02" w:rsidRPr="007904DB" w:rsidRDefault="00723F02" w:rsidP="00BD361D">
            <w:pPr>
              <w:spacing w:after="120"/>
              <w:jc w:val="both"/>
              <w:rPr>
                <w:rFonts w:cs="Calibri"/>
                <w:sz w:val="22"/>
                <w:szCs w:val="22"/>
              </w:rPr>
            </w:pPr>
            <w:r>
              <w:rPr>
                <w:rFonts w:cs="Calibri"/>
                <w:sz w:val="22"/>
                <w:szCs w:val="22"/>
              </w:rPr>
              <w:t xml:space="preserve">AML, </w:t>
            </w:r>
            <w:proofErr w:type="spellStart"/>
            <w:r w:rsidRPr="007904DB">
              <w:rPr>
                <w:rFonts w:cs="Calibri"/>
                <w:sz w:val="22"/>
                <w:szCs w:val="22"/>
              </w:rPr>
              <w:t>pDC</w:t>
            </w:r>
            <w:proofErr w:type="spellEnd"/>
            <w:r>
              <w:rPr>
                <w:rFonts w:cs="Calibri"/>
                <w:sz w:val="22"/>
                <w:szCs w:val="22"/>
              </w:rPr>
              <w:t>, DC, basophil. IL-3 R.</w:t>
            </w:r>
          </w:p>
        </w:tc>
        <w:tc>
          <w:tcPr>
            <w:tcW w:w="2065" w:type="dxa"/>
          </w:tcPr>
          <w:p w14:paraId="3807EC98" w14:textId="77777777" w:rsidR="00723F02" w:rsidRDefault="00723F02" w:rsidP="00BD361D">
            <w:pPr>
              <w:spacing w:after="120"/>
              <w:jc w:val="both"/>
              <w:rPr>
                <w:rFonts w:cs="Calibri"/>
                <w:sz w:val="22"/>
                <w:szCs w:val="22"/>
              </w:rPr>
            </w:pPr>
            <w:r w:rsidRPr="00B363F7">
              <w:rPr>
                <w:rFonts w:ascii="Calibri" w:hAnsi="Calibri" w:cs="Calibri"/>
                <w:sz w:val="22"/>
                <w:szCs w:val="22"/>
              </w:rPr>
              <w:sym w:font="Wingdings" w:char="F0FB"/>
            </w:r>
          </w:p>
        </w:tc>
      </w:tr>
      <w:tr w:rsidR="00723F02" w:rsidRPr="007904DB" w14:paraId="3FFD40FD" w14:textId="77777777" w:rsidTr="00BD361D">
        <w:tc>
          <w:tcPr>
            <w:tcW w:w="2069" w:type="dxa"/>
          </w:tcPr>
          <w:p w14:paraId="2D35504B" w14:textId="77777777" w:rsidR="00723F02" w:rsidRPr="007904DB" w:rsidRDefault="00723F02" w:rsidP="00BD361D">
            <w:pPr>
              <w:spacing w:after="120"/>
              <w:jc w:val="both"/>
              <w:rPr>
                <w:rFonts w:cs="Calibri"/>
                <w:sz w:val="22"/>
                <w:szCs w:val="22"/>
              </w:rPr>
            </w:pPr>
            <w:r>
              <w:rPr>
                <w:rFonts w:cs="Calibri"/>
                <w:sz w:val="22"/>
                <w:szCs w:val="22"/>
              </w:rPr>
              <w:t xml:space="preserve">Mast cell </w:t>
            </w:r>
            <w:proofErr w:type="spellStart"/>
            <w:r>
              <w:rPr>
                <w:rFonts w:cs="Calibri"/>
                <w:sz w:val="22"/>
                <w:szCs w:val="22"/>
              </w:rPr>
              <w:t>chymase</w:t>
            </w:r>
            <w:proofErr w:type="spellEnd"/>
          </w:p>
        </w:tc>
        <w:tc>
          <w:tcPr>
            <w:tcW w:w="5216" w:type="dxa"/>
          </w:tcPr>
          <w:p w14:paraId="71562057" w14:textId="77777777" w:rsidR="00723F02" w:rsidRPr="007904DB" w:rsidRDefault="00723F02" w:rsidP="00BD361D">
            <w:pPr>
              <w:spacing w:after="120"/>
              <w:jc w:val="both"/>
              <w:rPr>
                <w:rFonts w:cs="Calibri"/>
                <w:sz w:val="22"/>
                <w:szCs w:val="22"/>
              </w:rPr>
            </w:pPr>
            <w:r>
              <w:rPr>
                <w:rFonts w:cs="Calibri"/>
                <w:sz w:val="22"/>
                <w:szCs w:val="22"/>
              </w:rPr>
              <w:t xml:space="preserve">Mast cell. </w:t>
            </w:r>
            <w:proofErr w:type="spellStart"/>
            <w:r>
              <w:rPr>
                <w:rFonts w:cs="Calibri"/>
                <w:sz w:val="22"/>
                <w:szCs w:val="22"/>
              </w:rPr>
              <w:t>Peptidolysis</w:t>
            </w:r>
            <w:proofErr w:type="spellEnd"/>
            <w:r>
              <w:rPr>
                <w:rFonts w:cs="Calibri"/>
                <w:sz w:val="22"/>
                <w:szCs w:val="22"/>
              </w:rPr>
              <w:t>. Pro-inflammatory.</w:t>
            </w:r>
          </w:p>
        </w:tc>
        <w:tc>
          <w:tcPr>
            <w:tcW w:w="2065" w:type="dxa"/>
          </w:tcPr>
          <w:p w14:paraId="1023944E" w14:textId="77777777" w:rsidR="00723F02" w:rsidRDefault="00723F02" w:rsidP="00BD361D">
            <w:pPr>
              <w:spacing w:after="120"/>
              <w:jc w:val="both"/>
              <w:rPr>
                <w:rFonts w:cs="Calibri"/>
                <w:sz w:val="22"/>
                <w:szCs w:val="22"/>
              </w:rPr>
            </w:pPr>
            <w:r w:rsidRPr="00B57A35">
              <w:rPr>
                <w:rFonts w:ascii="Calibri" w:hAnsi="Calibri"/>
                <w:color w:val="000000" w:themeColor="text1"/>
                <w:sz w:val="22"/>
                <w:szCs w:val="22"/>
              </w:rPr>
              <w:sym w:font="Wingdings" w:char="F0FC"/>
            </w:r>
          </w:p>
        </w:tc>
      </w:tr>
      <w:tr w:rsidR="00723F02" w:rsidRPr="007904DB" w14:paraId="4E240B70" w14:textId="77777777" w:rsidTr="00BD361D">
        <w:tc>
          <w:tcPr>
            <w:tcW w:w="2069" w:type="dxa"/>
          </w:tcPr>
          <w:p w14:paraId="71B2FCC7" w14:textId="77777777" w:rsidR="00723F02" w:rsidRPr="007904DB" w:rsidRDefault="00723F02" w:rsidP="00BD361D">
            <w:pPr>
              <w:spacing w:after="120"/>
              <w:jc w:val="both"/>
              <w:rPr>
                <w:rFonts w:cs="Calibri"/>
                <w:sz w:val="22"/>
                <w:szCs w:val="22"/>
              </w:rPr>
            </w:pPr>
            <w:r>
              <w:rPr>
                <w:rFonts w:cs="Calibri"/>
                <w:sz w:val="22"/>
                <w:szCs w:val="22"/>
              </w:rPr>
              <w:t>PD-1</w:t>
            </w:r>
          </w:p>
        </w:tc>
        <w:tc>
          <w:tcPr>
            <w:tcW w:w="5216" w:type="dxa"/>
          </w:tcPr>
          <w:p w14:paraId="7A985A72" w14:textId="77777777" w:rsidR="00723F02" w:rsidRPr="007904DB" w:rsidRDefault="00723F02" w:rsidP="00BD361D">
            <w:pPr>
              <w:tabs>
                <w:tab w:val="left" w:pos="4100"/>
              </w:tabs>
              <w:spacing w:after="120"/>
              <w:jc w:val="both"/>
              <w:rPr>
                <w:rFonts w:cs="Calibri"/>
                <w:sz w:val="22"/>
                <w:szCs w:val="22"/>
              </w:rPr>
            </w:pPr>
            <w:r w:rsidRPr="007A2E8E">
              <w:rPr>
                <w:rFonts w:cs="Calibri"/>
                <w:sz w:val="22"/>
                <w:szCs w:val="22"/>
              </w:rPr>
              <w:t>Activated CD8+, CD4+ Teff, Treg. Tex</w:t>
            </w:r>
            <w:r>
              <w:rPr>
                <w:rFonts w:cs="Calibri"/>
                <w:sz w:val="22"/>
                <w:szCs w:val="22"/>
              </w:rPr>
              <w:t xml:space="preserve">. </w:t>
            </w:r>
            <w:r w:rsidRPr="007A2E8E">
              <w:rPr>
                <w:rFonts w:cs="Calibri"/>
                <w:sz w:val="22"/>
                <w:szCs w:val="22"/>
              </w:rPr>
              <w:t>Co-inhibitory molecule. Anti-apoptotic</w:t>
            </w:r>
            <w:r>
              <w:rPr>
                <w:rFonts w:cs="Calibri"/>
                <w:sz w:val="22"/>
                <w:szCs w:val="22"/>
              </w:rPr>
              <w:t>. Tx in clinical dev.</w:t>
            </w:r>
          </w:p>
        </w:tc>
        <w:tc>
          <w:tcPr>
            <w:tcW w:w="2065" w:type="dxa"/>
          </w:tcPr>
          <w:p w14:paraId="41D2C6DE" w14:textId="77777777" w:rsidR="00723F02" w:rsidRPr="007A2E8E" w:rsidRDefault="00723F02" w:rsidP="00BD361D">
            <w:pPr>
              <w:tabs>
                <w:tab w:val="left" w:pos="4100"/>
              </w:tabs>
              <w:spacing w:after="120"/>
              <w:jc w:val="both"/>
              <w:rPr>
                <w:rFonts w:cs="Calibri"/>
                <w:sz w:val="22"/>
                <w:szCs w:val="22"/>
              </w:rPr>
            </w:pPr>
            <w:r w:rsidRPr="00B57A35">
              <w:rPr>
                <w:rFonts w:ascii="Calibri" w:hAnsi="Calibri"/>
                <w:color w:val="000000" w:themeColor="text1"/>
                <w:sz w:val="22"/>
                <w:szCs w:val="22"/>
              </w:rPr>
              <w:sym w:font="Wingdings" w:char="F0FC"/>
            </w:r>
          </w:p>
        </w:tc>
      </w:tr>
      <w:tr w:rsidR="00723F02" w:rsidRPr="007904DB" w14:paraId="161D0496" w14:textId="77777777" w:rsidTr="00BD361D">
        <w:tc>
          <w:tcPr>
            <w:tcW w:w="2069" w:type="dxa"/>
          </w:tcPr>
          <w:p w14:paraId="57D7AAE4" w14:textId="77777777" w:rsidR="00723F02" w:rsidRDefault="00723F02" w:rsidP="00BD361D">
            <w:pPr>
              <w:spacing w:after="120"/>
              <w:jc w:val="both"/>
              <w:rPr>
                <w:rFonts w:cs="Calibri"/>
                <w:sz w:val="22"/>
                <w:szCs w:val="22"/>
              </w:rPr>
            </w:pPr>
            <w:r>
              <w:rPr>
                <w:rFonts w:cs="Calibri"/>
                <w:sz w:val="22"/>
                <w:szCs w:val="22"/>
              </w:rPr>
              <w:t>PD-L1</w:t>
            </w:r>
          </w:p>
        </w:tc>
        <w:tc>
          <w:tcPr>
            <w:tcW w:w="5216" w:type="dxa"/>
          </w:tcPr>
          <w:p w14:paraId="07C3D98E" w14:textId="77777777" w:rsidR="00723F02" w:rsidRPr="007904DB" w:rsidRDefault="00723F02" w:rsidP="00BD361D">
            <w:pPr>
              <w:spacing w:after="120"/>
              <w:jc w:val="both"/>
              <w:rPr>
                <w:rFonts w:cs="Calibri"/>
                <w:sz w:val="22"/>
                <w:szCs w:val="22"/>
              </w:rPr>
            </w:pPr>
            <w:r w:rsidRPr="007A2E8E">
              <w:rPr>
                <w:rFonts w:cs="Calibri"/>
                <w:sz w:val="22"/>
                <w:szCs w:val="22"/>
              </w:rPr>
              <w:t xml:space="preserve">Tumor cell, activated CD4+ CD8+ T cell, NK </w:t>
            </w:r>
            <w:proofErr w:type="gramStart"/>
            <w:r w:rsidRPr="007A2E8E">
              <w:rPr>
                <w:rFonts w:cs="Calibri"/>
                <w:sz w:val="22"/>
                <w:szCs w:val="22"/>
              </w:rPr>
              <w:t>cells,  monocyte</w:t>
            </w:r>
            <w:proofErr w:type="gramEnd"/>
            <w:r w:rsidRPr="007A2E8E">
              <w:rPr>
                <w:rFonts w:cs="Calibri"/>
                <w:sz w:val="22"/>
                <w:szCs w:val="22"/>
              </w:rPr>
              <w:t>, TAM, MDSC.</w:t>
            </w:r>
            <w:r>
              <w:rPr>
                <w:rFonts w:cs="Calibri"/>
                <w:sz w:val="22"/>
                <w:szCs w:val="22"/>
              </w:rPr>
              <w:t xml:space="preserve"> </w:t>
            </w:r>
            <w:r w:rsidRPr="007A2E8E">
              <w:rPr>
                <w:rFonts w:cs="Calibri"/>
                <w:sz w:val="22"/>
                <w:szCs w:val="22"/>
              </w:rPr>
              <w:t>Co-inhibitory molecule / ligand</w:t>
            </w:r>
            <w:r>
              <w:rPr>
                <w:rFonts w:cs="Calibri"/>
                <w:sz w:val="22"/>
                <w:szCs w:val="22"/>
              </w:rPr>
              <w:t>. Tx in clinical dev.</w:t>
            </w:r>
          </w:p>
        </w:tc>
        <w:tc>
          <w:tcPr>
            <w:tcW w:w="2065" w:type="dxa"/>
          </w:tcPr>
          <w:p w14:paraId="7F7DBF33" w14:textId="77777777" w:rsidR="00723F02" w:rsidRPr="007A2E8E" w:rsidRDefault="00723F02" w:rsidP="00BD361D">
            <w:pPr>
              <w:spacing w:after="120"/>
              <w:jc w:val="both"/>
              <w:rPr>
                <w:rFonts w:cs="Calibri"/>
                <w:sz w:val="22"/>
                <w:szCs w:val="22"/>
              </w:rPr>
            </w:pPr>
            <w:r w:rsidRPr="00B57A35">
              <w:rPr>
                <w:rFonts w:ascii="Calibri" w:hAnsi="Calibri"/>
                <w:color w:val="000000" w:themeColor="text1"/>
                <w:sz w:val="22"/>
                <w:szCs w:val="22"/>
              </w:rPr>
              <w:sym w:font="Wingdings" w:char="F0FC"/>
            </w:r>
          </w:p>
        </w:tc>
      </w:tr>
      <w:tr w:rsidR="00723F02" w:rsidRPr="007904DB" w14:paraId="25ECD626" w14:textId="77777777" w:rsidTr="00BD361D">
        <w:tc>
          <w:tcPr>
            <w:tcW w:w="2069" w:type="dxa"/>
          </w:tcPr>
          <w:p w14:paraId="7245A81C" w14:textId="77777777" w:rsidR="00723F02" w:rsidRPr="007904DB" w:rsidRDefault="00723F02" w:rsidP="00BD361D">
            <w:pPr>
              <w:spacing w:after="120"/>
              <w:jc w:val="both"/>
              <w:rPr>
                <w:rFonts w:cs="Calibri"/>
                <w:sz w:val="22"/>
                <w:szCs w:val="22"/>
              </w:rPr>
            </w:pPr>
            <w:r>
              <w:rPr>
                <w:rFonts w:cs="Calibri"/>
                <w:sz w:val="22"/>
                <w:szCs w:val="22"/>
              </w:rPr>
              <w:t>CD47</w:t>
            </w:r>
          </w:p>
        </w:tc>
        <w:tc>
          <w:tcPr>
            <w:tcW w:w="5216" w:type="dxa"/>
          </w:tcPr>
          <w:p w14:paraId="754F2E28" w14:textId="77777777" w:rsidR="00723F02" w:rsidRPr="00AF1668" w:rsidRDefault="00723F02" w:rsidP="00BD361D">
            <w:pPr>
              <w:spacing w:after="120"/>
              <w:rPr>
                <w:rFonts w:ascii="Calibri" w:hAnsi="Calibri" w:cs="Calibri"/>
                <w:color w:val="000000"/>
                <w:sz w:val="22"/>
                <w:szCs w:val="22"/>
              </w:rPr>
            </w:pPr>
            <w:r w:rsidRPr="007A2E8E">
              <w:rPr>
                <w:rFonts w:ascii="Calibri" w:hAnsi="Calibri" w:cs="Calibri"/>
                <w:color w:val="000000"/>
                <w:sz w:val="22"/>
                <w:szCs w:val="22"/>
              </w:rPr>
              <w:t xml:space="preserve">Monocyte, TAM, DC, NK, </w:t>
            </w:r>
            <w:proofErr w:type="spellStart"/>
            <w:r w:rsidRPr="007A2E8E">
              <w:rPr>
                <w:rFonts w:ascii="Calibri" w:hAnsi="Calibri" w:cs="Calibri"/>
                <w:color w:val="000000"/>
                <w:sz w:val="22"/>
                <w:szCs w:val="22"/>
              </w:rPr>
              <w:t>Bcell</w:t>
            </w:r>
            <w:proofErr w:type="spellEnd"/>
            <w:r>
              <w:rPr>
                <w:rFonts w:ascii="Calibri" w:hAnsi="Calibri" w:cs="Calibri"/>
                <w:color w:val="000000"/>
                <w:sz w:val="22"/>
                <w:szCs w:val="22"/>
              </w:rPr>
              <w:t xml:space="preserve">. Phagocytosis. </w:t>
            </w:r>
            <w:r>
              <w:rPr>
                <w:rFonts w:cs="Calibri"/>
                <w:sz w:val="22"/>
                <w:szCs w:val="22"/>
              </w:rPr>
              <w:t>Tx in clinical dev.</w:t>
            </w:r>
          </w:p>
        </w:tc>
        <w:tc>
          <w:tcPr>
            <w:tcW w:w="2065" w:type="dxa"/>
          </w:tcPr>
          <w:p w14:paraId="79AABBA0" w14:textId="77777777" w:rsidR="00723F02" w:rsidRPr="007A2E8E" w:rsidRDefault="00723F02" w:rsidP="00BD361D">
            <w:pPr>
              <w:spacing w:after="120"/>
              <w:rPr>
                <w:rFonts w:ascii="Calibri" w:hAnsi="Calibri" w:cs="Calibri"/>
                <w:color w:val="000000"/>
                <w:sz w:val="22"/>
                <w:szCs w:val="22"/>
              </w:rPr>
            </w:pPr>
            <w:r w:rsidRPr="00AA6EBA">
              <w:rPr>
                <w:rFonts w:ascii="Calibri" w:hAnsi="Calibri"/>
                <w:color w:val="000000" w:themeColor="text1"/>
                <w:sz w:val="22"/>
                <w:szCs w:val="22"/>
              </w:rPr>
              <w:sym w:font="Wingdings" w:char="F0FC"/>
            </w:r>
          </w:p>
        </w:tc>
      </w:tr>
      <w:tr w:rsidR="00723F02" w:rsidRPr="007904DB" w14:paraId="7F948A16" w14:textId="77777777" w:rsidTr="00BD361D">
        <w:tc>
          <w:tcPr>
            <w:tcW w:w="2069" w:type="dxa"/>
          </w:tcPr>
          <w:p w14:paraId="09E02E60" w14:textId="77777777" w:rsidR="00723F02" w:rsidRDefault="00723F02" w:rsidP="00BD361D">
            <w:pPr>
              <w:spacing w:after="120"/>
              <w:jc w:val="both"/>
              <w:rPr>
                <w:rFonts w:cs="Calibri"/>
                <w:sz w:val="22"/>
                <w:szCs w:val="22"/>
              </w:rPr>
            </w:pPr>
            <w:r>
              <w:rPr>
                <w:rFonts w:cs="Calibri"/>
                <w:sz w:val="22"/>
                <w:szCs w:val="22"/>
              </w:rPr>
              <w:t>CD38</w:t>
            </w:r>
          </w:p>
        </w:tc>
        <w:tc>
          <w:tcPr>
            <w:tcW w:w="5216" w:type="dxa"/>
          </w:tcPr>
          <w:p w14:paraId="785FBFAF" w14:textId="77777777" w:rsidR="00723F02" w:rsidRDefault="00723F02" w:rsidP="00BD361D">
            <w:pPr>
              <w:spacing w:after="120"/>
              <w:rPr>
                <w:rFonts w:ascii="Calibri" w:hAnsi="Calibri" w:cs="Calibri"/>
                <w:color w:val="000000"/>
                <w:sz w:val="22"/>
                <w:szCs w:val="22"/>
              </w:rPr>
            </w:pPr>
            <w:r w:rsidRPr="00EF461A">
              <w:rPr>
                <w:rFonts w:ascii="Calibri" w:hAnsi="Calibri" w:cs="Calibri"/>
                <w:color w:val="000000"/>
                <w:sz w:val="22"/>
                <w:szCs w:val="22"/>
              </w:rPr>
              <w:t xml:space="preserve">Activated B cell, </w:t>
            </w:r>
            <w:proofErr w:type="spellStart"/>
            <w:r w:rsidRPr="00EF461A">
              <w:rPr>
                <w:rFonts w:ascii="Calibri" w:hAnsi="Calibri" w:cs="Calibri"/>
                <w:color w:val="000000"/>
                <w:sz w:val="22"/>
                <w:szCs w:val="22"/>
              </w:rPr>
              <w:t>Breg</w:t>
            </w:r>
            <w:proofErr w:type="spellEnd"/>
            <w:r w:rsidRPr="00EF461A">
              <w:rPr>
                <w:rFonts w:ascii="Calibri" w:hAnsi="Calibri" w:cs="Calibri"/>
                <w:color w:val="000000"/>
                <w:sz w:val="22"/>
                <w:szCs w:val="22"/>
              </w:rPr>
              <w:t xml:space="preserve">, </w:t>
            </w:r>
            <w:proofErr w:type="spellStart"/>
            <w:r w:rsidRPr="00EF461A">
              <w:rPr>
                <w:rFonts w:ascii="Calibri" w:hAnsi="Calibri" w:cs="Calibri"/>
                <w:color w:val="000000"/>
                <w:sz w:val="22"/>
                <w:szCs w:val="22"/>
              </w:rPr>
              <w:t>activ</w:t>
            </w:r>
            <w:proofErr w:type="spellEnd"/>
            <w:r w:rsidRPr="00EF461A">
              <w:rPr>
                <w:rFonts w:ascii="Calibri" w:hAnsi="Calibri" w:cs="Calibri"/>
                <w:color w:val="000000"/>
                <w:sz w:val="22"/>
                <w:szCs w:val="22"/>
              </w:rPr>
              <w:t xml:space="preserve">. CD4+ T cell, CD8+ T cell. </w:t>
            </w:r>
            <w:proofErr w:type="spellStart"/>
            <w:r w:rsidRPr="00EF461A">
              <w:rPr>
                <w:rFonts w:ascii="Calibri" w:hAnsi="Calibri" w:cs="Calibri"/>
                <w:color w:val="000000"/>
                <w:sz w:val="22"/>
                <w:szCs w:val="22"/>
              </w:rPr>
              <w:t>TermEx</w:t>
            </w:r>
            <w:proofErr w:type="spellEnd"/>
            <w:r w:rsidRPr="00EF461A">
              <w:rPr>
                <w:rFonts w:ascii="Calibri" w:hAnsi="Calibri" w:cs="Calibri"/>
                <w:color w:val="000000"/>
                <w:sz w:val="22"/>
                <w:szCs w:val="22"/>
              </w:rPr>
              <w:t xml:space="preserve">. MDSC. TAM. </w:t>
            </w:r>
            <w:proofErr w:type="spellStart"/>
            <w:r w:rsidRPr="00EF461A">
              <w:rPr>
                <w:rFonts w:ascii="Calibri" w:hAnsi="Calibri" w:cs="Calibri"/>
                <w:color w:val="000000"/>
                <w:sz w:val="22"/>
                <w:szCs w:val="22"/>
              </w:rPr>
              <w:t>Activ</w:t>
            </w:r>
            <w:proofErr w:type="spellEnd"/>
            <w:r w:rsidRPr="00EF461A">
              <w:rPr>
                <w:rFonts w:ascii="Calibri" w:hAnsi="Calibri" w:cs="Calibri"/>
                <w:color w:val="000000"/>
                <w:sz w:val="22"/>
                <w:szCs w:val="22"/>
              </w:rPr>
              <w:t>. NK.</w:t>
            </w:r>
            <w:r>
              <w:rPr>
                <w:rFonts w:ascii="Calibri" w:hAnsi="Calibri" w:cs="Calibri"/>
                <w:color w:val="000000"/>
                <w:sz w:val="22"/>
                <w:szCs w:val="22"/>
              </w:rPr>
              <w:t xml:space="preserve"> </w:t>
            </w:r>
            <w:r w:rsidRPr="00EF461A">
              <w:rPr>
                <w:rFonts w:ascii="Calibri" w:hAnsi="Calibri" w:cs="Calibri"/>
                <w:color w:val="000000"/>
                <w:sz w:val="22"/>
                <w:szCs w:val="22"/>
              </w:rPr>
              <w:t>ADP ribosyl cyclase</w:t>
            </w:r>
            <w:r>
              <w:rPr>
                <w:rFonts w:ascii="Calibri" w:hAnsi="Calibri" w:cs="Calibri"/>
                <w:color w:val="000000"/>
                <w:sz w:val="22"/>
                <w:szCs w:val="22"/>
              </w:rPr>
              <w:t xml:space="preserve">. Immunosuppressive. </w:t>
            </w:r>
            <w:r>
              <w:rPr>
                <w:rFonts w:cs="Calibri"/>
                <w:sz w:val="22"/>
                <w:szCs w:val="22"/>
              </w:rPr>
              <w:t>Tx in clinical dev.</w:t>
            </w:r>
          </w:p>
        </w:tc>
        <w:tc>
          <w:tcPr>
            <w:tcW w:w="2065" w:type="dxa"/>
          </w:tcPr>
          <w:p w14:paraId="0C49A03A" w14:textId="77777777" w:rsidR="00723F02" w:rsidRPr="00EF461A" w:rsidRDefault="00723F02" w:rsidP="00BD361D">
            <w:pPr>
              <w:spacing w:after="120"/>
              <w:rPr>
                <w:rFonts w:ascii="Calibri" w:hAnsi="Calibri" w:cs="Calibri"/>
                <w:color w:val="000000"/>
                <w:sz w:val="22"/>
                <w:szCs w:val="22"/>
              </w:rPr>
            </w:pPr>
            <w:r w:rsidRPr="0053583B">
              <w:rPr>
                <w:rFonts w:ascii="Calibri" w:hAnsi="Calibri" w:cs="Calibri"/>
                <w:sz w:val="22"/>
                <w:szCs w:val="22"/>
              </w:rPr>
              <w:sym w:font="Wingdings" w:char="F0FB"/>
            </w:r>
          </w:p>
        </w:tc>
      </w:tr>
      <w:tr w:rsidR="00723F02" w:rsidRPr="007904DB" w14:paraId="6BE725CD" w14:textId="77777777" w:rsidTr="00BD361D">
        <w:tc>
          <w:tcPr>
            <w:tcW w:w="2069" w:type="dxa"/>
          </w:tcPr>
          <w:p w14:paraId="008276F7" w14:textId="77777777" w:rsidR="00723F02" w:rsidRDefault="00723F02" w:rsidP="00BD361D">
            <w:pPr>
              <w:spacing w:after="120"/>
              <w:jc w:val="both"/>
              <w:rPr>
                <w:rFonts w:cs="Calibri"/>
                <w:sz w:val="22"/>
                <w:szCs w:val="22"/>
              </w:rPr>
            </w:pPr>
            <w:r>
              <w:rPr>
                <w:rFonts w:cs="Calibri"/>
                <w:sz w:val="22"/>
                <w:szCs w:val="22"/>
              </w:rPr>
              <w:lastRenderedPageBreak/>
              <w:t>CD39</w:t>
            </w:r>
          </w:p>
        </w:tc>
        <w:tc>
          <w:tcPr>
            <w:tcW w:w="5216" w:type="dxa"/>
          </w:tcPr>
          <w:p w14:paraId="281A96B5" w14:textId="77777777" w:rsidR="00723F02" w:rsidRPr="00EF461A" w:rsidRDefault="00723F02" w:rsidP="00BD361D">
            <w:pPr>
              <w:tabs>
                <w:tab w:val="right" w:pos="6079"/>
              </w:tabs>
              <w:spacing w:after="120"/>
              <w:rPr>
                <w:rFonts w:ascii="Calibri" w:hAnsi="Calibri" w:cs="Calibri"/>
                <w:color w:val="000000"/>
                <w:sz w:val="22"/>
                <w:szCs w:val="22"/>
              </w:rPr>
            </w:pPr>
            <w:proofErr w:type="spellStart"/>
            <w:r w:rsidRPr="00EF461A">
              <w:rPr>
                <w:rFonts w:ascii="Calibri" w:hAnsi="Calibri" w:cs="Calibri"/>
                <w:color w:val="000000"/>
                <w:sz w:val="22"/>
                <w:szCs w:val="22"/>
              </w:rPr>
              <w:t>Activ</w:t>
            </w:r>
            <w:proofErr w:type="spellEnd"/>
            <w:r w:rsidRPr="00EF461A">
              <w:rPr>
                <w:rFonts w:ascii="Calibri" w:hAnsi="Calibri" w:cs="Calibri"/>
                <w:color w:val="000000"/>
                <w:sz w:val="22"/>
                <w:szCs w:val="22"/>
              </w:rPr>
              <w:t>. CD4+ CD8+ T cells. CD4+ Treg. MDSC. NK cells</w:t>
            </w:r>
            <w:r>
              <w:rPr>
                <w:rFonts w:ascii="Calibri" w:hAnsi="Calibri" w:cs="Calibri"/>
                <w:color w:val="000000"/>
                <w:sz w:val="22"/>
                <w:szCs w:val="22"/>
              </w:rPr>
              <w:t xml:space="preserve">. </w:t>
            </w:r>
            <w:proofErr w:type="spellStart"/>
            <w:r w:rsidRPr="00EF461A">
              <w:rPr>
                <w:rFonts w:ascii="Calibri" w:hAnsi="Calibri" w:cs="Calibri"/>
                <w:color w:val="000000"/>
                <w:sz w:val="22"/>
                <w:szCs w:val="22"/>
              </w:rPr>
              <w:t>Ectonucleotidase</w:t>
            </w:r>
            <w:proofErr w:type="spellEnd"/>
            <w:r>
              <w:rPr>
                <w:rFonts w:ascii="Calibri" w:hAnsi="Calibri" w:cs="Calibri"/>
                <w:color w:val="000000"/>
                <w:sz w:val="22"/>
                <w:szCs w:val="22"/>
              </w:rPr>
              <w:t xml:space="preserve">. Immunosuppressive. </w:t>
            </w:r>
            <w:r>
              <w:rPr>
                <w:rFonts w:cs="Calibri"/>
                <w:sz w:val="22"/>
                <w:szCs w:val="22"/>
              </w:rPr>
              <w:t>Tx in clinical dev.</w:t>
            </w:r>
          </w:p>
        </w:tc>
        <w:tc>
          <w:tcPr>
            <w:tcW w:w="2065" w:type="dxa"/>
          </w:tcPr>
          <w:p w14:paraId="1F146158" w14:textId="77777777" w:rsidR="00723F02" w:rsidRPr="00EF461A" w:rsidRDefault="00723F02" w:rsidP="00BD361D">
            <w:pPr>
              <w:tabs>
                <w:tab w:val="right" w:pos="6079"/>
              </w:tabs>
              <w:spacing w:after="120"/>
              <w:rPr>
                <w:rFonts w:ascii="Calibri" w:hAnsi="Calibri" w:cs="Calibri"/>
                <w:color w:val="000000"/>
                <w:sz w:val="22"/>
                <w:szCs w:val="22"/>
              </w:rPr>
            </w:pPr>
            <w:r w:rsidRPr="0053583B">
              <w:rPr>
                <w:rFonts w:ascii="Calibri" w:hAnsi="Calibri" w:cs="Calibri"/>
                <w:sz w:val="22"/>
                <w:szCs w:val="22"/>
              </w:rPr>
              <w:sym w:font="Wingdings" w:char="F0FB"/>
            </w:r>
          </w:p>
        </w:tc>
      </w:tr>
      <w:tr w:rsidR="00723F02" w:rsidRPr="007904DB" w14:paraId="3E630599" w14:textId="77777777" w:rsidTr="00BD361D">
        <w:tc>
          <w:tcPr>
            <w:tcW w:w="2069" w:type="dxa"/>
          </w:tcPr>
          <w:p w14:paraId="1DA20DD7" w14:textId="77777777" w:rsidR="00723F02" w:rsidRDefault="00723F02" w:rsidP="00BD361D">
            <w:pPr>
              <w:spacing w:after="120"/>
              <w:jc w:val="both"/>
              <w:rPr>
                <w:rFonts w:cs="Calibri"/>
                <w:sz w:val="22"/>
                <w:szCs w:val="22"/>
              </w:rPr>
            </w:pPr>
            <w:r>
              <w:rPr>
                <w:rFonts w:cs="Calibri"/>
                <w:sz w:val="22"/>
                <w:szCs w:val="22"/>
              </w:rPr>
              <w:t>CD86</w:t>
            </w:r>
          </w:p>
        </w:tc>
        <w:tc>
          <w:tcPr>
            <w:tcW w:w="5216" w:type="dxa"/>
          </w:tcPr>
          <w:p w14:paraId="6CF9C399" w14:textId="77777777" w:rsidR="00723F02" w:rsidRPr="00EF461A" w:rsidRDefault="00723F02" w:rsidP="00BD361D">
            <w:pPr>
              <w:tabs>
                <w:tab w:val="right" w:pos="6079"/>
              </w:tabs>
              <w:spacing w:after="120"/>
              <w:rPr>
                <w:rFonts w:ascii="Calibri" w:hAnsi="Calibri" w:cs="Calibri"/>
                <w:color w:val="000000"/>
                <w:sz w:val="22"/>
                <w:szCs w:val="22"/>
              </w:rPr>
            </w:pPr>
            <w:r w:rsidRPr="007A2E8E">
              <w:rPr>
                <w:rFonts w:ascii="Calibri" w:hAnsi="Calibri" w:cs="Calibri"/>
                <w:color w:val="000000"/>
                <w:sz w:val="22"/>
                <w:szCs w:val="22"/>
              </w:rPr>
              <w:t>Dendritic cells, macrophages</w:t>
            </w:r>
            <w:r>
              <w:rPr>
                <w:rFonts w:ascii="Calibri" w:hAnsi="Calibri" w:cs="Calibri"/>
                <w:color w:val="000000"/>
                <w:sz w:val="22"/>
                <w:szCs w:val="22"/>
              </w:rPr>
              <w:t>. Co-stimulatory ligand.</w:t>
            </w:r>
          </w:p>
        </w:tc>
        <w:tc>
          <w:tcPr>
            <w:tcW w:w="2065" w:type="dxa"/>
          </w:tcPr>
          <w:p w14:paraId="44D1C443" w14:textId="77777777" w:rsidR="00723F02" w:rsidRPr="007A2E8E" w:rsidRDefault="00723F02" w:rsidP="00BD361D">
            <w:pPr>
              <w:tabs>
                <w:tab w:val="right" w:pos="6079"/>
              </w:tabs>
              <w:spacing w:after="120"/>
              <w:rPr>
                <w:rFonts w:ascii="Calibri" w:hAnsi="Calibri" w:cs="Calibri"/>
                <w:color w:val="000000"/>
                <w:sz w:val="22"/>
                <w:szCs w:val="22"/>
              </w:rPr>
            </w:pPr>
            <w:r w:rsidRPr="0053583B">
              <w:rPr>
                <w:rFonts w:ascii="Calibri" w:hAnsi="Calibri" w:cs="Calibri"/>
                <w:sz w:val="22"/>
                <w:szCs w:val="22"/>
              </w:rPr>
              <w:sym w:font="Wingdings" w:char="F0FB"/>
            </w:r>
          </w:p>
        </w:tc>
      </w:tr>
      <w:tr w:rsidR="00723F02" w:rsidRPr="007904DB" w14:paraId="6EE7CA9C" w14:textId="77777777" w:rsidTr="00BD361D">
        <w:tc>
          <w:tcPr>
            <w:tcW w:w="2069" w:type="dxa"/>
          </w:tcPr>
          <w:p w14:paraId="77DA8E74" w14:textId="77777777" w:rsidR="00723F02" w:rsidRDefault="00723F02" w:rsidP="00BD361D">
            <w:pPr>
              <w:spacing w:after="120"/>
              <w:jc w:val="both"/>
              <w:rPr>
                <w:rFonts w:cs="Calibri"/>
                <w:sz w:val="22"/>
                <w:szCs w:val="22"/>
              </w:rPr>
            </w:pPr>
            <w:r>
              <w:rPr>
                <w:rFonts w:cs="Calibri"/>
                <w:sz w:val="22"/>
                <w:szCs w:val="22"/>
              </w:rPr>
              <w:t>CD40</w:t>
            </w:r>
          </w:p>
        </w:tc>
        <w:tc>
          <w:tcPr>
            <w:tcW w:w="5216" w:type="dxa"/>
          </w:tcPr>
          <w:p w14:paraId="1697EA1C" w14:textId="77777777" w:rsidR="00723F02" w:rsidRPr="00EF461A" w:rsidRDefault="00723F02" w:rsidP="00BD361D">
            <w:pPr>
              <w:tabs>
                <w:tab w:val="right" w:pos="6079"/>
              </w:tabs>
              <w:spacing w:after="120"/>
              <w:rPr>
                <w:rFonts w:ascii="Calibri" w:hAnsi="Calibri" w:cs="Calibri"/>
                <w:color w:val="000000"/>
                <w:sz w:val="22"/>
                <w:szCs w:val="22"/>
              </w:rPr>
            </w:pPr>
            <w:r w:rsidRPr="007A2E8E">
              <w:rPr>
                <w:rFonts w:ascii="Calibri" w:hAnsi="Calibri" w:cs="Calibri"/>
                <w:color w:val="000000"/>
                <w:sz w:val="22"/>
                <w:szCs w:val="22"/>
              </w:rPr>
              <w:t>Dendritic cells, macrophages, B cells.</w:t>
            </w:r>
            <w:r>
              <w:rPr>
                <w:rFonts w:ascii="Calibri" w:hAnsi="Calibri" w:cs="Calibri"/>
                <w:color w:val="000000"/>
                <w:sz w:val="22"/>
                <w:szCs w:val="22"/>
              </w:rPr>
              <w:t xml:space="preserve"> Co-stimulatory ligand. </w:t>
            </w:r>
            <w:r>
              <w:rPr>
                <w:rFonts w:cs="Calibri"/>
                <w:sz w:val="22"/>
                <w:szCs w:val="22"/>
              </w:rPr>
              <w:t>Tx in clinical dev.</w:t>
            </w:r>
          </w:p>
        </w:tc>
        <w:tc>
          <w:tcPr>
            <w:tcW w:w="2065" w:type="dxa"/>
          </w:tcPr>
          <w:p w14:paraId="5CFCF249" w14:textId="77777777" w:rsidR="00723F02" w:rsidRPr="007A2E8E" w:rsidRDefault="00723F02" w:rsidP="00BD361D">
            <w:pPr>
              <w:tabs>
                <w:tab w:val="right" w:pos="6079"/>
              </w:tabs>
              <w:spacing w:after="120"/>
              <w:rPr>
                <w:rFonts w:ascii="Calibri" w:hAnsi="Calibri" w:cs="Calibri"/>
                <w:color w:val="000000"/>
                <w:sz w:val="22"/>
                <w:szCs w:val="22"/>
              </w:rPr>
            </w:pPr>
            <w:r w:rsidRPr="0053583B">
              <w:rPr>
                <w:rFonts w:ascii="Calibri" w:hAnsi="Calibri" w:cs="Calibri"/>
                <w:sz w:val="22"/>
                <w:szCs w:val="22"/>
              </w:rPr>
              <w:sym w:font="Wingdings" w:char="F0FB"/>
            </w:r>
          </w:p>
        </w:tc>
      </w:tr>
      <w:tr w:rsidR="00723F02" w:rsidRPr="007904DB" w14:paraId="5D6FD84A" w14:textId="77777777" w:rsidTr="00BD361D">
        <w:tc>
          <w:tcPr>
            <w:tcW w:w="2069" w:type="dxa"/>
          </w:tcPr>
          <w:p w14:paraId="4D54B8AF" w14:textId="77777777" w:rsidR="00723F02" w:rsidRDefault="00723F02" w:rsidP="00BD361D">
            <w:pPr>
              <w:spacing w:after="120"/>
              <w:jc w:val="both"/>
              <w:rPr>
                <w:rFonts w:cs="Calibri"/>
                <w:sz w:val="22"/>
                <w:szCs w:val="22"/>
              </w:rPr>
            </w:pPr>
            <w:proofErr w:type="spellStart"/>
            <w:r>
              <w:rPr>
                <w:rFonts w:cs="Calibri"/>
                <w:sz w:val="22"/>
                <w:szCs w:val="22"/>
              </w:rPr>
              <w:t>Eomes</w:t>
            </w:r>
            <w:proofErr w:type="spellEnd"/>
          </w:p>
        </w:tc>
        <w:tc>
          <w:tcPr>
            <w:tcW w:w="5216" w:type="dxa"/>
          </w:tcPr>
          <w:p w14:paraId="463DEEB6" w14:textId="77777777" w:rsidR="00723F02" w:rsidRPr="00EF461A" w:rsidRDefault="00723F02" w:rsidP="00BD361D">
            <w:pPr>
              <w:tabs>
                <w:tab w:val="right" w:pos="6079"/>
              </w:tabs>
              <w:spacing w:after="120"/>
              <w:rPr>
                <w:rFonts w:ascii="Calibri" w:hAnsi="Calibri" w:cs="Calibri"/>
                <w:color w:val="000000"/>
                <w:sz w:val="22"/>
                <w:szCs w:val="22"/>
              </w:rPr>
            </w:pPr>
            <w:r w:rsidRPr="007A2E8E">
              <w:rPr>
                <w:rFonts w:ascii="Calibri" w:hAnsi="Calibri" w:cs="Calibri"/>
                <w:color w:val="000000"/>
                <w:sz w:val="22"/>
                <w:szCs w:val="22"/>
              </w:rPr>
              <w:t>Activated NK, CD8+ Teff, Tex. CD4+ Th1.</w:t>
            </w:r>
            <w:r>
              <w:rPr>
                <w:rFonts w:ascii="Calibri" w:hAnsi="Calibri" w:cs="Calibri"/>
                <w:color w:val="000000"/>
                <w:sz w:val="22"/>
                <w:szCs w:val="22"/>
              </w:rPr>
              <w:t xml:space="preserve"> Transcription factor for IFN</w:t>
            </w:r>
            <w:r w:rsidRPr="00484C3C">
              <w:rPr>
                <w:rFonts w:ascii="Symbol" w:hAnsi="Symbol" w:cs="Calibri"/>
                <w:color w:val="000000"/>
                <w:sz w:val="22"/>
                <w:szCs w:val="22"/>
              </w:rPr>
              <w:t></w:t>
            </w:r>
          </w:p>
        </w:tc>
        <w:tc>
          <w:tcPr>
            <w:tcW w:w="2065" w:type="dxa"/>
          </w:tcPr>
          <w:p w14:paraId="50FB8D7D" w14:textId="77777777" w:rsidR="00723F02" w:rsidRPr="007A2E8E" w:rsidRDefault="00723F02" w:rsidP="00BD361D">
            <w:pPr>
              <w:tabs>
                <w:tab w:val="right" w:pos="6079"/>
              </w:tabs>
              <w:spacing w:after="120"/>
              <w:rPr>
                <w:rFonts w:ascii="Calibri" w:hAnsi="Calibri" w:cs="Calibri"/>
                <w:color w:val="000000"/>
                <w:sz w:val="22"/>
                <w:szCs w:val="22"/>
              </w:rPr>
            </w:pPr>
            <w:r w:rsidRPr="00AA6EBA">
              <w:rPr>
                <w:rFonts w:ascii="Calibri" w:hAnsi="Calibri"/>
                <w:color w:val="000000" w:themeColor="text1"/>
                <w:sz w:val="22"/>
                <w:szCs w:val="22"/>
              </w:rPr>
              <w:sym w:font="Wingdings" w:char="F0FC"/>
            </w:r>
          </w:p>
        </w:tc>
      </w:tr>
      <w:tr w:rsidR="00723F02" w:rsidRPr="007904DB" w14:paraId="44C82C65" w14:textId="77777777" w:rsidTr="00BD361D">
        <w:tc>
          <w:tcPr>
            <w:tcW w:w="2069" w:type="dxa"/>
          </w:tcPr>
          <w:p w14:paraId="26C96D98" w14:textId="77777777" w:rsidR="00723F02" w:rsidRDefault="00723F02" w:rsidP="00BD361D">
            <w:pPr>
              <w:spacing w:after="120"/>
              <w:jc w:val="both"/>
              <w:rPr>
                <w:rFonts w:cs="Calibri"/>
                <w:sz w:val="22"/>
                <w:szCs w:val="22"/>
              </w:rPr>
            </w:pPr>
            <w:r>
              <w:rPr>
                <w:rFonts w:cs="Calibri"/>
                <w:sz w:val="22"/>
                <w:szCs w:val="22"/>
              </w:rPr>
              <w:t>TOX1</w:t>
            </w:r>
          </w:p>
        </w:tc>
        <w:tc>
          <w:tcPr>
            <w:tcW w:w="5216" w:type="dxa"/>
          </w:tcPr>
          <w:p w14:paraId="187E2A7A" w14:textId="77777777" w:rsidR="00723F02" w:rsidRPr="00EF461A" w:rsidRDefault="00723F02" w:rsidP="00BD361D">
            <w:pPr>
              <w:tabs>
                <w:tab w:val="right" w:pos="6079"/>
              </w:tabs>
              <w:spacing w:after="120"/>
              <w:rPr>
                <w:rFonts w:ascii="Calibri" w:hAnsi="Calibri" w:cs="Calibri"/>
                <w:color w:val="000000"/>
                <w:sz w:val="22"/>
                <w:szCs w:val="22"/>
              </w:rPr>
            </w:pPr>
            <w:r>
              <w:rPr>
                <w:rFonts w:ascii="Calibri" w:hAnsi="Calibri" w:cs="Calibri"/>
                <w:color w:val="000000"/>
                <w:sz w:val="22"/>
                <w:szCs w:val="22"/>
              </w:rPr>
              <w:t>Ubiquitous expression. Tex.</w:t>
            </w:r>
          </w:p>
        </w:tc>
        <w:tc>
          <w:tcPr>
            <w:tcW w:w="2065" w:type="dxa"/>
          </w:tcPr>
          <w:p w14:paraId="3B303E05" w14:textId="77777777" w:rsidR="00723F02" w:rsidRDefault="00723F02" w:rsidP="00BD361D">
            <w:pPr>
              <w:tabs>
                <w:tab w:val="right" w:pos="6079"/>
              </w:tabs>
              <w:spacing w:after="120"/>
              <w:rPr>
                <w:rFonts w:ascii="Calibri" w:hAnsi="Calibri" w:cs="Calibri"/>
                <w:color w:val="000000"/>
                <w:sz w:val="22"/>
                <w:szCs w:val="22"/>
              </w:rPr>
            </w:pPr>
            <w:r>
              <w:rPr>
                <w:rFonts w:ascii="Calibri" w:hAnsi="Calibri" w:cs="Calibri"/>
                <w:sz w:val="22"/>
                <w:szCs w:val="22"/>
              </w:rPr>
              <w:sym w:font="Wingdings" w:char="F0FB"/>
            </w:r>
          </w:p>
        </w:tc>
      </w:tr>
      <w:tr w:rsidR="00723F02" w:rsidRPr="007904DB" w14:paraId="3C41C395" w14:textId="77777777" w:rsidTr="00BD361D">
        <w:tc>
          <w:tcPr>
            <w:tcW w:w="2069" w:type="dxa"/>
          </w:tcPr>
          <w:p w14:paraId="4E5BEBB8" w14:textId="77777777" w:rsidR="00723F02" w:rsidRDefault="00723F02" w:rsidP="00BD361D">
            <w:pPr>
              <w:spacing w:after="120"/>
              <w:jc w:val="both"/>
              <w:rPr>
                <w:rFonts w:cs="Calibri"/>
                <w:sz w:val="22"/>
                <w:szCs w:val="22"/>
              </w:rPr>
            </w:pPr>
            <w:r>
              <w:rPr>
                <w:rFonts w:cs="Calibri"/>
                <w:sz w:val="22"/>
                <w:szCs w:val="22"/>
              </w:rPr>
              <w:t>GLUT1</w:t>
            </w:r>
          </w:p>
        </w:tc>
        <w:tc>
          <w:tcPr>
            <w:tcW w:w="5216" w:type="dxa"/>
          </w:tcPr>
          <w:p w14:paraId="376EC132" w14:textId="77777777" w:rsidR="00723F02" w:rsidRPr="00EF461A" w:rsidRDefault="00723F02" w:rsidP="00BD361D">
            <w:pPr>
              <w:tabs>
                <w:tab w:val="right" w:pos="6079"/>
              </w:tabs>
              <w:spacing w:after="120"/>
              <w:rPr>
                <w:rFonts w:ascii="Calibri" w:hAnsi="Calibri" w:cs="Calibri"/>
                <w:color w:val="000000"/>
                <w:sz w:val="22"/>
                <w:szCs w:val="22"/>
              </w:rPr>
            </w:pPr>
            <w:r>
              <w:rPr>
                <w:rFonts w:ascii="Calibri" w:hAnsi="Calibri" w:cs="Calibri"/>
                <w:color w:val="000000"/>
                <w:sz w:val="22"/>
                <w:szCs w:val="22"/>
              </w:rPr>
              <w:t>All cells. Glucose transporter.</w:t>
            </w:r>
          </w:p>
        </w:tc>
        <w:tc>
          <w:tcPr>
            <w:tcW w:w="2065" w:type="dxa"/>
          </w:tcPr>
          <w:p w14:paraId="2EF65C5A" w14:textId="77777777" w:rsidR="00723F02" w:rsidRDefault="00723F02" w:rsidP="00BD361D">
            <w:pPr>
              <w:tabs>
                <w:tab w:val="right" w:pos="6079"/>
              </w:tabs>
              <w:spacing w:after="120"/>
              <w:rPr>
                <w:rFonts w:ascii="Calibri" w:hAnsi="Calibri" w:cs="Calibri"/>
                <w:color w:val="000000"/>
                <w:sz w:val="22"/>
                <w:szCs w:val="22"/>
              </w:rPr>
            </w:pPr>
            <w:r w:rsidRPr="00AA6EBA">
              <w:rPr>
                <w:rFonts w:ascii="Calibri" w:hAnsi="Calibri"/>
                <w:color w:val="000000" w:themeColor="text1"/>
                <w:sz w:val="22"/>
                <w:szCs w:val="22"/>
              </w:rPr>
              <w:sym w:font="Wingdings" w:char="F0FC"/>
            </w:r>
          </w:p>
        </w:tc>
      </w:tr>
    </w:tbl>
    <w:p w14:paraId="41F911A2" w14:textId="77777777" w:rsidR="00723F02" w:rsidRDefault="00723F02" w:rsidP="00723F02">
      <w:pPr>
        <w:spacing w:after="120"/>
        <w:jc w:val="both"/>
        <w:rPr>
          <w:b/>
          <w:bCs/>
        </w:rPr>
      </w:pPr>
    </w:p>
    <w:p w14:paraId="0B2639EA" w14:textId="77777777" w:rsidR="00723F02" w:rsidRDefault="00723F02" w:rsidP="00723F02">
      <w:pPr>
        <w:spacing w:after="120"/>
        <w:jc w:val="both"/>
        <w:rPr>
          <w:b/>
          <w:bCs/>
        </w:rPr>
      </w:pPr>
      <w:r>
        <w:rPr>
          <w:b/>
          <w:bCs/>
        </w:rPr>
        <w:t>Table 4. Markers specific to the tumor panel</w:t>
      </w:r>
    </w:p>
    <w:tbl>
      <w:tblPr>
        <w:tblStyle w:val="TableGrid"/>
        <w:tblW w:w="0" w:type="auto"/>
        <w:tblLook w:val="04A0" w:firstRow="1" w:lastRow="0" w:firstColumn="1" w:lastColumn="0" w:noHBand="0" w:noVBand="1"/>
      </w:tblPr>
      <w:tblGrid>
        <w:gridCol w:w="2193"/>
        <w:gridCol w:w="5092"/>
        <w:gridCol w:w="2065"/>
      </w:tblGrid>
      <w:tr w:rsidR="00723F02" w14:paraId="749DD9C9" w14:textId="77777777" w:rsidTr="00BD361D">
        <w:tc>
          <w:tcPr>
            <w:tcW w:w="2193" w:type="dxa"/>
          </w:tcPr>
          <w:p w14:paraId="5488731D" w14:textId="77777777" w:rsidR="00723F02" w:rsidRPr="007904DB" w:rsidRDefault="00723F02" w:rsidP="00BD361D">
            <w:pPr>
              <w:spacing w:after="120"/>
              <w:jc w:val="both"/>
              <w:rPr>
                <w:rFonts w:cs="Calibri"/>
                <w:b/>
                <w:sz w:val="22"/>
                <w:szCs w:val="22"/>
              </w:rPr>
            </w:pPr>
            <w:r>
              <w:rPr>
                <w:rFonts w:cs="Calibri"/>
                <w:b/>
                <w:sz w:val="22"/>
                <w:szCs w:val="22"/>
              </w:rPr>
              <w:t>Marker</w:t>
            </w:r>
          </w:p>
        </w:tc>
        <w:tc>
          <w:tcPr>
            <w:tcW w:w="5092" w:type="dxa"/>
          </w:tcPr>
          <w:p w14:paraId="11B506B7" w14:textId="77777777" w:rsidR="00723F02" w:rsidRPr="007904DB" w:rsidRDefault="00723F02" w:rsidP="00BD361D">
            <w:pPr>
              <w:spacing w:after="120"/>
              <w:jc w:val="both"/>
              <w:rPr>
                <w:rFonts w:cs="Calibri"/>
                <w:b/>
                <w:sz w:val="22"/>
                <w:szCs w:val="22"/>
              </w:rPr>
            </w:pPr>
            <w:r>
              <w:rPr>
                <w:rFonts w:cs="Calibri"/>
                <w:b/>
                <w:sz w:val="22"/>
                <w:szCs w:val="22"/>
              </w:rPr>
              <w:t>Therapy / functional relevance</w:t>
            </w:r>
          </w:p>
        </w:tc>
        <w:tc>
          <w:tcPr>
            <w:tcW w:w="2065" w:type="dxa"/>
          </w:tcPr>
          <w:p w14:paraId="68CF5286" w14:textId="77777777" w:rsidR="00723F02" w:rsidRDefault="00723F02" w:rsidP="00BD361D">
            <w:pPr>
              <w:spacing w:after="120"/>
              <w:jc w:val="both"/>
              <w:rPr>
                <w:rFonts w:cs="Calibri"/>
                <w:b/>
                <w:sz w:val="22"/>
                <w:szCs w:val="22"/>
              </w:rPr>
            </w:pPr>
            <w:r>
              <w:rPr>
                <w:rFonts w:cs="Calibri"/>
                <w:b/>
                <w:sz w:val="22"/>
                <w:szCs w:val="22"/>
              </w:rPr>
              <w:t>MIBI validated</w:t>
            </w:r>
          </w:p>
        </w:tc>
      </w:tr>
      <w:tr w:rsidR="00723F02" w14:paraId="70F7D1E5" w14:textId="77777777" w:rsidTr="00BD361D">
        <w:tc>
          <w:tcPr>
            <w:tcW w:w="2193" w:type="dxa"/>
          </w:tcPr>
          <w:p w14:paraId="66B8DE91" w14:textId="77777777" w:rsidR="00723F02" w:rsidRPr="007904DB" w:rsidRDefault="00723F02" w:rsidP="00BD361D">
            <w:pPr>
              <w:spacing w:after="120"/>
              <w:jc w:val="both"/>
              <w:rPr>
                <w:rFonts w:cs="Calibri"/>
                <w:sz w:val="22"/>
                <w:szCs w:val="22"/>
              </w:rPr>
            </w:pPr>
            <w:r>
              <w:rPr>
                <w:rFonts w:ascii="Calibri" w:hAnsi="Calibri" w:cs="Calibri"/>
                <w:color w:val="000000"/>
                <w:sz w:val="22"/>
                <w:szCs w:val="22"/>
              </w:rPr>
              <w:t>IL13R</w:t>
            </w:r>
            <w:r w:rsidRPr="00484C3C">
              <w:rPr>
                <w:rFonts w:ascii="Symbol" w:hAnsi="Symbol" w:cs="Calibri"/>
                <w:color w:val="000000"/>
                <w:sz w:val="22"/>
                <w:szCs w:val="22"/>
              </w:rPr>
              <w:t></w:t>
            </w:r>
            <w:r>
              <w:rPr>
                <w:rFonts w:ascii="Calibri" w:hAnsi="Calibri" w:cs="Calibri"/>
                <w:color w:val="000000"/>
                <w:sz w:val="22"/>
                <w:szCs w:val="22"/>
              </w:rPr>
              <w:t>2</w:t>
            </w:r>
          </w:p>
        </w:tc>
        <w:tc>
          <w:tcPr>
            <w:tcW w:w="5092" w:type="dxa"/>
          </w:tcPr>
          <w:p w14:paraId="5D3F45E7" w14:textId="77777777" w:rsidR="00723F02" w:rsidRPr="007904DB" w:rsidRDefault="00723F02" w:rsidP="00BD361D">
            <w:pPr>
              <w:spacing w:after="120"/>
              <w:jc w:val="both"/>
              <w:rPr>
                <w:rFonts w:cs="Calibri"/>
                <w:sz w:val="22"/>
                <w:szCs w:val="22"/>
              </w:rPr>
            </w:pPr>
            <w:r>
              <w:rPr>
                <w:rFonts w:cs="Calibri"/>
                <w:sz w:val="22"/>
                <w:szCs w:val="22"/>
              </w:rPr>
              <w:t xml:space="preserve">Tumor growth. Tx in clinical dev. </w:t>
            </w:r>
          </w:p>
        </w:tc>
        <w:tc>
          <w:tcPr>
            <w:tcW w:w="2065" w:type="dxa"/>
          </w:tcPr>
          <w:p w14:paraId="5F6997F7" w14:textId="77777777" w:rsidR="00723F02" w:rsidRDefault="00723F02" w:rsidP="00BD361D">
            <w:pPr>
              <w:spacing w:after="120"/>
              <w:jc w:val="both"/>
              <w:rPr>
                <w:rFonts w:cs="Calibri"/>
                <w:sz w:val="22"/>
                <w:szCs w:val="22"/>
              </w:rPr>
            </w:pPr>
            <w:r>
              <w:rPr>
                <w:rFonts w:ascii="Calibri" w:hAnsi="Calibri" w:cs="Calibri"/>
                <w:sz w:val="22"/>
                <w:szCs w:val="22"/>
              </w:rPr>
              <w:sym w:font="Wingdings" w:char="F0FB"/>
            </w:r>
          </w:p>
        </w:tc>
      </w:tr>
      <w:tr w:rsidR="00723F02" w14:paraId="5173F67C" w14:textId="77777777" w:rsidTr="00BD361D">
        <w:tc>
          <w:tcPr>
            <w:tcW w:w="2193" w:type="dxa"/>
          </w:tcPr>
          <w:p w14:paraId="6E3C1EFF" w14:textId="77777777" w:rsidR="00723F02" w:rsidRPr="007904DB" w:rsidRDefault="00723F02" w:rsidP="00BD361D">
            <w:pPr>
              <w:spacing w:after="120"/>
              <w:jc w:val="both"/>
              <w:rPr>
                <w:rFonts w:cs="Calibri"/>
                <w:sz w:val="22"/>
                <w:szCs w:val="22"/>
              </w:rPr>
            </w:pPr>
            <w:proofErr w:type="spellStart"/>
            <w:r>
              <w:rPr>
                <w:rFonts w:ascii="Calibri" w:hAnsi="Calibri" w:cs="Calibri"/>
                <w:color w:val="000000"/>
                <w:sz w:val="22"/>
                <w:szCs w:val="22"/>
              </w:rPr>
              <w:t>EGFRvIII</w:t>
            </w:r>
            <w:proofErr w:type="spellEnd"/>
          </w:p>
        </w:tc>
        <w:tc>
          <w:tcPr>
            <w:tcW w:w="5092" w:type="dxa"/>
          </w:tcPr>
          <w:p w14:paraId="137E108E" w14:textId="77777777" w:rsidR="00723F02" w:rsidRPr="007904DB" w:rsidRDefault="00723F02" w:rsidP="00BD361D">
            <w:pPr>
              <w:spacing w:after="120"/>
              <w:jc w:val="both"/>
              <w:rPr>
                <w:rFonts w:cs="Calibri"/>
                <w:sz w:val="22"/>
                <w:szCs w:val="22"/>
              </w:rPr>
            </w:pPr>
            <w:r>
              <w:rPr>
                <w:rFonts w:cs="Calibri"/>
                <w:sz w:val="22"/>
                <w:szCs w:val="22"/>
              </w:rPr>
              <w:t xml:space="preserve">Tumor growth. Tx in clinical dev. </w:t>
            </w:r>
          </w:p>
        </w:tc>
        <w:tc>
          <w:tcPr>
            <w:tcW w:w="2065" w:type="dxa"/>
          </w:tcPr>
          <w:p w14:paraId="664DCB0F" w14:textId="77777777" w:rsidR="00723F02" w:rsidRDefault="00723F02" w:rsidP="00BD361D">
            <w:pPr>
              <w:spacing w:after="120"/>
              <w:jc w:val="both"/>
              <w:rPr>
                <w:rFonts w:cs="Calibri"/>
                <w:sz w:val="22"/>
                <w:szCs w:val="22"/>
              </w:rPr>
            </w:pPr>
            <w:r>
              <w:rPr>
                <w:rFonts w:ascii="Calibri" w:hAnsi="Calibri" w:cs="Calibri"/>
                <w:sz w:val="22"/>
                <w:szCs w:val="22"/>
              </w:rPr>
              <w:sym w:font="Wingdings" w:char="F0FB"/>
            </w:r>
          </w:p>
        </w:tc>
      </w:tr>
      <w:tr w:rsidR="00723F02" w14:paraId="4960B2D1" w14:textId="77777777" w:rsidTr="00BD361D">
        <w:tc>
          <w:tcPr>
            <w:tcW w:w="2193" w:type="dxa"/>
          </w:tcPr>
          <w:p w14:paraId="68C3CC6F" w14:textId="77777777" w:rsidR="00723F02" w:rsidRPr="007904DB" w:rsidRDefault="00723F02" w:rsidP="00BD361D">
            <w:pPr>
              <w:spacing w:after="120"/>
              <w:jc w:val="both"/>
              <w:rPr>
                <w:rFonts w:cs="Calibri"/>
                <w:sz w:val="22"/>
                <w:szCs w:val="22"/>
              </w:rPr>
            </w:pPr>
            <w:r>
              <w:rPr>
                <w:rFonts w:ascii="Calibri" w:hAnsi="Calibri" w:cs="Calibri"/>
                <w:color w:val="000000"/>
                <w:sz w:val="22"/>
                <w:szCs w:val="22"/>
              </w:rPr>
              <w:t>Her2</w:t>
            </w:r>
          </w:p>
        </w:tc>
        <w:tc>
          <w:tcPr>
            <w:tcW w:w="5092" w:type="dxa"/>
          </w:tcPr>
          <w:p w14:paraId="3A86B2EA" w14:textId="77777777" w:rsidR="00723F02" w:rsidRPr="007904DB" w:rsidRDefault="00723F02" w:rsidP="00BD361D">
            <w:pPr>
              <w:spacing w:after="120"/>
              <w:jc w:val="both"/>
              <w:rPr>
                <w:rFonts w:cs="Calibri"/>
                <w:sz w:val="22"/>
                <w:szCs w:val="22"/>
              </w:rPr>
            </w:pPr>
            <w:r>
              <w:rPr>
                <w:rFonts w:cs="Calibri"/>
                <w:sz w:val="22"/>
                <w:szCs w:val="22"/>
              </w:rPr>
              <w:t xml:space="preserve">Tumor growth. Tx in clinical dev. </w:t>
            </w:r>
          </w:p>
        </w:tc>
        <w:tc>
          <w:tcPr>
            <w:tcW w:w="2065" w:type="dxa"/>
          </w:tcPr>
          <w:p w14:paraId="5C8A86C2" w14:textId="77777777" w:rsidR="00723F02" w:rsidRDefault="00723F02" w:rsidP="00BD361D">
            <w:pPr>
              <w:spacing w:after="120"/>
              <w:jc w:val="both"/>
              <w:rPr>
                <w:rFonts w:cs="Calibri"/>
                <w:sz w:val="22"/>
                <w:szCs w:val="22"/>
              </w:rPr>
            </w:pPr>
            <w:r w:rsidRPr="00AA6EBA">
              <w:rPr>
                <w:rFonts w:ascii="Calibri" w:hAnsi="Calibri"/>
                <w:color w:val="000000" w:themeColor="text1"/>
                <w:sz w:val="22"/>
                <w:szCs w:val="22"/>
              </w:rPr>
              <w:sym w:font="Wingdings" w:char="F0FC"/>
            </w:r>
          </w:p>
        </w:tc>
      </w:tr>
      <w:tr w:rsidR="00723F02" w14:paraId="685BFB7C" w14:textId="77777777" w:rsidTr="00BD361D">
        <w:tc>
          <w:tcPr>
            <w:tcW w:w="2193" w:type="dxa"/>
          </w:tcPr>
          <w:p w14:paraId="1DB8DCCF" w14:textId="77777777" w:rsidR="00723F02" w:rsidRPr="007904DB" w:rsidRDefault="00723F02" w:rsidP="00BD361D">
            <w:pPr>
              <w:spacing w:after="120"/>
              <w:jc w:val="both"/>
              <w:rPr>
                <w:rFonts w:cs="Calibri"/>
                <w:sz w:val="22"/>
                <w:szCs w:val="22"/>
              </w:rPr>
            </w:pPr>
            <w:r>
              <w:rPr>
                <w:rFonts w:ascii="Calibri" w:hAnsi="Calibri" w:cs="Calibri"/>
                <w:color w:val="000000"/>
                <w:sz w:val="22"/>
                <w:szCs w:val="22"/>
              </w:rPr>
              <w:t>Epha2</w:t>
            </w:r>
          </w:p>
        </w:tc>
        <w:tc>
          <w:tcPr>
            <w:tcW w:w="5092" w:type="dxa"/>
          </w:tcPr>
          <w:p w14:paraId="57FBC5B8" w14:textId="77777777" w:rsidR="00723F02" w:rsidRPr="007904DB" w:rsidRDefault="00723F02" w:rsidP="00BD361D">
            <w:pPr>
              <w:spacing w:after="120"/>
              <w:jc w:val="both"/>
              <w:rPr>
                <w:rFonts w:cs="Calibri"/>
                <w:sz w:val="22"/>
                <w:szCs w:val="22"/>
              </w:rPr>
            </w:pPr>
            <w:r>
              <w:rPr>
                <w:rFonts w:cs="Calibri"/>
                <w:sz w:val="22"/>
                <w:szCs w:val="22"/>
              </w:rPr>
              <w:t xml:space="preserve">Tumor growth. Tx in clinical dev. </w:t>
            </w:r>
          </w:p>
        </w:tc>
        <w:tc>
          <w:tcPr>
            <w:tcW w:w="2065" w:type="dxa"/>
          </w:tcPr>
          <w:p w14:paraId="70DCF97C" w14:textId="77777777" w:rsidR="00723F02" w:rsidRDefault="00723F02" w:rsidP="00BD361D">
            <w:pPr>
              <w:spacing w:after="120"/>
              <w:jc w:val="both"/>
              <w:rPr>
                <w:rFonts w:cs="Calibri"/>
                <w:sz w:val="22"/>
                <w:szCs w:val="22"/>
              </w:rPr>
            </w:pPr>
            <w:r w:rsidRPr="000357C3">
              <w:rPr>
                <w:rFonts w:ascii="Calibri" w:hAnsi="Calibri" w:cs="Calibri"/>
                <w:sz w:val="22"/>
                <w:szCs w:val="22"/>
              </w:rPr>
              <w:sym w:font="Wingdings" w:char="F0FB"/>
            </w:r>
          </w:p>
        </w:tc>
      </w:tr>
      <w:tr w:rsidR="00723F02" w14:paraId="306B51AA" w14:textId="77777777" w:rsidTr="00BD361D">
        <w:tc>
          <w:tcPr>
            <w:tcW w:w="2193" w:type="dxa"/>
          </w:tcPr>
          <w:p w14:paraId="2BCBC48D" w14:textId="77777777" w:rsidR="00723F02" w:rsidRPr="007904DB" w:rsidRDefault="00723F02" w:rsidP="00BD361D">
            <w:pPr>
              <w:spacing w:after="120"/>
              <w:jc w:val="both"/>
              <w:rPr>
                <w:rFonts w:cs="Calibri"/>
                <w:sz w:val="22"/>
                <w:szCs w:val="22"/>
              </w:rPr>
            </w:pPr>
            <w:r>
              <w:rPr>
                <w:rFonts w:ascii="Calibri" w:hAnsi="Calibri" w:cs="Calibri"/>
                <w:color w:val="000000"/>
                <w:sz w:val="22"/>
                <w:szCs w:val="22"/>
              </w:rPr>
              <w:t>GD2</w:t>
            </w:r>
          </w:p>
        </w:tc>
        <w:tc>
          <w:tcPr>
            <w:tcW w:w="5092" w:type="dxa"/>
          </w:tcPr>
          <w:p w14:paraId="43401C68" w14:textId="77777777" w:rsidR="00723F02" w:rsidRPr="007904DB" w:rsidRDefault="00723F02" w:rsidP="00BD361D">
            <w:pPr>
              <w:spacing w:after="120"/>
              <w:jc w:val="both"/>
              <w:rPr>
                <w:rFonts w:cs="Calibri"/>
                <w:sz w:val="22"/>
                <w:szCs w:val="22"/>
              </w:rPr>
            </w:pPr>
            <w:r>
              <w:rPr>
                <w:rFonts w:cs="Calibri"/>
                <w:sz w:val="22"/>
                <w:szCs w:val="22"/>
              </w:rPr>
              <w:t>Signaling. Tx in clinical dev.</w:t>
            </w:r>
          </w:p>
        </w:tc>
        <w:tc>
          <w:tcPr>
            <w:tcW w:w="2065" w:type="dxa"/>
          </w:tcPr>
          <w:p w14:paraId="0D8E8AB1" w14:textId="77777777" w:rsidR="00723F02" w:rsidRDefault="00723F02" w:rsidP="00BD361D">
            <w:pPr>
              <w:spacing w:after="120"/>
              <w:jc w:val="both"/>
              <w:rPr>
                <w:rFonts w:cs="Calibri"/>
                <w:sz w:val="22"/>
                <w:szCs w:val="22"/>
              </w:rPr>
            </w:pPr>
            <w:r w:rsidRPr="000357C3">
              <w:rPr>
                <w:rFonts w:ascii="Calibri" w:hAnsi="Calibri" w:cs="Calibri"/>
                <w:sz w:val="22"/>
                <w:szCs w:val="22"/>
              </w:rPr>
              <w:sym w:font="Wingdings" w:char="F0FB"/>
            </w:r>
          </w:p>
        </w:tc>
      </w:tr>
      <w:tr w:rsidR="00723F02" w14:paraId="5F75BA59" w14:textId="77777777" w:rsidTr="00BD361D">
        <w:tc>
          <w:tcPr>
            <w:tcW w:w="2193" w:type="dxa"/>
          </w:tcPr>
          <w:p w14:paraId="2028A46D" w14:textId="77777777" w:rsidR="00723F02" w:rsidRPr="007904DB" w:rsidRDefault="00723F02" w:rsidP="00BD361D">
            <w:pPr>
              <w:spacing w:after="120"/>
              <w:jc w:val="both"/>
              <w:rPr>
                <w:rFonts w:cs="Calibri"/>
                <w:sz w:val="22"/>
                <w:szCs w:val="22"/>
              </w:rPr>
            </w:pPr>
            <w:r>
              <w:rPr>
                <w:rFonts w:ascii="Calibri" w:hAnsi="Calibri" w:cs="Calibri"/>
                <w:color w:val="000000"/>
                <w:sz w:val="22"/>
                <w:szCs w:val="22"/>
              </w:rPr>
              <w:t>B7H3</w:t>
            </w:r>
          </w:p>
        </w:tc>
        <w:tc>
          <w:tcPr>
            <w:tcW w:w="5092" w:type="dxa"/>
          </w:tcPr>
          <w:p w14:paraId="5238AFE1" w14:textId="77777777" w:rsidR="00723F02" w:rsidRPr="007904DB" w:rsidRDefault="00723F02" w:rsidP="00BD361D">
            <w:pPr>
              <w:spacing w:after="120"/>
              <w:jc w:val="both"/>
              <w:rPr>
                <w:rFonts w:cs="Calibri"/>
                <w:sz w:val="22"/>
                <w:szCs w:val="22"/>
              </w:rPr>
            </w:pPr>
            <w:r>
              <w:rPr>
                <w:rFonts w:cs="Calibri"/>
                <w:sz w:val="22"/>
                <w:szCs w:val="22"/>
              </w:rPr>
              <w:t>Immune inhibitory. Tx in clinical dev.</w:t>
            </w:r>
          </w:p>
        </w:tc>
        <w:tc>
          <w:tcPr>
            <w:tcW w:w="2065" w:type="dxa"/>
          </w:tcPr>
          <w:p w14:paraId="63C0331D" w14:textId="77777777" w:rsidR="00723F02" w:rsidRDefault="00723F02" w:rsidP="00BD361D">
            <w:pPr>
              <w:spacing w:after="120"/>
              <w:jc w:val="both"/>
              <w:rPr>
                <w:rFonts w:cs="Calibri"/>
                <w:sz w:val="22"/>
                <w:szCs w:val="22"/>
              </w:rPr>
            </w:pPr>
            <w:r w:rsidRPr="000357C3">
              <w:rPr>
                <w:rFonts w:ascii="Calibri" w:hAnsi="Calibri" w:cs="Calibri"/>
                <w:sz w:val="22"/>
                <w:szCs w:val="22"/>
              </w:rPr>
              <w:sym w:font="Wingdings" w:char="F0FB"/>
            </w:r>
          </w:p>
        </w:tc>
      </w:tr>
      <w:tr w:rsidR="00723F02" w14:paraId="1F3135F2" w14:textId="77777777" w:rsidTr="00BD361D">
        <w:tc>
          <w:tcPr>
            <w:tcW w:w="2193" w:type="dxa"/>
          </w:tcPr>
          <w:p w14:paraId="427AC7DE" w14:textId="77777777" w:rsidR="00723F02" w:rsidRPr="007904DB" w:rsidRDefault="00723F02" w:rsidP="00BD361D">
            <w:pPr>
              <w:spacing w:after="120"/>
              <w:jc w:val="both"/>
              <w:rPr>
                <w:rFonts w:cs="Calibri"/>
                <w:sz w:val="22"/>
                <w:szCs w:val="22"/>
              </w:rPr>
            </w:pPr>
            <w:r>
              <w:rPr>
                <w:rFonts w:ascii="Calibri" w:hAnsi="Calibri" w:cs="Calibri"/>
                <w:color w:val="000000"/>
                <w:sz w:val="22"/>
                <w:szCs w:val="22"/>
              </w:rPr>
              <w:t>EGFR</w:t>
            </w:r>
          </w:p>
        </w:tc>
        <w:tc>
          <w:tcPr>
            <w:tcW w:w="5092" w:type="dxa"/>
          </w:tcPr>
          <w:p w14:paraId="7B5259D3" w14:textId="77777777" w:rsidR="00723F02" w:rsidRPr="007904DB" w:rsidRDefault="00723F02" w:rsidP="00BD361D">
            <w:pPr>
              <w:spacing w:after="120"/>
              <w:jc w:val="both"/>
              <w:rPr>
                <w:rFonts w:cs="Calibri"/>
                <w:sz w:val="22"/>
                <w:szCs w:val="22"/>
              </w:rPr>
            </w:pPr>
            <w:r>
              <w:rPr>
                <w:rFonts w:cs="Calibri"/>
                <w:sz w:val="22"/>
                <w:szCs w:val="22"/>
              </w:rPr>
              <w:t xml:space="preserve">Tumor growth. Tx in clinical dev. (806 </w:t>
            </w:r>
            <w:proofErr w:type="spellStart"/>
            <w:r>
              <w:rPr>
                <w:rFonts w:cs="Calibri"/>
                <w:sz w:val="22"/>
                <w:szCs w:val="22"/>
              </w:rPr>
              <w:t>mab</w:t>
            </w:r>
            <w:proofErr w:type="spellEnd"/>
            <w:r>
              <w:rPr>
                <w:rFonts w:cs="Calibri"/>
                <w:sz w:val="22"/>
                <w:szCs w:val="22"/>
              </w:rPr>
              <w:t>)</w:t>
            </w:r>
          </w:p>
        </w:tc>
        <w:tc>
          <w:tcPr>
            <w:tcW w:w="2065" w:type="dxa"/>
          </w:tcPr>
          <w:p w14:paraId="214CED1D" w14:textId="77777777" w:rsidR="00723F02" w:rsidRDefault="00723F02" w:rsidP="00BD361D">
            <w:pPr>
              <w:spacing w:after="120"/>
              <w:jc w:val="both"/>
              <w:rPr>
                <w:rFonts w:cs="Calibri"/>
                <w:sz w:val="22"/>
                <w:szCs w:val="22"/>
              </w:rPr>
            </w:pPr>
            <w:r w:rsidRPr="00AA6EBA">
              <w:rPr>
                <w:rFonts w:ascii="Calibri" w:hAnsi="Calibri"/>
                <w:color w:val="000000" w:themeColor="text1"/>
                <w:sz w:val="22"/>
                <w:szCs w:val="22"/>
              </w:rPr>
              <w:sym w:font="Wingdings" w:char="F0FC"/>
            </w:r>
          </w:p>
        </w:tc>
      </w:tr>
      <w:tr w:rsidR="00723F02" w14:paraId="2135DC8B" w14:textId="77777777" w:rsidTr="00BD361D">
        <w:tc>
          <w:tcPr>
            <w:tcW w:w="2193" w:type="dxa"/>
          </w:tcPr>
          <w:p w14:paraId="3DEF5889" w14:textId="77777777" w:rsidR="00723F02" w:rsidRPr="007904DB" w:rsidRDefault="00723F02" w:rsidP="00BD361D">
            <w:pPr>
              <w:spacing w:after="120"/>
              <w:jc w:val="both"/>
              <w:rPr>
                <w:rFonts w:cs="Calibri"/>
                <w:sz w:val="22"/>
                <w:szCs w:val="22"/>
              </w:rPr>
            </w:pPr>
            <w:r>
              <w:rPr>
                <w:rFonts w:ascii="Calibri" w:hAnsi="Calibri" w:cs="Calibri"/>
                <w:color w:val="000000"/>
                <w:sz w:val="22"/>
                <w:szCs w:val="22"/>
              </w:rPr>
              <w:t>CD70</w:t>
            </w:r>
          </w:p>
        </w:tc>
        <w:tc>
          <w:tcPr>
            <w:tcW w:w="5092" w:type="dxa"/>
          </w:tcPr>
          <w:p w14:paraId="22244E85" w14:textId="77777777" w:rsidR="00723F02" w:rsidRPr="007904DB" w:rsidRDefault="00723F02" w:rsidP="00BD361D">
            <w:pPr>
              <w:spacing w:after="120"/>
              <w:jc w:val="both"/>
              <w:rPr>
                <w:rFonts w:cs="Calibri"/>
                <w:sz w:val="22"/>
                <w:szCs w:val="22"/>
              </w:rPr>
            </w:pPr>
            <w:r>
              <w:rPr>
                <w:rFonts w:cs="Calibri"/>
                <w:sz w:val="22"/>
                <w:szCs w:val="22"/>
              </w:rPr>
              <w:t>Tumor growth, T cell co-stim. Tx in clinical dev.</w:t>
            </w:r>
          </w:p>
        </w:tc>
        <w:tc>
          <w:tcPr>
            <w:tcW w:w="2065" w:type="dxa"/>
          </w:tcPr>
          <w:p w14:paraId="65E51A7B" w14:textId="77777777" w:rsidR="00723F02" w:rsidRDefault="00723F02" w:rsidP="00BD361D">
            <w:pPr>
              <w:spacing w:after="120"/>
              <w:jc w:val="both"/>
              <w:rPr>
                <w:rFonts w:cs="Calibri"/>
                <w:sz w:val="22"/>
                <w:szCs w:val="22"/>
              </w:rPr>
            </w:pPr>
            <w:r w:rsidRPr="00E91E54">
              <w:rPr>
                <w:rFonts w:ascii="Calibri" w:hAnsi="Calibri" w:cs="Calibri"/>
                <w:sz w:val="22"/>
                <w:szCs w:val="22"/>
              </w:rPr>
              <w:sym w:font="Wingdings" w:char="F0FB"/>
            </w:r>
          </w:p>
        </w:tc>
      </w:tr>
      <w:tr w:rsidR="00723F02" w14:paraId="403B71C5" w14:textId="77777777" w:rsidTr="00BD361D">
        <w:tc>
          <w:tcPr>
            <w:tcW w:w="2193" w:type="dxa"/>
          </w:tcPr>
          <w:p w14:paraId="2A5A7DA4" w14:textId="77777777" w:rsidR="00723F02" w:rsidRPr="007904DB" w:rsidRDefault="00723F02" w:rsidP="00BD361D">
            <w:pPr>
              <w:spacing w:after="120"/>
              <w:jc w:val="both"/>
              <w:rPr>
                <w:rFonts w:cs="Calibri"/>
                <w:sz w:val="22"/>
                <w:szCs w:val="22"/>
              </w:rPr>
            </w:pPr>
            <w:r>
              <w:rPr>
                <w:rFonts w:ascii="Calibri" w:hAnsi="Calibri" w:cs="Calibri"/>
                <w:color w:val="000000"/>
                <w:sz w:val="22"/>
                <w:szCs w:val="22"/>
              </w:rPr>
              <w:t>CSPG4</w:t>
            </w:r>
          </w:p>
        </w:tc>
        <w:tc>
          <w:tcPr>
            <w:tcW w:w="5092" w:type="dxa"/>
          </w:tcPr>
          <w:p w14:paraId="6C92B872" w14:textId="77777777" w:rsidR="00723F02" w:rsidRPr="007904DB" w:rsidRDefault="00723F02" w:rsidP="00BD361D">
            <w:pPr>
              <w:spacing w:after="120"/>
              <w:jc w:val="both"/>
              <w:rPr>
                <w:rFonts w:cs="Calibri"/>
                <w:sz w:val="22"/>
                <w:szCs w:val="22"/>
              </w:rPr>
            </w:pPr>
            <w:r>
              <w:rPr>
                <w:rFonts w:cs="Calibri"/>
                <w:sz w:val="22"/>
                <w:szCs w:val="22"/>
              </w:rPr>
              <w:t>Tumor-stroma adhesion. Tx in clinical dev.</w:t>
            </w:r>
          </w:p>
        </w:tc>
        <w:tc>
          <w:tcPr>
            <w:tcW w:w="2065" w:type="dxa"/>
          </w:tcPr>
          <w:p w14:paraId="53BACC46" w14:textId="77777777" w:rsidR="00723F02" w:rsidRDefault="00723F02" w:rsidP="00BD361D">
            <w:pPr>
              <w:spacing w:after="120"/>
              <w:jc w:val="both"/>
              <w:rPr>
                <w:rFonts w:cs="Calibri"/>
                <w:sz w:val="22"/>
                <w:szCs w:val="22"/>
              </w:rPr>
            </w:pPr>
            <w:r w:rsidRPr="00E91E54">
              <w:rPr>
                <w:rFonts w:ascii="Calibri" w:hAnsi="Calibri" w:cs="Calibri"/>
                <w:sz w:val="22"/>
                <w:szCs w:val="22"/>
              </w:rPr>
              <w:sym w:font="Wingdings" w:char="F0FB"/>
            </w:r>
          </w:p>
        </w:tc>
      </w:tr>
      <w:tr w:rsidR="00723F02" w14:paraId="7ACD59A6" w14:textId="77777777" w:rsidTr="00BD361D">
        <w:tc>
          <w:tcPr>
            <w:tcW w:w="2193" w:type="dxa"/>
          </w:tcPr>
          <w:p w14:paraId="43887253" w14:textId="77777777" w:rsidR="00723F02" w:rsidRPr="007904DB" w:rsidRDefault="00723F02" w:rsidP="00BD361D">
            <w:pPr>
              <w:spacing w:after="120"/>
              <w:jc w:val="both"/>
              <w:rPr>
                <w:rFonts w:cs="Calibri"/>
                <w:sz w:val="22"/>
                <w:szCs w:val="22"/>
              </w:rPr>
            </w:pPr>
            <w:r>
              <w:rPr>
                <w:rFonts w:ascii="Calibri" w:hAnsi="Calibri" w:cs="Calibri"/>
                <w:color w:val="000000"/>
                <w:sz w:val="22"/>
                <w:szCs w:val="22"/>
              </w:rPr>
              <w:t>MMP-2 (Chlorotoxin receptor)</w:t>
            </w:r>
          </w:p>
        </w:tc>
        <w:tc>
          <w:tcPr>
            <w:tcW w:w="5092" w:type="dxa"/>
          </w:tcPr>
          <w:p w14:paraId="6496B93C" w14:textId="77777777" w:rsidR="00723F02" w:rsidRPr="007904DB" w:rsidRDefault="00723F02" w:rsidP="00BD361D">
            <w:pPr>
              <w:spacing w:after="120"/>
              <w:jc w:val="both"/>
              <w:rPr>
                <w:rFonts w:cs="Calibri"/>
                <w:sz w:val="22"/>
                <w:szCs w:val="22"/>
              </w:rPr>
            </w:pPr>
            <w:r>
              <w:rPr>
                <w:rFonts w:cs="Calibri"/>
                <w:sz w:val="22"/>
                <w:szCs w:val="22"/>
              </w:rPr>
              <w:t>Malignant glial cell marker. Imaging in clin. Dev.</w:t>
            </w:r>
          </w:p>
        </w:tc>
        <w:tc>
          <w:tcPr>
            <w:tcW w:w="2065" w:type="dxa"/>
          </w:tcPr>
          <w:p w14:paraId="054D1FE5" w14:textId="77777777" w:rsidR="00723F02" w:rsidRDefault="00723F02" w:rsidP="00BD361D">
            <w:pPr>
              <w:spacing w:after="120"/>
              <w:jc w:val="both"/>
              <w:rPr>
                <w:rFonts w:cs="Calibri"/>
                <w:sz w:val="22"/>
                <w:szCs w:val="22"/>
              </w:rPr>
            </w:pPr>
            <w:r w:rsidRPr="00E91E54">
              <w:rPr>
                <w:rFonts w:ascii="Calibri" w:hAnsi="Calibri" w:cs="Calibri"/>
                <w:sz w:val="22"/>
                <w:szCs w:val="22"/>
              </w:rPr>
              <w:sym w:font="Wingdings" w:char="F0FB"/>
            </w:r>
          </w:p>
        </w:tc>
      </w:tr>
      <w:tr w:rsidR="00723F02" w14:paraId="5FF85AA5" w14:textId="77777777" w:rsidTr="00BD361D">
        <w:tc>
          <w:tcPr>
            <w:tcW w:w="2193" w:type="dxa"/>
          </w:tcPr>
          <w:p w14:paraId="32F51DC2" w14:textId="77777777" w:rsidR="00723F02" w:rsidRPr="007904DB" w:rsidRDefault="00723F02" w:rsidP="00BD361D">
            <w:pPr>
              <w:spacing w:after="120"/>
              <w:jc w:val="both"/>
              <w:rPr>
                <w:rFonts w:cs="Calibri"/>
                <w:sz w:val="22"/>
                <w:szCs w:val="22"/>
              </w:rPr>
            </w:pPr>
            <w:r>
              <w:rPr>
                <w:rFonts w:ascii="Calibri" w:hAnsi="Calibri" w:cs="Calibri"/>
                <w:color w:val="000000"/>
                <w:sz w:val="22"/>
                <w:szCs w:val="22"/>
              </w:rPr>
              <w:t>CD133</w:t>
            </w:r>
          </w:p>
        </w:tc>
        <w:tc>
          <w:tcPr>
            <w:tcW w:w="5092" w:type="dxa"/>
          </w:tcPr>
          <w:p w14:paraId="0083570C" w14:textId="77777777" w:rsidR="00723F02" w:rsidRPr="007904DB" w:rsidRDefault="00723F02" w:rsidP="00BD361D">
            <w:pPr>
              <w:spacing w:after="120"/>
              <w:jc w:val="both"/>
              <w:rPr>
                <w:rFonts w:cs="Calibri"/>
                <w:sz w:val="22"/>
                <w:szCs w:val="22"/>
              </w:rPr>
            </w:pPr>
            <w:r>
              <w:rPr>
                <w:rFonts w:cs="Calibri"/>
                <w:sz w:val="22"/>
                <w:szCs w:val="22"/>
              </w:rPr>
              <w:t>GBM, Ped. HGG membrane protein.</w:t>
            </w:r>
          </w:p>
        </w:tc>
        <w:tc>
          <w:tcPr>
            <w:tcW w:w="2065" w:type="dxa"/>
          </w:tcPr>
          <w:p w14:paraId="49AF2A58" w14:textId="77777777" w:rsidR="00723F02" w:rsidRDefault="00723F02" w:rsidP="00BD361D">
            <w:pPr>
              <w:spacing w:after="120"/>
              <w:jc w:val="both"/>
              <w:rPr>
                <w:rFonts w:cs="Calibri"/>
                <w:sz w:val="22"/>
                <w:szCs w:val="22"/>
              </w:rPr>
            </w:pPr>
            <w:r w:rsidRPr="00AA6EBA">
              <w:rPr>
                <w:rFonts w:ascii="Calibri" w:hAnsi="Calibri"/>
                <w:color w:val="000000" w:themeColor="text1"/>
                <w:sz w:val="22"/>
                <w:szCs w:val="22"/>
              </w:rPr>
              <w:sym w:font="Wingdings" w:char="F0FC"/>
            </w:r>
          </w:p>
        </w:tc>
      </w:tr>
      <w:tr w:rsidR="00723F02" w:rsidRPr="007904DB" w14:paraId="42ECFDC7" w14:textId="77777777" w:rsidTr="00BD361D">
        <w:tc>
          <w:tcPr>
            <w:tcW w:w="2193" w:type="dxa"/>
          </w:tcPr>
          <w:p w14:paraId="55BA47BA" w14:textId="77777777" w:rsidR="00723F02" w:rsidRPr="007904DB" w:rsidRDefault="00723F02" w:rsidP="00BD361D">
            <w:pPr>
              <w:spacing w:after="120"/>
              <w:jc w:val="both"/>
              <w:rPr>
                <w:rFonts w:cs="Calibri"/>
                <w:sz w:val="22"/>
                <w:szCs w:val="22"/>
              </w:rPr>
            </w:pPr>
            <w:r>
              <w:rPr>
                <w:rFonts w:ascii="Calibri" w:hAnsi="Calibri" w:cs="Calibri"/>
                <w:color w:val="000000"/>
                <w:sz w:val="22"/>
                <w:szCs w:val="22"/>
              </w:rPr>
              <w:t>CMV ISH?</w:t>
            </w:r>
          </w:p>
        </w:tc>
        <w:tc>
          <w:tcPr>
            <w:tcW w:w="5092" w:type="dxa"/>
          </w:tcPr>
          <w:p w14:paraId="665E97F7" w14:textId="77777777" w:rsidR="00723F02" w:rsidRPr="007904DB" w:rsidRDefault="00723F02" w:rsidP="00BD361D">
            <w:pPr>
              <w:spacing w:after="120"/>
              <w:jc w:val="both"/>
              <w:rPr>
                <w:rFonts w:cs="Calibri"/>
                <w:sz w:val="22"/>
                <w:szCs w:val="22"/>
              </w:rPr>
            </w:pPr>
          </w:p>
        </w:tc>
        <w:tc>
          <w:tcPr>
            <w:tcW w:w="2065" w:type="dxa"/>
          </w:tcPr>
          <w:p w14:paraId="55F8C010" w14:textId="77777777" w:rsidR="00723F02" w:rsidRPr="007904DB" w:rsidRDefault="00723F02" w:rsidP="00BD361D">
            <w:pPr>
              <w:spacing w:after="120"/>
              <w:jc w:val="both"/>
              <w:rPr>
                <w:rFonts w:cs="Calibri"/>
                <w:sz w:val="22"/>
                <w:szCs w:val="22"/>
              </w:rPr>
            </w:pPr>
            <w:r>
              <w:rPr>
                <w:rFonts w:ascii="Calibri" w:hAnsi="Calibri" w:cs="Calibri"/>
                <w:sz w:val="22"/>
                <w:szCs w:val="22"/>
              </w:rPr>
              <w:sym w:font="Wingdings" w:char="F0FB"/>
            </w:r>
          </w:p>
        </w:tc>
      </w:tr>
      <w:tr w:rsidR="00723F02" w14:paraId="69582ED0" w14:textId="77777777" w:rsidTr="00BD361D">
        <w:tc>
          <w:tcPr>
            <w:tcW w:w="2193" w:type="dxa"/>
            <w:vAlign w:val="bottom"/>
          </w:tcPr>
          <w:p w14:paraId="18D09E93" w14:textId="77777777" w:rsidR="00723F02" w:rsidRDefault="00723F02" w:rsidP="00BD361D">
            <w:pPr>
              <w:spacing w:after="120"/>
              <w:jc w:val="both"/>
              <w:rPr>
                <w:rFonts w:ascii="Calibri" w:hAnsi="Calibri" w:cs="Calibri"/>
                <w:color w:val="000000"/>
                <w:sz w:val="22"/>
                <w:szCs w:val="22"/>
              </w:rPr>
            </w:pPr>
            <w:proofErr w:type="spellStart"/>
            <w:r w:rsidRPr="003F1248">
              <w:rPr>
                <w:color w:val="000000"/>
                <w:sz w:val="22"/>
                <w:szCs w:val="22"/>
              </w:rPr>
              <w:t>ApoE</w:t>
            </w:r>
            <w:proofErr w:type="spellEnd"/>
          </w:p>
        </w:tc>
        <w:tc>
          <w:tcPr>
            <w:tcW w:w="5092" w:type="dxa"/>
          </w:tcPr>
          <w:p w14:paraId="16603ABB" w14:textId="77777777" w:rsidR="00723F02" w:rsidRPr="007904DB" w:rsidRDefault="00723F02" w:rsidP="00BD361D">
            <w:pPr>
              <w:spacing w:after="120"/>
              <w:rPr>
                <w:rFonts w:cs="Calibri"/>
                <w:sz w:val="22"/>
                <w:szCs w:val="22"/>
              </w:rPr>
            </w:pPr>
            <w:r>
              <w:rPr>
                <w:color w:val="000000" w:themeColor="text1"/>
                <w:sz w:val="22"/>
                <w:szCs w:val="22"/>
              </w:rPr>
              <w:t xml:space="preserve">Tumor, glia, macrophages. Lipogenesis / metabolism. </w:t>
            </w:r>
            <w:r>
              <w:rPr>
                <w:rFonts w:cs="Calibri"/>
                <w:sz w:val="22"/>
                <w:szCs w:val="22"/>
              </w:rPr>
              <w:t xml:space="preserve">Tx in clinical dev. </w:t>
            </w:r>
          </w:p>
        </w:tc>
        <w:tc>
          <w:tcPr>
            <w:tcW w:w="2065" w:type="dxa"/>
          </w:tcPr>
          <w:p w14:paraId="04B9DCCC" w14:textId="77777777" w:rsidR="00723F02" w:rsidRDefault="00723F02" w:rsidP="00BD361D">
            <w:pPr>
              <w:spacing w:after="120"/>
              <w:rPr>
                <w:color w:val="000000" w:themeColor="text1"/>
                <w:sz w:val="22"/>
                <w:szCs w:val="22"/>
              </w:rPr>
            </w:pPr>
            <w:r w:rsidRPr="00332DE8">
              <w:rPr>
                <w:rFonts w:ascii="Calibri" w:hAnsi="Calibri"/>
                <w:color w:val="000000" w:themeColor="text1"/>
                <w:sz w:val="22"/>
                <w:szCs w:val="22"/>
              </w:rPr>
              <w:sym w:font="Wingdings" w:char="F0FC"/>
            </w:r>
          </w:p>
        </w:tc>
      </w:tr>
      <w:tr w:rsidR="00723F02" w14:paraId="35C90382" w14:textId="77777777" w:rsidTr="00BD361D">
        <w:tc>
          <w:tcPr>
            <w:tcW w:w="2193" w:type="dxa"/>
            <w:vAlign w:val="bottom"/>
          </w:tcPr>
          <w:p w14:paraId="7708BDF2" w14:textId="77777777" w:rsidR="00723F02" w:rsidRPr="003F1248" w:rsidRDefault="00723F02" w:rsidP="00BD361D">
            <w:pPr>
              <w:spacing w:after="120"/>
              <w:jc w:val="both"/>
              <w:rPr>
                <w:color w:val="000000"/>
                <w:sz w:val="22"/>
                <w:szCs w:val="22"/>
              </w:rPr>
            </w:pPr>
            <w:r>
              <w:rPr>
                <w:color w:val="000000"/>
                <w:sz w:val="22"/>
                <w:szCs w:val="22"/>
              </w:rPr>
              <w:t>Histone-3</w:t>
            </w:r>
          </w:p>
        </w:tc>
        <w:tc>
          <w:tcPr>
            <w:tcW w:w="5092" w:type="dxa"/>
          </w:tcPr>
          <w:p w14:paraId="256BEBB2" w14:textId="77777777" w:rsidR="00723F02" w:rsidRDefault="00723F02" w:rsidP="00BD361D">
            <w:pPr>
              <w:spacing w:after="120"/>
              <w:rPr>
                <w:color w:val="000000" w:themeColor="text1"/>
                <w:sz w:val="22"/>
                <w:szCs w:val="22"/>
              </w:rPr>
            </w:pPr>
            <w:r>
              <w:rPr>
                <w:color w:val="000000" w:themeColor="text1"/>
                <w:sz w:val="22"/>
                <w:szCs w:val="22"/>
              </w:rPr>
              <w:t>Nucleated cells. Chromatin structure.</w:t>
            </w:r>
          </w:p>
        </w:tc>
        <w:tc>
          <w:tcPr>
            <w:tcW w:w="2065" w:type="dxa"/>
          </w:tcPr>
          <w:p w14:paraId="383DCC07" w14:textId="77777777" w:rsidR="00723F02" w:rsidRDefault="00723F02" w:rsidP="00BD361D">
            <w:pPr>
              <w:spacing w:after="120"/>
              <w:rPr>
                <w:color w:val="000000" w:themeColor="text1"/>
                <w:sz w:val="22"/>
                <w:szCs w:val="22"/>
              </w:rPr>
            </w:pPr>
            <w:r w:rsidRPr="00332DE8">
              <w:rPr>
                <w:rFonts w:ascii="Calibri" w:hAnsi="Calibri"/>
                <w:color w:val="000000" w:themeColor="text1"/>
                <w:sz w:val="22"/>
                <w:szCs w:val="22"/>
              </w:rPr>
              <w:sym w:font="Wingdings" w:char="F0FC"/>
            </w:r>
          </w:p>
        </w:tc>
      </w:tr>
      <w:tr w:rsidR="00723F02" w14:paraId="7A114D3D" w14:textId="77777777" w:rsidTr="00BD361D">
        <w:tc>
          <w:tcPr>
            <w:tcW w:w="2193" w:type="dxa"/>
            <w:vAlign w:val="bottom"/>
          </w:tcPr>
          <w:p w14:paraId="7B985955" w14:textId="77777777" w:rsidR="00723F02" w:rsidRPr="003F1248" w:rsidRDefault="00723F02" w:rsidP="00BD361D">
            <w:pPr>
              <w:spacing w:after="120"/>
              <w:jc w:val="both"/>
              <w:rPr>
                <w:color w:val="000000"/>
                <w:sz w:val="22"/>
                <w:szCs w:val="22"/>
              </w:rPr>
            </w:pPr>
            <w:r w:rsidRPr="003F1248">
              <w:rPr>
                <w:color w:val="000000" w:themeColor="text1"/>
                <w:sz w:val="22"/>
                <w:szCs w:val="22"/>
              </w:rPr>
              <w:t>H3K27me3</w:t>
            </w:r>
          </w:p>
        </w:tc>
        <w:tc>
          <w:tcPr>
            <w:tcW w:w="5092" w:type="dxa"/>
          </w:tcPr>
          <w:p w14:paraId="1EA7FA2E" w14:textId="77777777" w:rsidR="00723F02" w:rsidRDefault="00723F02" w:rsidP="00BD361D">
            <w:pPr>
              <w:spacing w:after="120"/>
              <w:rPr>
                <w:color w:val="000000" w:themeColor="text1"/>
                <w:sz w:val="22"/>
                <w:szCs w:val="22"/>
              </w:rPr>
            </w:pPr>
            <w:r>
              <w:rPr>
                <w:color w:val="000000" w:themeColor="text1"/>
                <w:sz w:val="22"/>
                <w:szCs w:val="22"/>
              </w:rPr>
              <w:t>H3 methylation status. DNA repair. LGG clinical subtype marker.</w:t>
            </w:r>
          </w:p>
        </w:tc>
        <w:tc>
          <w:tcPr>
            <w:tcW w:w="2065" w:type="dxa"/>
          </w:tcPr>
          <w:p w14:paraId="2D358A8F" w14:textId="77777777" w:rsidR="00723F02" w:rsidRDefault="00723F02" w:rsidP="00BD361D">
            <w:pPr>
              <w:spacing w:after="120"/>
              <w:rPr>
                <w:color w:val="000000" w:themeColor="text1"/>
                <w:sz w:val="22"/>
                <w:szCs w:val="22"/>
              </w:rPr>
            </w:pPr>
            <w:r w:rsidRPr="00AA6EBA">
              <w:rPr>
                <w:rFonts w:ascii="Calibri" w:hAnsi="Calibri"/>
                <w:color w:val="000000" w:themeColor="text1"/>
                <w:sz w:val="22"/>
                <w:szCs w:val="22"/>
              </w:rPr>
              <w:sym w:font="Wingdings" w:char="F0FC"/>
            </w:r>
          </w:p>
        </w:tc>
      </w:tr>
    </w:tbl>
    <w:p w14:paraId="04CD0D55" w14:textId="77777777" w:rsidR="00723F02" w:rsidRPr="0069436E" w:rsidRDefault="00723F02" w:rsidP="00723F02">
      <w:pPr>
        <w:spacing w:after="120"/>
        <w:jc w:val="both"/>
        <w:rPr>
          <w:b/>
          <w:bCs/>
        </w:rPr>
      </w:pPr>
    </w:p>
    <w:p w14:paraId="49852635" w14:textId="20F57F8B" w:rsidR="00723F02" w:rsidRDefault="00723F02" w:rsidP="00723F02">
      <w:pPr>
        <w:spacing w:after="120"/>
        <w:jc w:val="both"/>
        <w:rPr>
          <w:b/>
          <w:bCs/>
        </w:rPr>
      </w:pPr>
    </w:p>
    <w:p w14:paraId="052AC19B" w14:textId="77777777" w:rsidR="00EB0707" w:rsidRDefault="00EB0707" w:rsidP="00723F02">
      <w:pPr>
        <w:spacing w:after="120"/>
        <w:jc w:val="both"/>
        <w:rPr>
          <w:b/>
          <w:bCs/>
        </w:rPr>
      </w:pPr>
    </w:p>
    <w:p w14:paraId="14179F2A" w14:textId="77777777" w:rsidR="00723F02" w:rsidRPr="00937A58" w:rsidRDefault="00723F02" w:rsidP="00723F02">
      <w:pPr>
        <w:spacing w:after="120"/>
        <w:jc w:val="both"/>
        <w:rPr>
          <w:bCs/>
          <w:u w:val="single"/>
        </w:rPr>
      </w:pPr>
      <w:r w:rsidRPr="00937A58">
        <w:rPr>
          <w:bCs/>
          <w:u w:val="single"/>
        </w:rPr>
        <w:lastRenderedPageBreak/>
        <w:t>Aim 1.1 Optimization of tumor and immune panels</w:t>
      </w:r>
    </w:p>
    <w:p w14:paraId="6941D4EA" w14:textId="77777777" w:rsidR="00723F02" w:rsidRDefault="00723F02" w:rsidP="00723F02">
      <w:pPr>
        <w:spacing w:after="120"/>
        <w:jc w:val="both"/>
      </w:pPr>
      <w:r>
        <w:rPr>
          <w:rStyle w:val="Strong"/>
        </w:rPr>
        <w:t>The panels will be comprised primarily of antibodies currently undergoing validation in the Angelo and Bendall labs.</w:t>
      </w:r>
      <w:r>
        <w:t xml:space="preserve"> The immune common lineage (Table 2) and </w:t>
      </w:r>
      <w:proofErr w:type="spellStart"/>
      <w:r>
        <w:t>immuno</w:t>
      </w:r>
      <w:proofErr w:type="spellEnd"/>
      <w:r>
        <w:t xml:space="preserve"> (Table 3) panels are already established, so panel standardization and validation can begin immediately on whole slides of 5 patients per tumor type (HGG, GBM, LGG). This analysis will establish patterns of protein expression and the utility of individual markers in interpreting data.</w:t>
      </w:r>
    </w:p>
    <w:p w14:paraId="1D91F9DD" w14:textId="77777777" w:rsidR="00723F02" w:rsidRPr="00AB6744" w:rsidRDefault="00723F02" w:rsidP="00723F02">
      <w:pPr>
        <w:spacing w:after="120"/>
        <w:jc w:val="both"/>
        <w:rPr>
          <w:rFonts w:cs="Calibri"/>
        </w:rPr>
      </w:pPr>
    </w:p>
    <w:p w14:paraId="042B597F" w14:textId="77777777" w:rsidR="00723F02" w:rsidRPr="00AB6744" w:rsidRDefault="00723F02" w:rsidP="00723F02">
      <w:pPr>
        <w:widowControl w:val="0"/>
        <w:autoSpaceDE w:val="0"/>
        <w:autoSpaceDN w:val="0"/>
        <w:adjustRightInd w:val="0"/>
        <w:jc w:val="both"/>
        <w:rPr>
          <w:rFonts w:cs="Calibri"/>
          <w:color w:val="000000" w:themeColor="text1"/>
        </w:rPr>
      </w:pPr>
      <w:r w:rsidRPr="00AB6744">
        <w:rPr>
          <w:rFonts w:cs="Calibri"/>
          <w:color w:val="000000" w:themeColor="text1"/>
        </w:rPr>
        <w:t xml:space="preserve">In order to construct the proposed panels, the following workflow will be carried out at Stanford. </w:t>
      </w:r>
    </w:p>
    <w:p w14:paraId="0E15182F" w14:textId="77777777" w:rsidR="00723F02" w:rsidRPr="00AB6744" w:rsidRDefault="00723F02" w:rsidP="00723F02">
      <w:pPr>
        <w:widowControl w:val="0"/>
        <w:autoSpaceDE w:val="0"/>
        <w:autoSpaceDN w:val="0"/>
        <w:adjustRightInd w:val="0"/>
        <w:jc w:val="both"/>
        <w:rPr>
          <w:rFonts w:cs="Calibri"/>
          <w:color w:val="000000" w:themeColor="text1"/>
        </w:rPr>
      </w:pPr>
    </w:p>
    <w:p w14:paraId="5A4D7BA5" w14:textId="77777777" w:rsidR="00723F02" w:rsidRPr="00AB6744" w:rsidRDefault="00723F02" w:rsidP="00723F02">
      <w:pPr>
        <w:pStyle w:val="ListParagraph"/>
        <w:widowControl w:val="0"/>
        <w:numPr>
          <w:ilvl w:val="0"/>
          <w:numId w:val="8"/>
        </w:numPr>
        <w:autoSpaceDE w:val="0"/>
        <w:autoSpaceDN w:val="0"/>
        <w:adjustRightInd w:val="0"/>
        <w:jc w:val="both"/>
        <w:rPr>
          <w:rFonts w:cs="Calibri"/>
          <w:color w:val="000000" w:themeColor="text1"/>
        </w:rPr>
      </w:pPr>
      <w:r w:rsidRPr="00AB6744">
        <w:rPr>
          <w:rFonts w:cs="Calibri"/>
          <w:i/>
          <w:iCs/>
          <w:color w:val="000000" w:themeColor="text1"/>
        </w:rPr>
        <w:t>Initial quality control (QC) procedures for reagents.</w:t>
      </w:r>
      <w:r w:rsidRPr="00AB6744">
        <w:rPr>
          <w:rFonts w:cs="Calibri"/>
          <w:b/>
          <w:bCs/>
          <w:color w:val="000000" w:themeColor="text1"/>
        </w:rPr>
        <w:t xml:space="preserve"> </w:t>
      </w:r>
      <w:r w:rsidRPr="00AB6744">
        <w:rPr>
          <w:rFonts w:cs="Calibri"/>
          <w:color w:val="000000" w:themeColor="text1"/>
        </w:rPr>
        <w:t xml:space="preserve">Reagents previously tested and validated by single-plex chromogenic IHC and MIBI are reported in Table 2-4. Analytic validation was carried out on human FFPE tissue microarray conceived by </w:t>
      </w:r>
      <w:r w:rsidRPr="00AB6744">
        <w:rPr>
          <w:rStyle w:val="Strong"/>
          <w:rFonts w:cs="Calibri"/>
          <w:color w:val="000000" w:themeColor="text1"/>
        </w:rPr>
        <w:t>the Angelo and Bendall labs</w:t>
      </w:r>
      <w:r w:rsidRPr="00AB6744">
        <w:rPr>
          <w:rFonts w:cs="Calibri"/>
          <w:color w:val="000000" w:themeColor="text1"/>
        </w:rPr>
        <w:t xml:space="preserve">. Antibody purity was evaluated before conjugation by SDS-PAGE in reducing conditions. Conjugates were tested and titrated by single-plex chromogenic IHC and subsequently by MIBI on the same tissues. For each metal-conjugated antibody, the working titer was determined as the titer that yielded maximal separation between signal and noise across tissues. Tissue processing, staining and quantitative imaging were carried out as described </w:t>
      </w:r>
      <w:r>
        <w:fldChar w:fldCharType="begin"/>
      </w:r>
      <w:r>
        <w:instrText>ADDIN BEC{Keren et al., 2018, #82881}</w:instrText>
      </w:r>
      <w:r>
        <w:fldChar w:fldCharType="separate"/>
      </w:r>
      <w:r>
        <w:rPr>
          <w:vertAlign w:val="superscript"/>
        </w:rPr>
        <w:t>7</w:t>
      </w:r>
      <w:r>
        <w:fldChar w:fldCharType="end"/>
      </w:r>
      <w:r w:rsidRPr="00AB6744">
        <w:rPr>
          <w:rFonts w:cs="Calibri"/>
          <w:color w:val="000000" w:themeColor="text1"/>
        </w:rPr>
        <w:t xml:space="preserve">. Unvalidated reagents listed in this proposal will be screened and tested before conjugation by single-plex IHC. Antibodies showing valid staining pattern across different tissues and providing probative information about the cohort will be incorporated in the pipeline for MIBI reagents validation. Attempted validation of these targets will be carried out although without ensuring a successful outcome. </w:t>
      </w:r>
    </w:p>
    <w:p w14:paraId="698D4819" w14:textId="77777777" w:rsidR="00723F02" w:rsidRPr="00AB6744" w:rsidRDefault="00723F02" w:rsidP="00723F02">
      <w:pPr>
        <w:pStyle w:val="ListParagraph"/>
        <w:widowControl w:val="0"/>
        <w:numPr>
          <w:ilvl w:val="0"/>
          <w:numId w:val="8"/>
        </w:numPr>
        <w:autoSpaceDE w:val="0"/>
        <w:autoSpaceDN w:val="0"/>
        <w:adjustRightInd w:val="0"/>
        <w:jc w:val="both"/>
        <w:rPr>
          <w:rFonts w:cs="Calibri"/>
          <w:color w:val="000000" w:themeColor="text1"/>
        </w:rPr>
      </w:pPr>
      <w:r w:rsidRPr="00AB6744">
        <w:rPr>
          <w:rFonts w:cs="Calibri"/>
          <w:i/>
          <w:iCs/>
          <w:color w:val="000000" w:themeColor="text1"/>
        </w:rPr>
        <w:t xml:space="preserve">Constructing metal labeled antibody panels. </w:t>
      </w:r>
      <w:r w:rsidRPr="00AB6744">
        <w:rPr>
          <w:rFonts w:cs="Calibri"/>
          <w:color w:val="000000" w:themeColor="text1"/>
        </w:rPr>
        <w:t xml:space="preserve">After the initial QC procedure, we will assign the appropriate metal conjugates to the antibodies such that the proposed markers will accurately define each population of interest. The standardized workflow for each panel will be evaluated in </w:t>
      </w:r>
      <w:r w:rsidRPr="00AB6744">
        <w:rPr>
          <w:rFonts w:cs="Calibri"/>
          <w:color w:val="000000" w:themeColor="text1"/>
          <w:shd w:val="clear" w:color="auto" w:fill="FFFFFF"/>
        </w:rPr>
        <w:t>a TMA for validation</w:t>
      </w:r>
      <w:r w:rsidRPr="00AB6744">
        <w:rPr>
          <w:rFonts w:cs="Calibri"/>
          <w:color w:val="000000" w:themeColor="text1"/>
        </w:rPr>
        <w:t xml:space="preserve">. The proposed TMA will include normal and neoplastic and tissue types as appropriate. An initial </w:t>
      </w:r>
      <w:r w:rsidRPr="00AB6744">
        <w:rPr>
          <w:rFonts w:cs="Calibri"/>
          <w:color w:val="000000" w:themeColor="text1"/>
          <w:shd w:val="clear" w:color="auto" w:fill="FFFFFF"/>
        </w:rPr>
        <w:t>hematoxylin and eosin</w:t>
      </w:r>
      <w:r w:rsidRPr="00AB6744">
        <w:rPr>
          <w:rFonts w:cs="Calibri"/>
          <w:color w:val="000000" w:themeColor="text1"/>
        </w:rPr>
        <w:t xml:space="preserve"> (H&amp;E) section will be created, followed by six serial section on MIBI slides (gold slides) in order to generate six titers. This approach will help to assess the specificity and sensitivity for each target with regard to its cellular localization, subcellular localization (nuclear, membranous, cytoplasmic), and co-expression of proteins across different tissue types. The expected staining pattern should be noted for reaction in comprising of neoplastic and non-neoplastic tissue controls. When a negative tissue control is unavailable, appropriate </w:t>
      </w:r>
      <w:r w:rsidRPr="00AB6744">
        <w:rPr>
          <w:rFonts w:cs="Calibri"/>
          <w:color w:val="000000" w:themeColor="text1"/>
          <w:shd w:val="clear" w:color="auto" w:fill="FFFFFF"/>
        </w:rPr>
        <w:t>ROIs with both positive and negative areas will be evaluated.</w:t>
      </w:r>
      <w:r w:rsidRPr="00AB6744">
        <w:rPr>
          <w:rFonts w:cs="Calibri"/>
          <w:color w:val="000000" w:themeColor="text1"/>
        </w:rPr>
        <w:t xml:space="preserve"> Once the appropriate concentration for each antibody is established on the TMA for validation, a master stock of the antibody cocktail will be prepared and used for the staining of the pilot cohort.</w:t>
      </w:r>
      <w:r w:rsidRPr="00AB6744">
        <w:rPr>
          <w:rFonts w:cs="Calibri"/>
          <w:b/>
          <w:bCs/>
          <w:color w:val="000000" w:themeColor="text1"/>
        </w:rPr>
        <w:t xml:space="preserve"> </w:t>
      </w:r>
    </w:p>
    <w:p w14:paraId="6C13DB25" w14:textId="77777777" w:rsidR="00723F02" w:rsidRPr="00AB6744" w:rsidRDefault="00723F02" w:rsidP="00723F02">
      <w:pPr>
        <w:pStyle w:val="ListParagraph"/>
        <w:widowControl w:val="0"/>
        <w:numPr>
          <w:ilvl w:val="0"/>
          <w:numId w:val="8"/>
        </w:numPr>
        <w:autoSpaceDE w:val="0"/>
        <w:autoSpaceDN w:val="0"/>
        <w:adjustRightInd w:val="0"/>
        <w:jc w:val="both"/>
        <w:rPr>
          <w:rFonts w:cs="Calibri"/>
          <w:color w:val="000000" w:themeColor="text1"/>
        </w:rPr>
      </w:pPr>
      <w:r w:rsidRPr="00AB6744">
        <w:rPr>
          <w:rFonts w:cs="Calibri"/>
          <w:i/>
          <w:iCs/>
          <w:color w:val="000000" w:themeColor="text1"/>
        </w:rPr>
        <w:t>Evaluation criteria for the antibody panels.</w:t>
      </w:r>
      <w:r w:rsidRPr="00AB6744">
        <w:rPr>
          <w:rFonts w:cs="Calibri"/>
          <w:b/>
          <w:bCs/>
          <w:color w:val="000000" w:themeColor="text1"/>
        </w:rPr>
        <w:t xml:space="preserve"> </w:t>
      </w:r>
      <w:r w:rsidRPr="00AB6744">
        <w:rPr>
          <w:rFonts w:cs="Calibri"/>
          <w:color w:val="000000" w:themeColor="text1"/>
        </w:rPr>
        <w:t xml:space="preserve">Results will be evaluated by comparing the </w:t>
      </w:r>
      <w:proofErr w:type="spellStart"/>
      <w:r w:rsidRPr="00AB6744">
        <w:rPr>
          <w:rFonts w:cs="Calibri"/>
          <w:color w:val="000000" w:themeColor="text1"/>
        </w:rPr>
        <w:t>MIBIscope</w:t>
      </w:r>
      <w:proofErr w:type="spellEnd"/>
      <w:r w:rsidRPr="00AB6744">
        <w:rPr>
          <w:rFonts w:cs="Calibri"/>
          <w:color w:val="000000" w:themeColor="text1"/>
        </w:rPr>
        <w:t xml:space="preserve"> expression pattern to the corresponding immunohistochemistry in combination with visual comparison to those markers expected to show either co-expression based on known biologic properties of the marker or no significant co-expression due to expression in a different compartment of the cell or on a different cell type. </w:t>
      </w:r>
    </w:p>
    <w:p w14:paraId="50CB0224" w14:textId="77777777" w:rsidR="00723F02" w:rsidRPr="00AB6744" w:rsidRDefault="00723F02" w:rsidP="00723F02">
      <w:pPr>
        <w:spacing w:after="120"/>
        <w:jc w:val="both"/>
        <w:rPr>
          <w:rFonts w:cs="Calibri"/>
        </w:rPr>
      </w:pPr>
    </w:p>
    <w:p w14:paraId="171E07E8" w14:textId="77777777" w:rsidR="00723F02" w:rsidRPr="0086136D" w:rsidRDefault="00723F02" w:rsidP="00723F02">
      <w:pPr>
        <w:spacing w:after="120"/>
        <w:jc w:val="both"/>
      </w:pPr>
      <w:r>
        <w:t>This data should be available in the first 6 months and will inform whether further refinement to the panels is necessary, before they can be deployed on the larger cohort.</w:t>
      </w:r>
      <w:r w:rsidDel="00D920F9">
        <w:t xml:space="preserve"> </w:t>
      </w:r>
      <w:r>
        <w:t>Further panel development for subsequent analysis in Aims 2 and 3 will be continued if additional biology and priorities by the team arise. The tumor panel (Table 4) will be developed at project initiation. Antibodies compatible for FFPE tissues will be triaged for incorporation</w:t>
      </w:r>
      <w:r>
        <w:rPr>
          <w:rStyle w:val="Strong"/>
        </w:rPr>
        <w:t xml:space="preserve"> into the tumor panel. The samples selected for tumor panel validation analysis will be pre-screened by molecular assays for expression of the targets of interest. All antibodies will be validated based on positive and negative staining in relevant FFPE tissues. Tissues will be identified to use as controls throughout the project. </w:t>
      </w:r>
    </w:p>
    <w:p w14:paraId="7622072D" w14:textId="77777777" w:rsidR="00723F02" w:rsidRDefault="00723F02" w:rsidP="00723F02">
      <w:pPr>
        <w:spacing w:after="120"/>
        <w:jc w:val="both"/>
        <w:rPr>
          <w:bCs/>
        </w:rPr>
      </w:pPr>
    </w:p>
    <w:p w14:paraId="127A3685" w14:textId="77777777" w:rsidR="00723F02" w:rsidRPr="00937A58" w:rsidRDefault="00723F02" w:rsidP="00723F02">
      <w:pPr>
        <w:spacing w:after="120"/>
        <w:jc w:val="both"/>
        <w:rPr>
          <w:bCs/>
          <w:u w:val="single"/>
        </w:rPr>
      </w:pPr>
      <w:r w:rsidRPr="00937A58">
        <w:rPr>
          <w:bCs/>
          <w:u w:val="single"/>
        </w:rPr>
        <w:t>Aim 1.2 Assay setup and generation of TMAs</w:t>
      </w:r>
    </w:p>
    <w:p w14:paraId="758A58D1" w14:textId="77777777" w:rsidR="00723F02" w:rsidRPr="002B58CC" w:rsidRDefault="00723F02" w:rsidP="00723F02">
      <w:pPr>
        <w:jc w:val="both"/>
        <w:rPr>
          <w:bCs/>
          <w:color w:val="000000" w:themeColor="text1"/>
        </w:rPr>
      </w:pPr>
      <w:r w:rsidRPr="002B58CC">
        <w:rPr>
          <w:color w:val="000000" w:themeColor="text1"/>
        </w:rPr>
        <w:t>Each cohort included in the study will be in a TMA format, as whole sections would impose significant logistical issues such that the scope of work would need to be revised.</w:t>
      </w:r>
      <w:r w:rsidRPr="002B58CC">
        <w:rPr>
          <w:bCs/>
          <w:color w:val="000000" w:themeColor="text1"/>
        </w:rPr>
        <w:t xml:space="preserve"> </w:t>
      </w:r>
      <w:r w:rsidRPr="002B58CC">
        <w:rPr>
          <w:color w:val="000000"/>
          <w:shd w:val="clear" w:color="auto" w:fill="FFFFFF"/>
        </w:rPr>
        <w:t xml:space="preserve">The initial identification and collection of </w:t>
      </w:r>
      <w:proofErr w:type="gramStart"/>
      <w:r w:rsidRPr="002B58CC">
        <w:rPr>
          <w:color w:val="000000"/>
          <w:shd w:val="clear" w:color="auto" w:fill="FFFFFF"/>
        </w:rPr>
        <w:t>patients</w:t>
      </w:r>
      <w:proofErr w:type="gramEnd"/>
      <w:r w:rsidRPr="002B58CC">
        <w:rPr>
          <w:color w:val="000000"/>
          <w:shd w:val="clear" w:color="auto" w:fill="FFFFFF"/>
        </w:rPr>
        <w:t xml:space="preserve"> samples represents the greatest portion of the work associated with the TMA construction.</w:t>
      </w:r>
      <w:r w:rsidRPr="002B58CC">
        <w:rPr>
          <w:rStyle w:val="apple-converted-space"/>
          <w:color w:val="000000"/>
          <w:shd w:val="clear" w:color="auto" w:fill="FFFFFF"/>
        </w:rPr>
        <w:t xml:space="preserve"> </w:t>
      </w:r>
      <w:r w:rsidRPr="002B58CC">
        <w:rPr>
          <w:bCs/>
          <w:color w:val="000000" w:themeColor="text1"/>
        </w:rPr>
        <w:t xml:space="preserve">The cohort </w:t>
      </w:r>
      <w:r w:rsidRPr="002B58CC">
        <w:rPr>
          <w:color w:val="000000" w:themeColor="text1"/>
        </w:rPr>
        <w:t>TMAs will be constructed on site by investigators supplying each sample cohort.</w:t>
      </w:r>
      <w:r w:rsidRPr="002B58CC">
        <w:t xml:space="preserve"> </w:t>
      </w:r>
      <w:r w:rsidRPr="002B58CC">
        <w:rPr>
          <w:color w:val="000000" w:themeColor="text1"/>
          <w:shd w:val="clear" w:color="auto" w:fill="FFFFFF"/>
        </w:rPr>
        <w:t xml:space="preserve">Areas of interest will be marked on an H&amp;E stained section and representative cores from the corresponding paraffin block will </w:t>
      </w:r>
      <w:r w:rsidRPr="002B58CC">
        <w:rPr>
          <w:color w:val="000000" w:themeColor="text1"/>
        </w:rPr>
        <w:t>be compiled into a tissue microarray for the study. These steps will be repeated for each donor block to be incorporated into the TMA. The overall tissue</w:t>
      </w:r>
      <w:r w:rsidRPr="002B58CC">
        <w:rPr>
          <w:bCs/>
          <w:color w:val="000000" w:themeColor="text1"/>
        </w:rPr>
        <w:t xml:space="preserve"> quality will be evaluated on a serial H&amp;E section </w:t>
      </w:r>
      <w:r w:rsidRPr="002B58CC">
        <w:rPr>
          <w:color w:val="000000"/>
          <w:shd w:val="clear" w:color="auto" w:fill="FFFFFF"/>
        </w:rPr>
        <w:t xml:space="preserve">under light microscopy. </w:t>
      </w:r>
      <w:r w:rsidRPr="002B58CC">
        <w:rPr>
          <w:bCs/>
          <w:color w:val="000000" w:themeColor="text1"/>
        </w:rPr>
        <w:t>Tissue cores with poor preservation will be excluded from the MIBI analyses.</w:t>
      </w:r>
    </w:p>
    <w:p w14:paraId="577E3539" w14:textId="77777777" w:rsidR="00723F02" w:rsidRPr="002B58CC" w:rsidRDefault="00723F02" w:rsidP="00723F02">
      <w:pPr>
        <w:spacing w:after="120"/>
        <w:jc w:val="both"/>
      </w:pPr>
      <w:r w:rsidRPr="002B58CC">
        <w:rPr>
          <w:color w:val="000000" w:themeColor="text1"/>
        </w:rPr>
        <w:t>A total of four serial TMA sections will be generated</w:t>
      </w:r>
      <w:r>
        <w:rPr>
          <w:color w:val="000000" w:themeColor="text1"/>
        </w:rPr>
        <w:t xml:space="preserve"> per cohort</w:t>
      </w:r>
      <w:r w:rsidRPr="002B58CC">
        <w:rPr>
          <w:color w:val="000000" w:themeColor="text1"/>
        </w:rPr>
        <w:t>, such that the first and last section will be H&amp;E stains, while the intermediate ones will be used for the proposed panels. Adjacent H&amp;E sections will serve as a reference standard for histological examination.</w:t>
      </w:r>
    </w:p>
    <w:p w14:paraId="1FCCA9BF" w14:textId="77777777" w:rsidR="00723F02" w:rsidRDefault="00723F02" w:rsidP="00723F02">
      <w:pPr>
        <w:spacing w:after="120"/>
        <w:jc w:val="both"/>
        <w:rPr>
          <w:b/>
          <w:bCs/>
        </w:rPr>
      </w:pPr>
    </w:p>
    <w:p w14:paraId="0998B64B" w14:textId="77777777" w:rsidR="00723F02" w:rsidRPr="006B49E5" w:rsidRDefault="00723F02" w:rsidP="00723F02">
      <w:pPr>
        <w:spacing w:after="120"/>
        <w:jc w:val="both"/>
        <w:rPr>
          <w:b/>
          <w:bCs/>
        </w:rPr>
      </w:pPr>
      <w:r w:rsidRPr="006B49E5">
        <w:rPr>
          <w:b/>
          <w:bCs/>
        </w:rPr>
        <w:t xml:space="preserve">Aim </w:t>
      </w:r>
      <w:r>
        <w:rPr>
          <w:b/>
          <w:bCs/>
        </w:rPr>
        <w:t>2</w:t>
      </w:r>
      <w:r w:rsidRPr="006B49E5">
        <w:rPr>
          <w:b/>
          <w:bCs/>
        </w:rPr>
        <w:t xml:space="preserve">. Define the expression of protein targets of immunotherapy </w:t>
      </w:r>
      <w:r>
        <w:rPr>
          <w:b/>
          <w:bCs/>
        </w:rPr>
        <w:t>on</w:t>
      </w:r>
      <w:r w:rsidRPr="006B49E5">
        <w:rPr>
          <w:b/>
          <w:bCs/>
        </w:rPr>
        <w:t xml:space="preserve"> tumor cells and </w:t>
      </w:r>
      <w:r>
        <w:rPr>
          <w:b/>
          <w:bCs/>
        </w:rPr>
        <w:t xml:space="preserve">other cells in the tumor </w:t>
      </w:r>
      <w:r w:rsidRPr="006B49E5">
        <w:rPr>
          <w:b/>
          <w:bCs/>
        </w:rPr>
        <w:t>microenvironment</w:t>
      </w:r>
      <w:r>
        <w:rPr>
          <w:b/>
          <w:bCs/>
        </w:rPr>
        <w:t xml:space="preserve">. Define functional </w:t>
      </w:r>
      <w:r w:rsidRPr="006B49E5">
        <w:rPr>
          <w:b/>
          <w:bCs/>
        </w:rPr>
        <w:t>phenotypes of tumor associated myeloid cells and lymphocytes.</w:t>
      </w:r>
    </w:p>
    <w:p w14:paraId="42960DAC" w14:textId="77777777" w:rsidR="00723F02" w:rsidRPr="0079487C" w:rsidRDefault="00723F02" w:rsidP="00723F02">
      <w:pPr>
        <w:spacing w:after="120"/>
        <w:jc w:val="both"/>
        <w:rPr>
          <w:i/>
          <w:iCs/>
        </w:rPr>
      </w:pPr>
      <w:r>
        <w:t xml:space="preserve">Rationale: MIBI provides unprecedented high dimensional protein analysis (40 – 50 markers) of FFPE tissues at a single cell resolution. The two panels will contain overlapping markers (Table 2), that will allow interpretation of markers in Table 3 and 4 across all samples analyzed. </w:t>
      </w:r>
      <w:r w:rsidRPr="0030034A">
        <w:rPr>
          <w:highlight w:val="yellow"/>
        </w:rPr>
        <w:t>This will provide insights on myeloid and T cell subsets and tumor protein expression patterns and heterogeneity to a level not currently appreciated, and will inform the whole field of neural oncology and immunotherapy, highlighting correlates of biology that could aid patient stratification and biomarkers of therapeutic intervention with high confidence</w:t>
      </w:r>
      <w:r>
        <w:t>.</w:t>
      </w:r>
    </w:p>
    <w:p w14:paraId="119762B1" w14:textId="77777777" w:rsidR="00723F02" w:rsidRPr="00AD2933" w:rsidRDefault="00723F02" w:rsidP="00723F02">
      <w:pPr>
        <w:spacing w:after="120"/>
        <w:jc w:val="both"/>
      </w:pPr>
    </w:p>
    <w:p w14:paraId="77B1E6A8" w14:textId="77777777" w:rsidR="00723F02" w:rsidRDefault="00723F02" w:rsidP="00723F02">
      <w:pPr>
        <w:spacing w:after="120"/>
        <w:jc w:val="both"/>
        <w:rPr>
          <w:u w:val="single"/>
        </w:rPr>
      </w:pPr>
      <w:r w:rsidRPr="00197F84">
        <w:rPr>
          <w:u w:val="single"/>
        </w:rPr>
        <w:t xml:space="preserve">Aim </w:t>
      </w:r>
      <w:r>
        <w:rPr>
          <w:u w:val="single"/>
        </w:rPr>
        <w:t>2</w:t>
      </w:r>
      <w:r w:rsidRPr="00197F84">
        <w:rPr>
          <w:u w:val="single"/>
        </w:rPr>
        <w:t>.</w:t>
      </w:r>
      <w:r>
        <w:rPr>
          <w:u w:val="single"/>
        </w:rPr>
        <w:t>1.</w:t>
      </w:r>
      <w:r w:rsidRPr="00197F84">
        <w:rPr>
          <w:u w:val="single"/>
        </w:rPr>
        <w:t xml:space="preserve"> Define functional phenotypes of tumor associated myeloid cells and lymphocytes.</w:t>
      </w:r>
    </w:p>
    <w:p w14:paraId="7EEAAA5F" w14:textId="77777777" w:rsidR="00723F02" w:rsidRDefault="00723F02" w:rsidP="00723F02">
      <w:pPr>
        <w:spacing w:after="120"/>
        <w:jc w:val="both"/>
      </w:pPr>
      <w:r>
        <w:t xml:space="preserve">The </w:t>
      </w:r>
      <w:proofErr w:type="spellStart"/>
      <w:r>
        <w:t>immuno</w:t>
      </w:r>
      <w:proofErr w:type="spellEnd"/>
      <w:r>
        <w:t xml:space="preserve"> panel (Table 2 and 3) will be used to interrogate the following cell types:</w:t>
      </w:r>
    </w:p>
    <w:p w14:paraId="0B96FBB8" w14:textId="77777777" w:rsidR="00723F02" w:rsidRDefault="00723F02" w:rsidP="00723F02">
      <w:pPr>
        <w:pStyle w:val="ListParagraph"/>
        <w:numPr>
          <w:ilvl w:val="0"/>
          <w:numId w:val="6"/>
        </w:numPr>
        <w:spacing w:after="120"/>
        <w:jc w:val="both"/>
      </w:pPr>
      <w:r>
        <w:lastRenderedPageBreak/>
        <w:t xml:space="preserve">brain-resident microglia and astrocytes. </w:t>
      </w:r>
    </w:p>
    <w:p w14:paraId="3A438967" w14:textId="77777777" w:rsidR="00723F02" w:rsidRDefault="00723F02" w:rsidP="00723F02">
      <w:pPr>
        <w:pStyle w:val="ListParagraph"/>
        <w:numPr>
          <w:ilvl w:val="0"/>
          <w:numId w:val="6"/>
        </w:numPr>
        <w:spacing w:after="120"/>
        <w:jc w:val="both"/>
      </w:pPr>
      <w:r>
        <w:t xml:space="preserve">infiltrating monocytes, macrophage and neutrophils defined as inflammatory “M1-like” and anti-inflammatory/tissue healing “M2-like”, which have been implicated as suppressors of T cell activation and are associated with tumor progression. Also, recent studies </w:t>
      </w:r>
      <w:r>
        <w:fldChar w:fldCharType="begin"/>
      </w:r>
      <w:r>
        <w:instrText>ADDIN BEC{Müller et al., 2017, #76390}</w:instrText>
      </w:r>
      <w:r>
        <w:fldChar w:fldCharType="separate"/>
      </w:r>
      <w:r>
        <w:rPr>
          <w:vertAlign w:val="superscript"/>
        </w:rPr>
        <w:t>10</w:t>
      </w:r>
      <w:r>
        <w:fldChar w:fldCharType="end"/>
      </w:r>
      <w:r>
        <w:t xml:space="preserve"> indicated that glioma-infiltrating myeloid cells can express both M1 and M2 markers as single cells, indicating that we have to re-visit the classical dichotomy of M1 vs. M2 classification of these cells in the glioma microenvironment. </w:t>
      </w:r>
    </w:p>
    <w:p w14:paraId="4BFAF9CD" w14:textId="77777777" w:rsidR="00723F02" w:rsidRDefault="00723F02" w:rsidP="00723F02">
      <w:pPr>
        <w:pStyle w:val="ListParagraph"/>
        <w:numPr>
          <w:ilvl w:val="0"/>
          <w:numId w:val="6"/>
        </w:numPr>
        <w:spacing w:after="120"/>
        <w:jc w:val="both"/>
      </w:pPr>
      <w:r>
        <w:t>dendritic cells associated with antigen-specific activation of CD8+ and CD4+ T cells, as well as antiviral plasmacytoid dendritic cells (</w:t>
      </w:r>
      <w:proofErr w:type="spellStart"/>
      <w:r>
        <w:t>pDC</w:t>
      </w:r>
      <w:proofErr w:type="spellEnd"/>
      <w:r>
        <w:t xml:space="preserve">). </w:t>
      </w:r>
    </w:p>
    <w:p w14:paraId="764E0EF4" w14:textId="77777777" w:rsidR="00723F02" w:rsidRDefault="00723F02" w:rsidP="00723F02">
      <w:pPr>
        <w:pStyle w:val="ListParagraph"/>
        <w:numPr>
          <w:ilvl w:val="0"/>
          <w:numId w:val="6"/>
        </w:numPr>
        <w:spacing w:after="120"/>
        <w:jc w:val="both"/>
      </w:pPr>
      <w:r>
        <w:t xml:space="preserve">CD8+ and CD4+ T cell ‘effector’ and ‘exhausted’ subsets </w:t>
      </w:r>
    </w:p>
    <w:p w14:paraId="2BA08C8B" w14:textId="77777777" w:rsidR="00723F02" w:rsidRDefault="00723F02" w:rsidP="00723F02">
      <w:pPr>
        <w:pStyle w:val="ListParagraph"/>
        <w:numPr>
          <w:ilvl w:val="0"/>
          <w:numId w:val="6"/>
        </w:numPr>
        <w:spacing w:after="120"/>
        <w:jc w:val="both"/>
      </w:pPr>
      <w:r>
        <w:t xml:space="preserve">CD4+ Foxp3+ regulatory T cells, which are associated with tumor progression and resistance to immunotherapy. </w:t>
      </w:r>
    </w:p>
    <w:p w14:paraId="493C8B89" w14:textId="77777777" w:rsidR="00723F02" w:rsidRPr="00F93151" w:rsidRDefault="00723F02" w:rsidP="00723F02">
      <w:pPr>
        <w:spacing w:after="120"/>
        <w:jc w:val="both"/>
      </w:pPr>
      <w:r>
        <w:rPr>
          <w:rStyle w:val="Strong"/>
        </w:rPr>
        <w:t>During data analysis, single-cell features extracted using image</w:t>
      </w:r>
      <w:r w:rsidRPr="00EF7511">
        <w:rPr>
          <w:rStyle w:val="Strong"/>
        </w:rPr>
        <w:t xml:space="preserve"> segmentation</w:t>
      </w:r>
      <w:r>
        <w:rPr>
          <w:rStyle w:val="Strong"/>
        </w:rPr>
        <w:t xml:space="preserve"> will be used for </w:t>
      </w:r>
      <w:r w:rsidRPr="00EF7511">
        <w:rPr>
          <w:rStyle w:val="Strong"/>
        </w:rPr>
        <w:t xml:space="preserve">phenotypic clustering and </w:t>
      </w:r>
      <w:r>
        <w:rPr>
          <w:rStyle w:val="Strong"/>
        </w:rPr>
        <w:t>to define neighborhoods of specific composition</w:t>
      </w:r>
      <w:r w:rsidRPr="00EF7511">
        <w:rPr>
          <w:rStyle w:val="Strong"/>
        </w:rPr>
        <w:t xml:space="preserve">. </w:t>
      </w:r>
      <w:r>
        <w:t xml:space="preserve">Such a global immune ecosystem characterization will provide insights into mechanisms of immune-cell exclusion and immune cell modulation within the glial tumor microenvironment. We will also interrogate relationships between tumor cell characteristics and immune populations, phenotype and compartmentalization, which will be used to determine the influence of tumor on the immune-microenvironment. </w:t>
      </w:r>
    </w:p>
    <w:p w14:paraId="32C1D4D9" w14:textId="77777777" w:rsidR="00723F02" w:rsidRDefault="00723F02" w:rsidP="00723F02">
      <w:pPr>
        <w:spacing w:after="120"/>
        <w:jc w:val="both"/>
        <w:rPr>
          <w:u w:val="single"/>
        </w:rPr>
      </w:pPr>
    </w:p>
    <w:p w14:paraId="510F46A6" w14:textId="77777777" w:rsidR="00723F02" w:rsidRPr="009A7B1C" w:rsidRDefault="00723F02" w:rsidP="00723F02">
      <w:pPr>
        <w:spacing w:after="120"/>
        <w:jc w:val="both"/>
        <w:rPr>
          <w:u w:val="single"/>
        </w:rPr>
      </w:pPr>
      <w:r w:rsidRPr="009A7B1C">
        <w:rPr>
          <w:u w:val="single"/>
        </w:rPr>
        <w:t xml:space="preserve">Aim </w:t>
      </w:r>
      <w:r>
        <w:rPr>
          <w:u w:val="single"/>
        </w:rPr>
        <w:t>2</w:t>
      </w:r>
      <w:r w:rsidRPr="009A7B1C">
        <w:rPr>
          <w:u w:val="single"/>
        </w:rPr>
        <w:t>.</w:t>
      </w:r>
      <w:r>
        <w:rPr>
          <w:u w:val="single"/>
        </w:rPr>
        <w:t>2</w:t>
      </w:r>
      <w:r w:rsidRPr="009A7B1C">
        <w:rPr>
          <w:u w:val="single"/>
        </w:rPr>
        <w:t xml:space="preserve">. Define the expression of protein targets of immunotherapy on tumor cells and other cells in the tumor microenvironment. </w:t>
      </w:r>
    </w:p>
    <w:p w14:paraId="52162286" w14:textId="77777777" w:rsidR="00723F02" w:rsidRDefault="00723F02" w:rsidP="00723F02">
      <w:pPr>
        <w:spacing w:after="120"/>
        <w:jc w:val="both"/>
      </w:pPr>
      <w:r>
        <w:t>We will assess the levels and pattern of expression of immune and tumor targets that are under clinical development that should have application for HGG GBM and LGG (Table 2, 3 and 4). The compartment of expression, the pattern and relative amount of staining, will be determined with respect to the tumor-stromal and immune landscape, help determine relationships between therapeutic targets, and provide insights for combination immunotherapies. This analysis will elucidate both the amount of variation present in individual tumors, as well as the combinatorial pattern of expression of multiple tumor-associated antigens, which is particularly relevant for the development of mono- and bi-specific CAR-T therapies.</w:t>
      </w:r>
    </w:p>
    <w:p w14:paraId="36374ED0" w14:textId="77777777" w:rsidR="00723F02" w:rsidRDefault="00723F02" w:rsidP="00723F02">
      <w:pPr>
        <w:spacing w:after="120"/>
        <w:jc w:val="both"/>
      </w:pPr>
    </w:p>
    <w:p w14:paraId="02D75D21" w14:textId="77777777" w:rsidR="00723F02" w:rsidRPr="00511FF3" w:rsidRDefault="00723F02" w:rsidP="00723F02">
      <w:pPr>
        <w:spacing w:after="120"/>
        <w:jc w:val="both"/>
        <w:rPr>
          <w:b/>
          <w:bCs/>
          <w:u w:val="single"/>
        </w:rPr>
      </w:pPr>
      <w:r>
        <w:rPr>
          <w:u w:val="single"/>
        </w:rPr>
        <w:t>Aim 2.</w:t>
      </w:r>
      <w:r w:rsidRPr="00511FF3">
        <w:rPr>
          <w:u w:val="single"/>
        </w:rPr>
        <w:t xml:space="preserve">3 Comparative analysis between pediatric </w:t>
      </w:r>
      <w:proofErr w:type="gramStart"/>
      <w:r w:rsidRPr="00511FF3">
        <w:rPr>
          <w:u w:val="single"/>
        </w:rPr>
        <w:t>high grade</w:t>
      </w:r>
      <w:proofErr w:type="gramEnd"/>
      <w:r w:rsidRPr="00511FF3">
        <w:rPr>
          <w:u w:val="single"/>
        </w:rPr>
        <w:t xml:space="preserve"> glioma and adult HGG / GBM with respect to immunotherapy target expression, cell phenotypes and spatial relationships within the tumor-immune microenvironment. </w:t>
      </w:r>
    </w:p>
    <w:p w14:paraId="1B1C6D1E" w14:textId="77777777" w:rsidR="00723F02" w:rsidRDefault="00723F02" w:rsidP="00723F02">
      <w:pPr>
        <w:spacing w:after="120"/>
        <w:jc w:val="both"/>
      </w:pPr>
      <w:r>
        <w:t xml:space="preserve">Our cohort (Table 1) includes TMAs that have already been constructed from </w:t>
      </w:r>
      <w:r w:rsidRPr="0030034A">
        <w:rPr>
          <w:highlight w:val="yellow"/>
        </w:rPr>
        <w:t>70 pediatric HGG cases</w:t>
      </w:r>
      <w:r>
        <w:t xml:space="preserve"> and are ready for immediate analysis. These samples will be compared with adult HGG/GBM that have associated brain-location specific information. To the best of our knowledge, this is the first time such a comparison is performed. </w:t>
      </w:r>
      <w:r w:rsidRPr="0030034A">
        <w:rPr>
          <w:highlight w:val="yellow"/>
        </w:rPr>
        <w:t>The analysis will elucidate similarities and differences in the tumor-immune protein expression landscape between the pediatric and adult setting, providing key insights into patient subtyping and therapeutic options for both populations that have such high unmet need.</w:t>
      </w:r>
      <w:r>
        <w:t xml:space="preserve">  </w:t>
      </w:r>
    </w:p>
    <w:p w14:paraId="2C92DF3C" w14:textId="77777777" w:rsidR="00723F02" w:rsidRDefault="00723F02" w:rsidP="00723F02">
      <w:pPr>
        <w:spacing w:after="120"/>
        <w:jc w:val="both"/>
      </w:pPr>
    </w:p>
    <w:p w14:paraId="198AC848" w14:textId="77777777" w:rsidR="00723F02" w:rsidRPr="00245F51" w:rsidRDefault="00723F02" w:rsidP="00723F02">
      <w:pPr>
        <w:spacing w:after="120"/>
        <w:jc w:val="both"/>
        <w:rPr>
          <w:b/>
          <w:bCs/>
        </w:rPr>
      </w:pPr>
      <w:r w:rsidRPr="00245F51">
        <w:rPr>
          <w:b/>
          <w:bCs/>
        </w:rPr>
        <w:t>Aim 3.</w:t>
      </w:r>
      <w:r>
        <w:rPr>
          <w:b/>
          <w:bCs/>
        </w:rPr>
        <w:t xml:space="preserve"> </w:t>
      </w:r>
      <w:r w:rsidRPr="00033474">
        <w:rPr>
          <w:b/>
          <w:bCs/>
        </w:rPr>
        <w:t>Integration with clinical data and other molecular datasets</w:t>
      </w:r>
    </w:p>
    <w:p w14:paraId="7C323091" w14:textId="77777777" w:rsidR="00723F02" w:rsidRDefault="00723F02" w:rsidP="00723F02">
      <w:pPr>
        <w:spacing w:after="120"/>
        <w:jc w:val="both"/>
      </w:pPr>
      <w:r>
        <w:t xml:space="preserve">Rationale: Prior studies led by co-investigators of this project have provided key insights into glial tumor biology and response to immunotherapy that will be incorporated in this study. Multiple studies have highlighted the role of specific immune cell subsets in predicting response to immunotherapy. More specifically, immune-related genes expressed by infiltrating myeloid populations significantly correlate with a poorer prognosis for grade II and III LGG patients </w:t>
      </w:r>
      <w:r>
        <w:fldChar w:fldCharType="begin"/>
      </w:r>
      <w:r>
        <w:instrText>ADDIN BEC{Müller et al., 2017, #76390}</w:instrText>
      </w:r>
      <w:r>
        <w:fldChar w:fldCharType="separate"/>
      </w:r>
      <w:r>
        <w:rPr>
          <w:vertAlign w:val="superscript"/>
        </w:rPr>
        <w:t>10</w:t>
      </w:r>
      <w:r>
        <w:fldChar w:fldCharType="end"/>
      </w:r>
      <w:r>
        <w:t>. Analysis of a ‘super-responder’ GBM patient to IL-13R</w:t>
      </w:r>
      <w:r>
        <w:rPr>
          <w:rFonts w:ascii="Symbol" w:hAnsi="Symbol"/>
        </w:rPr>
        <w:t></w:t>
      </w:r>
      <w:r>
        <w:t xml:space="preserve">2-CART therapy revealed that  delivery of intra-tumoral CART resulted in an influx into the CSF of peripheral immune cells including monocytes, neutrophils and T cells </w:t>
      </w:r>
      <w:r>
        <w:fldChar w:fldCharType="begin"/>
      </w:r>
      <w:r>
        <w:instrText>ADDIN BEC{Brown et al., 2016, #38025}</w:instrText>
      </w:r>
      <w:r>
        <w:fldChar w:fldCharType="separate"/>
      </w:r>
      <w:r>
        <w:rPr>
          <w:vertAlign w:val="superscript"/>
        </w:rPr>
        <w:t>8</w:t>
      </w:r>
      <w:r>
        <w:fldChar w:fldCharType="end"/>
      </w:r>
      <w:r>
        <w:t xml:space="preserve">. Finally, in a neoadjuvant / adjuvant anti PD1 (nivolumab) study in surgically resected glioblastoma, the neoadjuvant therapy significantly extended overall survival compared to adjuvant therapy alone </w:t>
      </w:r>
      <w:r>
        <w:fldChar w:fldCharType="begin"/>
      </w:r>
      <w:r>
        <w:instrText>ADDIN BEC{Cloughesy et al., 2019, #86880}</w:instrText>
      </w:r>
      <w:r>
        <w:fldChar w:fldCharType="separate"/>
      </w:r>
      <w:r>
        <w:rPr>
          <w:vertAlign w:val="superscript"/>
        </w:rPr>
        <w:t>6</w:t>
      </w:r>
      <w:r>
        <w:fldChar w:fldCharType="end"/>
      </w:r>
      <w:r>
        <w:t xml:space="preserve">. This highlighted that patient benefit is experienced when immunotherapy occurs concurrently with the tumor being present, and changes in immune-related protein expression were observed within the tumor microenvironment. </w:t>
      </w:r>
    </w:p>
    <w:p w14:paraId="2C7E36A5" w14:textId="77777777" w:rsidR="00723F02" w:rsidRPr="0030034A" w:rsidRDefault="00723F02" w:rsidP="00723F02">
      <w:pPr>
        <w:spacing w:after="120"/>
        <w:jc w:val="both"/>
        <w:rPr>
          <w:color w:val="FF0000"/>
        </w:rPr>
      </w:pPr>
      <w:r w:rsidRPr="0030034A">
        <w:rPr>
          <w:color w:val="FF0000"/>
          <w:highlight w:val="yellow"/>
        </w:rPr>
        <w:t>The dataset generated during this project provides a unique opportunity to build on these observations to further characterize the relationship between the composition and structure of the TME and the response to immunotherapy. These analyses will provide a rich protein expression dataset across glial malignancies to characterize the biology of the tumor-immune microenvironment and its interconnection with other molecular and immune-phenome attributes and clinical response to therapies under clinical development. This will markedly advance our understanding of glial tumors and provide insights into tumor and immune targeted therapeutic strategies.</w:t>
      </w:r>
    </w:p>
    <w:p w14:paraId="0103171C" w14:textId="77777777" w:rsidR="00723F02" w:rsidRDefault="00723F02" w:rsidP="00723F02">
      <w:pPr>
        <w:spacing w:after="120"/>
        <w:jc w:val="both"/>
      </w:pPr>
    </w:p>
    <w:p w14:paraId="6E9A455E" w14:textId="77777777" w:rsidR="00723F02" w:rsidRPr="00511FF3" w:rsidRDefault="00723F02" w:rsidP="00723F02">
      <w:pPr>
        <w:spacing w:after="120"/>
        <w:jc w:val="both"/>
        <w:rPr>
          <w:u w:val="single"/>
        </w:rPr>
      </w:pPr>
      <w:r w:rsidRPr="00511FF3">
        <w:rPr>
          <w:u w:val="single"/>
        </w:rPr>
        <w:t>Aim 3.1 Identification of features associated with response</w:t>
      </w:r>
    </w:p>
    <w:p w14:paraId="2F6409D5" w14:textId="77777777" w:rsidR="00723F02" w:rsidRDefault="00723F02" w:rsidP="00723F02">
      <w:pPr>
        <w:spacing w:after="120"/>
        <w:jc w:val="both"/>
      </w:pPr>
      <w:r>
        <w:t xml:space="preserve">The single-cell features calculated from the imaging data as part of Aim 2.2 will be correlated with response data to identify whether any of them can be used to distinguish responders from non-responders. Such features include the abundance of different cluster of cells, defined by phenotypic marker expression, as well as the expression levels of functional markers in individual clusters. </w:t>
      </w:r>
      <w:proofErr w:type="gramStart"/>
      <w:r>
        <w:t>Additionally</w:t>
      </w:r>
      <w:proofErr w:type="gramEnd"/>
      <w:r>
        <w:t xml:space="preserve"> we will define cell neighborhoods by performing a second clustering run which uses as input the identity (i.e. the phenotypic cluster) of the neighbors of each cell. Both ‘phenotypic’ and ‘spatial’ features will be used as input to multi-variate penalized linear-regression models such as lasso and elastic-net, using clinical response as the response variable.</w:t>
      </w:r>
    </w:p>
    <w:p w14:paraId="2BD9F7F0" w14:textId="77777777" w:rsidR="00723F02" w:rsidRDefault="00723F02" w:rsidP="00723F02">
      <w:pPr>
        <w:spacing w:after="120"/>
        <w:jc w:val="both"/>
      </w:pPr>
    </w:p>
    <w:p w14:paraId="64097792" w14:textId="77777777" w:rsidR="00723F02" w:rsidRPr="005E2FFB" w:rsidRDefault="00723F02" w:rsidP="00723F02">
      <w:pPr>
        <w:spacing w:after="120"/>
        <w:jc w:val="both"/>
        <w:rPr>
          <w:b/>
          <w:u w:val="single"/>
        </w:rPr>
      </w:pPr>
      <w:r w:rsidRPr="00511FF3">
        <w:rPr>
          <w:u w:val="single"/>
        </w:rPr>
        <w:t>Aim 3.2 Integration of imaging data with sequencing and genomics information</w:t>
      </w:r>
    </w:p>
    <w:p w14:paraId="5A3CFD85" w14:textId="77777777" w:rsidR="00723F02" w:rsidRDefault="00723F02" w:rsidP="00723F02">
      <w:pPr>
        <w:spacing w:after="120"/>
        <w:jc w:val="both"/>
      </w:pPr>
      <w:r>
        <w:t xml:space="preserve">A unique feature of the cohorts that will be analyzed in this study is the fact that extensive orthogonal molecular data, including DNA and RNA sequencing, has already been generated from these samples. As part of this aim, we will correlate these datasets with the imaging data generated during this project, with the aim of resolving some of the complexities in the bulk molecular data. More specifically, similarly to Aim 3.1, we will use imaging features as input to </w:t>
      </w:r>
      <w:r>
        <w:lastRenderedPageBreak/>
        <w:t xml:space="preserve">multi-variate models, this time using as response variables molecular features that have been independently identified in the bulk molecular data, e.g. the expression level of genes that have been associated with response, or the presence of specific genetic variants of interest. </w:t>
      </w:r>
      <w:r w:rsidRPr="00FC79DE">
        <w:rPr>
          <w:highlight w:val="yellow"/>
        </w:rPr>
        <w:t>The outcome of this analysis will be single-cell features (from the imaging data) that correlate with orthogonal features from the bulk datasets (e.g. the expression of specific genes).</w:t>
      </w:r>
      <w:r>
        <w:t xml:space="preserve"> This type of information can be used to broaden the scope of the image analysis, which is limited to ~40 markers, by including additional markers that can be tentatively assigned to one of the cell populations identified from the imaging. To make a concrete example, if the abundance of cell-type X, as identified in the imaging, is correlated with the bulk expression of gene Y, it can be reasonably assumed that cell type X represents the subset where gene Y is primarily expressed, thus helping deconvolve the bulk data and potentially informing the development of new panels.</w:t>
      </w:r>
    </w:p>
    <w:p w14:paraId="70D6BD37" w14:textId="77777777" w:rsidR="00723F02" w:rsidRDefault="00723F02" w:rsidP="00723F02">
      <w:pPr>
        <w:spacing w:after="120"/>
        <w:jc w:val="both"/>
      </w:pPr>
    </w:p>
    <w:p w14:paraId="7925E861" w14:textId="77777777" w:rsidR="00723F02" w:rsidRDefault="00723F02" w:rsidP="00723F02">
      <w:pPr>
        <w:spacing w:after="120"/>
        <w:jc w:val="both"/>
        <w:rPr>
          <w:b/>
          <w:bCs/>
        </w:rPr>
      </w:pPr>
      <w:r>
        <w:rPr>
          <w:b/>
          <w:bCs/>
        </w:rPr>
        <w:t>Timelines for project</w:t>
      </w:r>
    </w:p>
    <w:p w14:paraId="3E50C5C1" w14:textId="77777777" w:rsidR="00723F02" w:rsidRDefault="00723F02" w:rsidP="00723F02">
      <w:pPr>
        <w:spacing w:after="120"/>
        <w:jc w:val="both"/>
        <w:rPr>
          <w:b/>
          <w:bCs/>
        </w:rPr>
      </w:pPr>
    </w:p>
    <w:p w14:paraId="3BBF41F9" w14:textId="77777777" w:rsidR="00723F02" w:rsidRDefault="00723F02" w:rsidP="00723F02">
      <w:pPr>
        <w:spacing w:after="120"/>
        <w:jc w:val="both"/>
        <w:rPr>
          <w:b/>
          <w:u w:val="single"/>
        </w:rPr>
      </w:pPr>
      <w:r w:rsidRPr="00BE3AC7">
        <w:rPr>
          <w:b/>
          <w:u w:val="single"/>
        </w:rPr>
        <w:t>Year 1</w:t>
      </w:r>
      <w:r>
        <w:rPr>
          <w:b/>
          <w:u w:val="single"/>
        </w:rPr>
        <w:t xml:space="preserve"> – Aim 1</w:t>
      </w:r>
    </w:p>
    <w:p w14:paraId="3352C486" w14:textId="77777777" w:rsidR="00723F02" w:rsidRDefault="00723F02" w:rsidP="00723F02">
      <w:pPr>
        <w:pStyle w:val="ListParagraph"/>
        <w:numPr>
          <w:ilvl w:val="0"/>
          <w:numId w:val="1"/>
        </w:numPr>
        <w:spacing w:after="120"/>
        <w:jc w:val="both"/>
      </w:pPr>
      <w:r>
        <w:t xml:space="preserve">Complete antibody panel development. </w:t>
      </w:r>
    </w:p>
    <w:p w14:paraId="094A2512" w14:textId="77777777" w:rsidR="00723F02" w:rsidRDefault="00723F02" w:rsidP="00723F02">
      <w:pPr>
        <w:pStyle w:val="ListParagraph"/>
        <w:numPr>
          <w:ilvl w:val="0"/>
          <w:numId w:val="1"/>
        </w:numPr>
        <w:spacing w:after="120"/>
        <w:jc w:val="both"/>
      </w:pPr>
      <w:r>
        <w:t xml:space="preserve">Run initial proof of concept on a small set of slides from representative cases.  </w:t>
      </w:r>
    </w:p>
    <w:p w14:paraId="7C7CD596" w14:textId="77777777" w:rsidR="00723F02" w:rsidRPr="00082194" w:rsidRDefault="00723F02" w:rsidP="00723F02">
      <w:pPr>
        <w:pStyle w:val="ListParagraph"/>
        <w:numPr>
          <w:ilvl w:val="0"/>
          <w:numId w:val="1"/>
        </w:numPr>
        <w:spacing w:after="120"/>
        <w:jc w:val="both"/>
      </w:pPr>
      <w:r>
        <w:t>Complete TMA construction</w:t>
      </w:r>
    </w:p>
    <w:p w14:paraId="5C1AE895" w14:textId="77777777" w:rsidR="00723F02" w:rsidRPr="00BE3AC7" w:rsidRDefault="00723F02" w:rsidP="00723F02">
      <w:pPr>
        <w:spacing w:after="120"/>
        <w:jc w:val="both"/>
        <w:rPr>
          <w:b/>
          <w:u w:val="single"/>
        </w:rPr>
      </w:pPr>
    </w:p>
    <w:p w14:paraId="0F59772C" w14:textId="77777777" w:rsidR="00723F02" w:rsidRPr="00BE3AC7" w:rsidRDefault="00723F02" w:rsidP="00723F02">
      <w:pPr>
        <w:spacing w:after="120"/>
        <w:jc w:val="both"/>
        <w:rPr>
          <w:b/>
          <w:u w:val="single"/>
        </w:rPr>
      </w:pPr>
      <w:r w:rsidRPr="00BE3AC7">
        <w:rPr>
          <w:b/>
          <w:u w:val="single"/>
        </w:rPr>
        <w:t>Year 2</w:t>
      </w:r>
      <w:r>
        <w:rPr>
          <w:b/>
          <w:u w:val="single"/>
        </w:rPr>
        <w:t xml:space="preserve"> – Aim 2</w:t>
      </w:r>
    </w:p>
    <w:p w14:paraId="763D7AB2" w14:textId="77777777" w:rsidR="00723F02" w:rsidRPr="009A170F" w:rsidRDefault="00723F02" w:rsidP="00723F02">
      <w:pPr>
        <w:pStyle w:val="ListParagraph"/>
        <w:numPr>
          <w:ilvl w:val="0"/>
          <w:numId w:val="1"/>
        </w:numPr>
        <w:spacing w:after="120"/>
        <w:jc w:val="both"/>
        <w:rPr>
          <w:b/>
          <w:u w:val="single"/>
        </w:rPr>
      </w:pPr>
      <w:r>
        <w:t>Complete data acquisition</w:t>
      </w:r>
    </w:p>
    <w:p w14:paraId="2F98E2D8" w14:textId="77777777" w:rsidR="00723F02" w:rsidRPr="009A170F" w:rsidRDefault="00723F02" w:rsidP="00723F02">
      <w:pPr>
        <w:pStyle w:val="ListParagraph"/>
        <w:numPr>
          <w:ilvl w:val="0"/>
          <w:numId w:val="1"/>
        </w:numPr>
        <w:spacing w:after="120"/>
        <w:jc w:val="both"/>
        <w:rPr>
          <w:b/>
          <w:u w:val="single"/>
        </w:rPr>
      </w:pPr>
      <w:r>
        <w:t>Start data analysis</w:t>
      </w:r>
    </w:p>
    <w:p w14:paraId="17434CC4" w14:textId="77777777" w:rsidR="00723F02" w:rsidRPr="00BE3AC7" w:rsidRDefault="00723F02" w:rsidP="00723F02">
      <w:pPr>
        <w:spacing w:after="120"/>
        <w:jc w:val="both"/>
        <w:rPr>
          <w:b/>
          <w:u w:val="single"/>
        </w:rPr>
      </w:pPr>
    </w:p>
    <w:p w14:paraId="0BE4BBF2" w14:textId="77777777" w:rsidR="00723F02" w:rsidRPr="00BE3AC7" w:rsidRDefault="00723F02" w:rsidP="00723F02">
      <w:pPr>
        <w:spacing w:after="120"/>
        <w:jc w:val="both"/>
        <w:rPr>
          <w:b/>
          <w:u w:val="single"/>
        </w:rPr>
      </w:pPr>
      <w:r w:rsidRPr="00BE3AC7">
        <w:rPr>
          <w:b/>
          <w:u w:val="single"/>
        </w:rPr>
        <w:t>Year 3</w:t>
      </w:r>
      <w:r>
        <w:rPr>
          <w:b/>
          <w:u w:val="single"/>
        </w:rPr>
        <w:t xml:space="preserve"> – Aim 3</w:t>
      </w:r>
    </w:p>
    <w:p w14:paraId="610AE3FE" w14:textId="77777777" w:rsidR="00723F02" w:rsidRDefault="00723F02" w:rsidP="00723F02">
      <w:pPr>
        <w:pStyle w:val="ListParagraph"/>
        <w:numPr>
          <w:ilvl w:val="0"/>
          <w:numId w:val="1"/>
        </w:numPr>
        <w:spacing w:after="120"/>
        <w:jc w:val="both"/>
      </w:pPr>
      <w:r>
        <w:t>Complete data analysis</w:t>
      </w:r>
    </w:p>
    <w:p w14:paraId="79D96023" w14:textId="77777777" w:rsidR="00723F02" w:rsidRDefault="00723F02" w:rsidP="00723F02">
      <w:pPr>
        <w:pStyle w:val="ListParagraph"/>
        <w:numPr>
          <w:ilvl w:val="0"/>
          <w:numId w:val="1"/>
        </w:numPr>
        <w:spacing w:after="120"/>
        <w:jc w:val="both"/>
      </w:pPr>
      <w:r>
        <w:t>Integrate data</w:t>
      </w:r>
    </w:p>
    <w:p w14:paraId="234A08E4" w14:textId="77777777" w:rsidR="00723F02" w:rsidRDefault="00723F02" w:rsidP="00723F02">
      <w:pPr>
        <w:pStyle w:val="ListParagraph"/>
        <w:numPr>
          <w:ilvl w:val="0"/>
          <w:numId w:val="1"/>
        </w:numPr>
        <w:spacing w:after="120"/>
        <w:jc w:val="both"/>
      </w:pPr>
      <w:r>
        <w:t>Publications</w:t>
      </w:r>
    </w:p>
    <w:p w14:paraId="6A43D523" w14:textId="77777777" w:rsidR="00723F02" w:rsidRDefault="00723F02" w:rsidP="00723F02">
      <w:pPr>
        <w:spacing w:after="120"/>
        <w:jc w:val="both"/>
        <w:rPr>
          <w:b/>
          <w:bCs/>
        </w:rPr>
      </w:pPr>
    </w:p>
    <w:p w14:paraId="47549667" w14:textId="77777777" w:rsidR="00723F02" w:rsidRDefault="00723F02" w:rsidP="00723F02">
      <w:pPr>
        <w:spacing w:after="120"/>
        <w:jc w:val="both"/>
        <w:rPr>
          <w:b/>
          <w:bCs/>
        </w:rPr>
      </w:pPr>
    </w:p>
    <w:p w14:paraId="131ABC78" w14:textId="77777777" w:rsidR="00723F02" w:rsidRDefault="00723F02" w:rsidP="00723F02">
      <w:pPr>
        <w:spacing w:after="120"/>
        <w:jc w:val="both"/>
        <w:rPr>
          <w:b/>
          <w:bCs/>
        </w:rPr>
      </w:pPr>
      <w:r>
        <w:rPr>
          <w:b/>
          <w:bCs/>
        </w:rPr>
        <w:t>Personnel</w:t>
      </w:r>
    </w:p>
    <w:p w14:paraId="03BD1346" w14:textId="77777777" w:rsidR="00723F02" w:rsidRDefault="00723F02" w:rsidP="00723F02">
      <w:pPr>
        <w:spacing w:after="120"/>
        <w:jc w:val="both"/>
        <w:rPr>
          <w:b/>
          <w:bCs/>
        </w:rPr>
      </w:pPr>
    </w:p>
    <w:p w14:paraId="07992971" w14:textId="77777777" w:rsidR="00723F02" w:rsidRPr="00047C8B" w:rsidRDefault="00723F02" w:rsidP="00723F02">
      <w:pPr>
        <w:rPr>
          <w:b/>
          <w:bCs/>
        </w:rPr>
      </w:pPr>
      <w:r>
        <w:rPr>
          <w:b/>
          <w:bCs/>
        </w:rPr>
        <w:t>Michael Angelo MD PhD. Stanford. Principal investigator.</w:t>
      </w:r>
      <w:r w:rsidRPr="00047C8B">
        <w:t xml:space="preserve"> Mike Angelo is a clinical pathologist with expertise in high dimensional imaging, cancer immunology, and elemental mass spectrometry.  Mike will oversee the development of antibody staining panels outlined in the proposal, MIBI data acquisition and image analysis.  Additionally, mike will coordinate with members of his team and with all co-investigators to ensure timely progression of project goals as stated in the proposal.</w:t>
      </w:r>
      <w:r w:rsidRPr="00047C8B">
        <w:rPr>
          <w:b/>
          <w:bCs/>
        </w:rPr>
        <w:t xml:space="preserve">  </w:t>
      </w:r>
    </w:p>
    <w:p w14:paraId="19D792B2" w14:textId="77777777" w:rsidR="00723F02" w:rsidRDefault="00723F02" w:rsidP="00723F02">
      <w:pPr>
        <w:rPr>
          <w:b/>
          <w:bCs/>
        </w:rPr>
      </w:pPr>
    </w:p>
    <w:p w14:paraId="7E236471" w14:textId="77777777" w:rsidR="00723F02" w:rsidRDefault="00723F02" w:rsidP="00723F02">
      <w:pPr>
        <w:rPr>
          <w:b/>
          <w:bCs/>
        </w:rPr>
      </w:pPr>
    </w:p>
    <w:p w14:paraId="2ED14295" w14:textId="77777777" w:rsidR="00723F02" w:rsidRPr="00D14844" w:rsidRDefault="00723F02" w:rsidP="00723F02">
      <w:r>
        <w:rPr>
          <w:b/>
          <w:bCs/>
        </w:rPr>
        <w:t xml:space="preserve">Sean Bendall PhD. Stanford. Co-investigator. </w:t>
      </w:r>
      <w:r w:rsidRPr="00D14844">
        <w:t>Dr. Bendall is a biochemist and stem cell biologist with deep expertise in mass spectrometry instrumentation for bioanalysis. He is also a world expert in the technologies and analytical approaches in single cell molecular analysis ranging from the discovery of new cell populations and processes, to the derivation of predictive clinical signatures. As a PI Dr. Bendall will coordinate much of the project design, execution, and analysis. Dr. Bendall will oversee the statistical learning and data analysis of single cell signatures derived from the images. He will also be responsible for assembling reports and publications.</w:t>
      </w:r>
    </w:p>
    <w:p w14:paraId="2CF4079A" w14:textId="77777777" w:rsidR="00723F02" w:rsidRDefault="00723F02" w:rsidP="00723F02">
      <w:pPr>
        <w:rPr>
          <w:b/>
          <w:bCs/>
        </w:rPr>
      </w:pPr>
    </w:p>
    <w:p w14:paraId="28D45EA3" w14:textId="77777777" w:rsidR="00723F02" w:rsidRDefault="00723F02" w:rsidP="00723F02">
      <w:pPr>
        <w:rPr>
          <w:b/>
          <w:bCs/>
        </w:rPr>
      </w:pPr>
    </w:p>
    <w:p w14:paraId="763F55D3" w14:textId="77777777" w:rsidR="00723F02" w:rsidRPr="00D062A2" w:rsidRDefault="00723F02" w:rsidP="00723F02">
      <w:pPr>
        <w:rPr>
          <w:b/>
          <w:bCs/>
        </w:rPr>
      </w:pPr>
      <w:proofErr w:type="spellStart"/>
      <w:r>
        <w:rPr>
          <w:b/>
          <w:bCs/>
        </w:rPr>
        <w:t>Hideho</w:t>
      </w:r>
      <w:proofErr w:type="spellEnd"/>
      <w:r>
        <w:rPr>
          <w:b/>
          <w:bCs/>
        </w:rPr>
        <w:t xml:space="preserve"> Okada MD PhD. UCSF. Co-investigator. </w:t>
      </w:r>
      <w:r w:rsidRPr="00D062A2">
        <w:t>Dr. Okada has been dedicated to brain tumor immunology and development of immunotherapy for over 20 years. Dr. Okada has a number of seminal contributions, such as discoveries of glioma-specific/associated antigens and conduct of immunotherapy trials targeting those antigens. Furthermore, most relevant to the current proposal, Dr. Okada has delineated and reported for the first time on local immunosuppression mechanisms in IDH-mutated gliomas. Dr. Okada’s expertise can bridge between the lab and clinical sciences for patients with brain tumor</w:t>
      </w:r>
      <w:r>
        <w:t>s</w:t>
      </w:r>
      <w:r w:rsidRPr="00D062A2">
        <w:t>.</w:t>
      </w:r>
    </w:p>
    <w:p w14:paraId="76CC6BD9" w14:textId="77777777" w:rsidR="00723F02" w:rsidRDefault="00723F02" w:rsidP="00723F02">
      <w:pPr>
        <w:rPr>
          <w:b/>
          <w:bCs/>
        </w:rPr>
      </w:pPr>
    </w:p>
    <w:p w14:paraId="1B5248C3" w14:textId="77777777" w:rsidR="00723F02" w:rsidRDefault="00723F02" w:rsidP="00723F02">
      <w:pPr>
        <w:rPr>
          <w:b/>
          <w:bCs/>
        </w:rPr>
      </w:pPr>
    </w:p>
    <w:p w14:paraId="3EBE2E17" w14:textId="77777777" w:rsidR="00723F02" w:rsidRPr="006971D5" w:rsidRDefault="00723F02" w:rsidP="00723F02">
      <w:pPr>
        <w:rPr>
          <w:rFonts w:ascii="Times New Roman" w:hAnsi="Times New Roman"/>
        </w:rPr>
      </w:pPr>
      <w:r>
        <w:rPr>
          <w:b/>
          <w:bCs/>
        </w:rPr>
        <w:t>Crystal Mackall MD. Stanford.</w:t>
      </w:r>
      <w:r w:rsidRPr="00CA0C6E">
        <w:rPr>
          <w:b/>
          <w:bCs/>
        </w:rPr>
        <w:t xml:space="preserve"> </w:t>
      </w:r>
      <w:r>
        <w:rPr>
          <w:b/>
          <w:bCs/>
        </w:rPr>
        <w:t xml:space="preserve">Co-investigator. </w:t>
      </w:r>
      <w:r w:rsidRPr="006971D5">
        <w:rPr>
          <w:rFonts w:ascii="Calibri" w:hAnsi="Calibri" w:cs="Calibri"/>
          <w:color w:val="000000"/>
        </w:rPr>
        <w:t xml:space="preserve">Crystal Mackall is a pediatric oncologist with expertise in cancer immunotherapy.  She has led numerous first-in-human and first-in-child trials of immunotherapies and has generated preclinical data demonstrating activity of several CAR T cells against adult and pediatric brain tumors.  She will oversee the acquisition of pediatric samples on this project and interpret the results as they relate to pediatric gliomas. She will also serve as the conduit to disseminate these results within the larger pediatric </w:t>
      </w:r>
      <w:r>
        <w:rPr>
          <w:rFonts w:ascii="Calibri" w:hAnsi="Calibri" w:cs="Calibri"/>
          <w:color w:val="000000"/>
        </w:rPr>
        <w:t>immune-</w:t>
      </w:r>
      <w:r w:rsidRPr="006971D5">
        <w:rPr>
          <w:rFonts w:ascii="Calibri" w:hAnsi="Calibri" w:cs="Calibri"/>
          <w:color w:val="000000"/>
        </w:rPr>
        <w:t>oncology community.</w:t>
      </w:r>
    </w:p>
    <w:p w14:paraId="20FB0C9D" w14:textId="77777777" w:rsidR="00723F02" w:rsidRDefault="00723F02" w:rsidP="00723F02">
      <w:pPr>
        <w:rPr>
          <w:b/>
          <w:bCs/>
        </w:rPr>
      </w:pPr>
    </w:p>
    <w:p w14:paraId="5A1F97DC" w14:textId="77777777" w:rsidR="00723F02" w:rsidRDefault="00723F02" w:rsidP="00723F02">
      <w:pPr>
        <w:rPr>
          <w:b/>
          <w:bCs/>
        </w:rPr>
      </w:pPr>
    </w:p>
    <w:p w14:paraId="0911AEF0" w14:textId="77777777" w:rsidR="00723F02" w:rsidRPr="00F5415A" w:rsidRDefault="00723F02" w:rsidP="00723F02">
      <w:r>
        <w:rPr>
          <w:b/>
          <w:bCs/>
        </w:rPr>
        <w:t xml:space="preserve">Christine Brown PhD. City of Hope. Co-investigator. </w:t>
      </w:r>
      <w:r w:rsidRPr="00F5415A">
        <w:t>Dr. Christine Brown is the Heritage Provider Network Professor in Immunotherapy in the Department of</w:t>
      </w:r>
      <w:r>
        <w:t xml:space="preserve"> </w:t>
      </w:r>
      <w:r w:rsidRPr="00F5415A">
        <w:t>Hematology/Hematopoietic Cell Transplantation and Deputy Director of the T cell Therapeutics Research laboratory (TCTRL). She provides scientific oversight for the TCTRL translational program, overseeing cGMP cell manufacturing and CAR-T cell regulatory activities. Dr. Brown’s on-going research is focused on developing and clinically translating CAR T cell therapy for the treatment brain tumors, both primary and metastatic. For this study she will oversee the acquisition and evaluation of patient glioblastoma samples from two clinical trials being carried out at City of Hope (NCT02208362 and NCT03389230).  She will also participate in the interpretation of results with respect to patient findings, and work collaboratively with the team to utilize this transformative high-dimensional protein evaluation of patient samples to help inform response and resistance to CAR T cell therapy.</w:t>
      </w:r>
    </w:p>
    <w:p w14:paraId="0670E2C4" w14:textId="77777777" w:rsidR="00723F02" w:rsidRDefault="00723F02" w:rsidP="00723F02">
      <w:pPr>
        <w:rPr>
          <w:b/>
          <w:bCs/>
        </w:rPr>
      </w:pPr>
    </w:p>
    <w:p w14:paraId="33B827CF" w14:textId="77777777" w:rsidR="00723F02" w:rsidRDefault="00723F02" w:rsidP="00723F02">
      <w:pPr>
        <w:rPr>
          <w:b/>
          <w:bCs/>
        </w:rPr>
      </w:pPr>
    </w:p>
    <w:p w14:paraId="3ADC094A" w14:textId="77777777" w:rsidR="00723F02" w:rsidRPr="00730F05" w:rsidRDefault="00723F02" w:rsidP="00723F02">
      <w:pPr>
        <w:rPr>
          <w:b/>
          <w:bCs/>
        </w:rPr>
      </w:pPr>
      <w:r>
        <w:rPr>
          <w:b/>
          <w:bCs/>
        </w:rPr>
        <w:lastRenderedPageBreak/>
        <w:t xml:space="preserve">Robert </w:t>
      </w:r>
      <w:proofErr w:type="spellStart"/>
      <w:r>
        <w:rPr>
          <w:b/>
          <w:bCs/>
        </w:rPr>
        <w:t>Prins</w:t>
      </w:r>
      <w:proofErr w:type="spellEnd"/>
      <w:r>
        <w:rPr>
          <w:b/>
          <w:bCs/>
        </w:rPr>
        <w:t xml:space="preserve"> PhD. UCLA. Co-investigator.  </w:t>
      </w:r>
      <w:r w:rsidRPr="00730F05">
        <w:rPr>
          <w:rFonts w:ascii="Calibri" w:hAnsi="Calibri" w:cs="Calibri"/>
          <w:color w:val="000000"/>
        </w:rPr>
        <w:t xml:space="preserve">Robert </w:t>
      </w:r>
      <w:proofErr w:type="spellStart"/>
      <w:r w:rsidRPr="00730F05">
        <w:rPr>
          <w:rFonts w:ascii="Calibri" w:hAnsi="Calibri" w:cs="Calibri"/>
          <w:color w:val="000000"/>
        </w:rPr>
        <w:t>Prins</w:t>
      </w:r>
      <w:proofErr w:type="spellEnd"/>
      <w:r w:rsidRPr="00730F05">
        <w:rPr>
          <w:rFonts w:ascii="Calibri" w:hAnsi="Calibri" w:cs="Calibri"/>
          <w:color w:val="000000"/>
        </w:rPr>
        <w:t xml:space="preserve"> has a broad background in solid tumors and immunotherapy, with over 20 years of specific training and expertise in brain tumor immunotherapy, dendritic cell vaccines, and checkpoint blockade in pre-clinical and clinical studies.  He will be responsible for the acquisition of data from recent neoadjuvant PD-1 blockade samples from recurrent glioblastoma patients, as well as the interpretation of correlative data.</w:t>
      </w:r>
    </w:p>
    <w:p w14:paraId="265D349A" w14:textId="77777777" w:rsidR="00723F02" w:rsidRDefault="00723F02" w:rsidP="00723F02">
      <w:pPr>
        <w:rPr>
          <w:b/>
          <w:bCs/>
        </w:rPr>
      </w:pPr>
    </w:p>
    <w:p w14:paraId="60B7ADD1" w14:textId="77777777" w:rsidR="00723F02" w:rsidRDefault="00723F02" w:rsidP="00723F02">
      <w:pPr>
        <w:rPr>
          <w:b/>
          <w:bCs/>
        </w:rPr>
      </w:pPr>
    </w:p>
    <w:p w14:paraId="01941BC6" w14:textId="77777777" w:rsidR="00723F02" w:rsidRPr="00EF5D28" w:rsidRDefault="00723F02" w:rsidP="00723F02">
      <w:pPr>
        <w:rPr>
          <w:b/>
          <w:bCs/>
        </w:rPr>
      </w:pPr>
      <w:r>
        <w:rPr>
          <w:b/>
          <w:bCs/>
        </w:rPr>
        <w:t xml:space="preserve">Pier Federico </w:t>
      </w:r>
      <w:proofErr w:type="spellStart"/>
      <w:r>
        <w:rPr>
          <w:b/>
          <w:bCs/>
        </w:rPr>
        <w:t>Gherardini</w:t>
      </w:r>
      <w:proofErr w:type="spellEnd"/>
      <w:r>
        <w:rPr>
          <w:b/>
          <w:bCs/>
        </w:rPr>
        <w:t xml:space="preserve"> PhD. PICI. Co-investigator. </w:t>
      </w:r>
      <w:r w:rsidRPr="00EF5D28">
        <w:t xml:space="preserve">Pier Federico </w:t>
      </w:r>
      <w:proofErr w:type="spellStart"/>
      <w:r w:rsidRPr="00EF5D28">
        <w:t>Gherardini</w:t>
      </w:r>
      <w:proofErr w:type="spellEnd"/>
      <w:r w:rsidRPr="00EF5D28">
        <w:t xml:space="preserve"> has expertise in computational biology, image analysis and single-cell analysis. He will be responsible for coordinating the analysis of the data, and its dissemination to the research community.</w:t>
      </w:r>
    </w:p>
    <w:p w14:paraId="29FA1D2C" w14:textId="77777777" w:rsidR="00723F02" w:rsidRDefault="00723F02" w:rsidP="00723F02">
      <w:pPr>
        <w:rPr>
          <w:b/>
          <w:bCs/>
        </w:rPr>
      </w:pPr>
    </w:p>
    <w:p w14:paraId="7B3DFB32" w14:textId="77777777" w:rsidR="00723F02" w:rsidRDefault="00723F02" w:rsidP="00723F02">
      <w:pPr>
        <w:rPr>
          <w:b/>
          <w:bCs/>
        </w:rPr>
      </w:pPr>
    </w:p>
    <w:p w14:paraId="13DAAD2F" w14:textId="77777777" w:rsidR="00723F02" w:rsidRDefault="00723F02" w:rsidP="00723F02">
      <w:r>
        <w:rPr>
          <w:b/>
          <w:bCs/>
        </w:rPr>
        <w:t xml:space="preserve">Samantha </w:t>
      </w:r>
      <w:proofErr w:type="spellStart"/>
      <w:r>
        <w:rPr>
          <w:b/>
          <w:bCs/>
        </w:rPr>
        <w:t>Bucktrout</w:t>
      </w:r>
      <w:proofErr w:type="spellEnd"/>
      <w:r>
        <w:rPr>
          <w:b/>
          <w:bCs/>
        </w:rPr>
        <w:t xml:space="preserve"> PhD. PICI. Co- investigator. </w:t>
      </w:r>
      <w:r>
        <w:t xml:space="preserve">Samantha </w:t>
      </w:r>
      <w:proofErr w:type="spellStart"/>
      <w:r>
        <w:t>Bucktrout</w:t>
      </w:r>
      <w:proofErr w:type="spellEnd"/>
      <w:r>
        <w:t xml:space="preserve"> is an immunologist with expertise in myeloid and T cell biology, cancer immunotherapy and immunotherapy drug development. She will be responsible for the overall design, execution and interpretation of the proposed aims. Dr. </w:t>
      </w:r>
      <w:proofErr w:type="spellStart"/>
      <w:r>
        <w:t>Bucktrout</w:t>
      </w:r>
      <w:proofErr w:type="spellEnd"/>
      <w:r>
        <w:t xml:space="preserve"> will coordinate activities of all collaborating team members to meet the goals outlined in the proposal. </w:t>
      </w:r>
    </w:p>
    <w:p w14:paraId="47329142" w14:textId="77777777" w:rsidR="00723F02" w:rsidRPr="00576812" w:rsidRDefault="00723F02" w:rsidP="00723F02"/>
    <w:p w14:paraId="79FB58C1" w14:textId="77777777" w:rsidR="00723F02" w:rsidRDefault="00723F02" w:rsidP="00723F02">
      <w:pPr>
        <w:spacing w:after="120"/>
        <w:jc w:val="both"/>
        <w:rPr>
          <w:b/>
          <w:bCs/>
        </w:rPr>
      </w:pPr>
    </w:p>
    <w:p w14:paraId="3A88E4C4" w14:textId="433D1DCF" w:rsidR="00723F02" w:rsidRPr="00723F02" w:rsidRDefault="00723F02" w:rsidP="00723F02">
      <w:pPr>
        <w:spacing w:after="120"/>
        <w:jc w:val="both"/>
        <w:rPr>
          <w:b/>
          <w:bCs/>
        </w:rPr>
      </w:pPr>
      <w:r w:rsidRPr="00723F02">
        <w:rPr>
          <w:b/>
          <w:bCs/>
        </w:rPr>
        <w:t>Bibliography</w:t>
      </w:r>
    </w:p>
    <w:p w14:paraId="30BD0866" w14:textId="77777777" w:rsidR="00723F02" w:rsidRPr="00FC0683" w:rsidRDefault="00723F02" w:rsidP="00723F02"/>
    <w:p w14:paraId="5EF7F8AF" w14:textId="77777777" w:rsidR="00723F02" w:rsidRPr="00FC0683" w:rsidRDefault="00723F02" w:rsidP="00723F02"/>
    <w:p w14:paraId="6A0C444A" w14:textId="77777777" w:rsidR="00723F02" w:rsidRDefault="00723F02" w:rsidP="00723F02">
      <w:pPr>
        <w:autoSpaceDE w:val="0"/>
        <w:autoSpaceDN w:val="0"/>
        <w:adjustRightInd w:val="0"/>
        <w:ind w:left="540" w:hanging="540"/>
        <w:rPr>
          <w:rFonts w:ascii="Arial" w:hAnsi="Arial"/>
        </w:rPr>
      </w:pPr>
      <w:r>
        <w:fldChar w:fldCharType="begin"/>
      </w:r>
      <w:r>
        <w:instrText>ADDIN BB</w:instrText>
      </w:r>
      <w:r>
        <w:fldChar w:fldCharType="separate"/>
      </w:r>
      <w:r>
        <w:rPr>
          <w:rFonts w:ascii="Times New Roman" w:hAnsi="Times New Roman"/>
        </w:rPr>
        <w:t>1.</w:t>
      </w:r>
      <w:r>
        <w:rPr>
          <w:rFonts w:ascii="Times New Roman" w:hAnsi="Times New Roman"/>
        </w:rPr>
        <w:tab/>
        <w:t xml:space="preserve">Sanai, N., Chang, S. &amp; Berger, M. S. Low-grade gliomas in adults. </w:t>
      </w:r>
      <w:r>
        <w:rPr>
          <w:rFonts w:ascii="Times New Roman" w:hAnsi="Times New Roman"/>
          <w:i/>
        </w:rPr>
        <w:t>J Neurosurg</w:t>
      </w:r>
      <w:r>
        <w:rPr>
          <w:rFonts w:ascii="Times New Roman" w:hAnsi="Times New Roman"/>
        </w:rPr>
        <w:t xml:space="preserve"> </w:t>
      </w:r>
      <w:r>
        <w:rPr>
          <w:rFonts w:ascii="Times New Roman" w:hAnsi="Times New Roman"/>
          <w:b/>
        </w:rPr>
        <w:t>115</w:t>
      </w:r>
      <w:r>
        <w:rPr>
          <w:rFonts w:ascii="Times New Roman" w:hAnsi="Times New Roman"/>
        </w:rPr>
        <w:t>, 948-965 (2011).</w:t>
      </w:r>
    </w:p>
    <w:p w14:paraId="73A4A83E" w14:textId="77777777" w:rsidR="00723F02" w:rsidRDefault="00723F02" w:rsidP="00723F02">
      <w:pPr>
        <w:autoSpaceDE w:val="0"/>
        <w:autoSpaceDN w:val="0"/>
        <w:adjustRightInd w:val="0"/>
        <w:ind w:left="540" w:hanging="540"/>
        <w:rPr>
          <w:rFonts w:ascii="Arial" w:hAnsi="Arial"/>
        </w:rPr>
      </w:pPr>
      <w:r>
        <w:rPr>
          <w:rFonts w:ascii="Times New Roman" w:hAnsi="Times New Roman"/>
        </w:rPr>
        <w:t>2.</w:t>
      </w:r>
      <w:r>
        <w:rPr>
          <w:rFonts w:ascii="Times New Roman" w:hAnsi="Times New Roman"/>
        </w:rPr>
        <w:tab/>
        <w:t xml:space="preserve">Westphal, M. &amp; Lamszus, K. The neurobiology of gliomas: from cell biology to the development of therapeutic approaches. </w:t>
      </w:r>
      <w:r>
        <w:rPr>
          <w:rFonts w:ascii="Times New Roman" w:hAnsi="Times New Roman"/>
          <w:i/>
        </w:rPr>
        <w:t>Nat Rev Neurosci</w:t>
      </w:r>
      <w:r>
        <w:rPr>
          <w:rFonts w:ascii="Times New Roman" w:hAnsi="Times New Roman"/>
        </w:rPr>
        <w:t xml:space="preserve"> </w:t>
      </w:r>
      <w:r>
        <w:rPr>
          <w:rFonts w:ascii="Times New Roman" w:hAnsi="Times New Roman"/>
          <w:b/>
        </w:rPr>
        <w:t>12</w:t>
      </w:r>
      <w:r>
        <w:rPr>
          <w:rFonts w:ascii="Times New Roman" w:hAnsi="Times New Roman"/>
        </w:rPr>
        <w:t>, 495-508 (2011).</w:t>
      </w:r>
    </w:p>
    <w:p w14:paraId="0ED738CE" w14:textId="77777777" w:rsidR="00723F02" w:rsidRDefault="00723F02" w:rsidP="00723F02">
      <w:pPr>
        <w:autoSpaceDE w:val="0"/>
        <w:autoSpaceDN w:val="0"/>
        <w:adjustRightInd w:val="0"/>
        <w:ind w:left="540" w:hanging="540"/>
        <w:rPr>
          <w:rFonts w:ascii="Arial" w:hAnsi="Arial"/>
        </w:rPr>
      </w:pPr>
      <w:r>
        <w:rPr>
          <w:rFonts w:ascii="Times New Roman" w:hAnsi="Times New Roman"/>
        </w:rPr>
        <w:t>3.</w:t>
      </w:r>
      <w:r>
        <w:rPr>
          <w:rFonts w:ascii="Times New Roman" w:hAnsi="Times New Roman"/>
        </w:rPr>
        <w:tab/>
        <w:t xml:space="preserve">Kebudi, R. &amp; Cakir, F. B. Management of diffuse pontine gliomas in children: recent developments. </w:t>
      </w:r>
      <w:r>
        <w:rPr>
          <w:rFonts w:ascii="Times New Roman" w:hAnsi="Times New Roman"/>
          <w:i/>
        </w:rPr>
        <w:t>Paediatr Drugs</w:t>
      </w:r>
      <w:r>
        <w:rPr>
          <w:rFonts w:ascii="Times New Roman" w:hAnsi="Times New Roman"/>
        </w:rPr>
        <w:t xml:space="preserve"> </w:t>
      </w:r>
      <w:r>
        <w:rPr>
          <w:rFonts w:ascii="Times New Roman" w:hAnsi="Times New Roman"/>
          <w:b/>
        </w:rPr>
        <w:t>15</w:t>
      </w:r>
      <w:r>
        <w:rPr>
          <w:rFonts w:ascii="Times New Roman" w:hAnsi="Times New Roman"/>
        </w:rPr>
        <w:t>, 351-362 (2013).</w:t>
      </w:r>
    </w:p>
    <w:p w14:paraId="71AAE810" w14:textId="77777777" w:rsidR="00723F02" w:rsidRDefault="00723F02" w:rsidP="00723F02">
      <w:pPr>
        <w:autoSpaceDE w:val="0"/>
        <w:autoSpaceDN w:val="0"/>
        <w:adjustRightInd w:val="0"/>
        <w:ind w:left="540" w:hanging="540"/>
        <w:rPr>
          <w:rFonts w:ascii="Arial" w:hAnsi="Arial"/>
        </w:rPr>
      </w:pPr>
      <w:r>
        <w:rPr>
          <w:rFonts w:ascii="Times New Roman" w:hAnsi="Times New Roman"/>
        </w:rPr>
        <w:t>4.</w:t>
      </w:r>
      <w:r>
        <w:rPr>
          <w:rFonts w:ascii="Times New Roman" w:hAnsi="Times New Roman"/>
        </w:rPr>
        <w:tab/>
        <w:t xml:space="preserve">Schroeder, K. M., Hoeman, C. M. &amp; Becher, O. J. Children are not just little adults: recent advances in understanding of diffuse intrinsic pontine glioma biology. </w:t>
      </w:r>
      <w:r>
        <w:rPr>
          <w:rFonts w:ascii="Times New Roman" w:hAnsi="Times New Roman"/>
          <w:i/>
        </w:rPr>
        <w:t>Pediatr Res</w:t>
      </w:r>
      <w:r>
        <w:rPr>
          <w:rFonts w:ascii="Times New Roman" w:hAnsi="Times New Roman"/>
        </w:rPr>
        <w:t xml:space="preserve"> </w:t>
      </w:r>
      <w:r>
        <w:rPr>
          <w:rFonts w:ascii="Times New Roman" w:hAnsi="Times New Roman"/>
          <w:b/>
        </w:rPr>
        <w:t>75</w:t>
      </w:r>
      <w:r>
        <w:rPr>
          <w:rFonts w:ascii="Times New Roman" w:hAnsi="Times New Roman"/>
        </w:rPr>
        <w:t>, 205-209 (2014).</w:t>
      </w:r>
    </w:p>
    <w:p w14:paraId="4495949D" w14:textId="77777777" w:rsidR="00723F02" w:rsidRDefault="00723F02" w:rsidP="00723F02">
      <w:pPr>
        <w:autoSpaceDE w:val="0"/>
        <w:autoSpaceDN w:val="0"/>
        <w:adjustRightInd w:val="0"/>
        <w:ind w:left="540" w:hanging="540"/>
        <w:rPr>
          <w:rFonts w:ascii="Arial" w:hAnsi="Arial"/>
        </w:rPr>
      </w:pPr>
      <w:r>
        <w:rPr>
          <w:rFonts w:ascii="Times New Roman" w:hAnsi="Times New Roman"/>
        </w:rPr>
        <w:t>5.</w:t>
      </w:r>
      <w:r>
        <w:rPr>
          <w:rFonts w:ascii="Times New Roman" w:hAnsi="Times New Roman"/>
        </w:rPr>
        <w:tab/>
        <w:t xml:space="preserve">Sampson, J. H., Maus, M. V. &amp; June, C. H. Immunotherapy for Brain Tumors. </w:t>
      </w:r>
      <w:r>
        <w:rPr>
          <w:rFonts w:ascii="Times New Roman" w:hAnsi="Times New Roman"/>
          <w:i/>
        </w:rPr>
        <w:t>J Clin Oncol</w:t>
      </w:r>
      <w:r>
        <w:rPr>
          <w:rFonts w:ascii="Times New Roman" w:hAnsi="Times New Roman"/>
        </w:rPr>
        <w:t xml:space="preserve"> </w:t>
      </w:r>
      <w:r>
        <w:rPr>
          <w:rFonts w:ascii="Times New Roman" w:hAnsi="Times New Roman"/>
          <w:b/>
        </w:rPr>
        <w:t>35</w:t>
      </w:r>
      <w:r>
        <w:rPr>
          <w:rFonts w:ascii="Times New Roman" w:hAnsi="Times New Roman"/>
        </w:rPr>
        <w:t>, 2450-2456 (2017).</w:t>
      </w:r>
    </w:p>
    <w:p w14:paraId="39732CF8" w14:textId="77777777" w:rsidR="00723F02" w:rsidRDefault="00723F02" w:rsidP="00723F02">
      <w:pPr>
        <w:autoSpaceDE w:val="0"/>
        <w:autoSpaceDN w:val="0"/>
        <w:adjustRightInd w:val="0"/>
        <w:ind w:left="540" w:hanging="540"/>
        <w:rPr>
          <w:rFonts w:ascii="Arial" w:hAnsi="Arial"/>
        </w:rPr>
      </w:pPr>
      <w:r>
        <w:rPr>
          <w:rFonts w:ascii="Times New Roman" w:hAnsi="Times New Roman"/>
        </w:rPr>
        <w:t>6.</w:t>
      </w:r>
      <w:r>
        <w:rPr>
          <w:rFonts w:ascii="Times New Roman" w:hAnsi="Times New Roman"/>
        </w:rPr>
        <w:tab/>
        <w:t xml:space="preserve">Cloughesy, T. F. et al. Neoadjuvant anti-PD-1 immunotherapy promotes a survival benefit with intratumoral and systemic immune responses in recurrent glioblastoma. </w:t>
      </w:r>
      <w:r>
        <w:rPr>
          <w:rFonts w:ascii="Times New Roman" w:hAnsi="Times New Roman"/>
          <w:i/>
        </w:rPr>
        <w:t>Nat Med</w:t>
      </w:r>
      <w:r>
        <w:rPr>
          <w:rFonts w:ascii="Times New Roman" w:hAnsi="Times New Roman"/>
        </w:rPr>
        <w:t xml:space="preserve"> </w:t>
      </w:r>
      <w:r>
        <w:rPr>
          <w:rFonts w:ascii="Times New Roman" w:hAnsi="Times New Roman"/>
          <w:b/>
        </w:rPr>
        <w:t>25</w:t>
      </w:r>
      <w:r>
        <w:rPr>
          <w:rFonts w:ascii="Times New Roman" w:hAnsi="Times New Roman"/>
        </w:rPr>
        <w:t>, 477-486 (2019).</w:t>
      </w:r>
    </w:p>
    <w:p w14:paraId="1290E915" w14:textId="77777777" w:rsidR="00723F02" w:rsidRDefault="00723F02" w:rsidP="00723F02">
      <w:pPr>
        <w:autoSpaceDE w:val="0"/>
        <w:autoSpaceDN w:val="0"/>
        <w:adjustRightInd w:val="0"/>
        <w:ind w:left="540" w:hanging="540"/>
        <w:rPr>
          <w:rFonts w:ascii="Arial" w:hAnsi="Arial"/>
        </w:rPr>
      </w:pPr>
      <w:r>
        <w:rPr>
          <w:rFonts w:ascii="Times New Roman" w:hAnsi="Times New Roman"/>
        </w:rPr>
        <w:t>7.</w:t>
      </w:r>
      <w:r>
        <w:rPr>
          <w:rFonts w:ascii="Times New Roman" w:hAnsi="Times New Roman"/>
        </w:rPr>
        <w:tab/>
        <w:t xml:space="preserve">Keren, L. et al. A Structured Tumor-Immune Microenvironment in Triple Negative Breast Cancer Revealed by Multiplexed Ion Beam Imaging. </w:t>
      </w:r>
      <w:r>
        <w:rPr>
          <w:rFonts w:ascii="Times New Roman" w:hAnsi="Times New Roman"/>
          <w:i/>
        </w:rPr>
        <w:t>Cell</w:t>
      </w:r>
      <w:r>
        <w:rPr>
          <w:rFonts w:ascii="Times New Roman" w:hAnsi="Times New Roman"/>
        </w:rPr>
        <w:t xml:space="preserve"> </w:t>
      </w:r>
      <w:r>
        <w:rPr>
          <w:rFonts w:ascii="Times New Roman" w:hAnsi="Times New Roman"/>
          <w:b/>
        </w:rPr>
        <w:t>174</w:t>
      </w:r>
      <w:r>
        <w:rPr>
          <w:rFonts w:ascii="Times New Roman" w:hAnsi="Times New Roman"/>
        </w:rPr>
        <w:t>, 1373-1387.e19 (2018).</w:t>
      </w:r>
    </w:p>
    <w:p w14:paraId="5C4A8CF0" w14:textId="77777777" w:rsidR="00723F02" w:rsidRDefault="00723F02" w:rsidP="00723F02">
      <w:pPr>
        <w:autoSpaceDE w:val="0"/>
        <w:autoSpaceDN w:val="0"/>
        <w:adjustRightInd w:val="0"/>
        <w:ind w:left="540" w:hanging="540"/>
        <w:rPr>
          <w:rFonts w:ascii="Arial" w:hAnsi="Arial"/>
        </w:rPr>
      </w:pPr>
      <w:r>
        <w:rPr>
          <w:rFonts w:ascii="Times New Roman" w:hAnsi="Times New Roman"/>
        </w:rPr>
        <w:t>8.</w:t>
      </w:r>
      <w:r>
        <w:rPr>
          <w:rFonts w:ascii="Times New Roman" w:hAnsi="Times New Roman"/>
        </w:rPr>
        <w:tab/>
        <w:t xml:space="preserve">Brown, C. E. et al. Regression of Glioblastoma after Chimeric Antigen Receptor T-Cell Therapy. </w:t>
      </w:r>
      <w:r>
        <w:rPr>
          <w:rFonts w:ascii="Times New Roman" w:hAnsi="Times New Roman"/>
          <w:i/>
        </w:rPr>
        <w:t>N Engl J Med</w:t>
      </w:r>
      <w:r>
        <w:rPr>
          <w:rFonts w:ascii="Times New Roman" w:hAnsi="Times New Roman"/>
        </w:rPr>
        <w:t xml:space="preserve"> </w:t>
      </w:r>
      <w:r>
        <w:rPr>
          <w:rFonts w:ascii="Times New Roman" w:hAnsi="Times New Roman"/>
          <w:b/>
        </w:rPr>
        <w:t>375</w:t>
      </w:r>
      <w:r>
        <w:rPr>
          <w:rFonts w:ascii="Times New Roman" w:hAnsi="Times New Roman"/>
        </w:rPr>
        <w:t>, 2561-2569 (2016).</w:t>
      </w:r>
    </w:p>
    <w:p w14:paraId="330DC9E0" w14:textId="77777777" w:rsidR="00723F02" w:rsidRDefault="00723F02" w:rsidP="00723F02">
      <w:pPr>
        <w:autoSpaceDE w:val="0"/>
        <w:autoSpaceDN w:val="0"/>
        <w:adjustRightInd w:val="0"/>
        <w:ind w:left="540" w:hanging="540"/>
        <w:rPr>
          <w:rFonts w:ascii="Arial" w:hAnsi="Arial"/>
        </w:rPr>
      </w:pPr>
      <w:r>
        <w:rPr>
          <w:rFonts w:ascii="Times New Roman" w:hAnsi="Times New Roman"/>
        </w:rPr>
        <w:t>9.</w:t>
      </w:r>
      <w:r>
        <w:rPr>
          <w:rFonts w:ascii="Times New Roman" w:hAnsi="Times New Roman"/>
        </w:rPr>
        <w:tab/>
        <w:t xml:space="preserve">O’Rourke, D. M. et al. A single dose of peripherally infused EGFRvIII-directed CAR T cells mediates antigen loss and induces adaptive resistance in patients with recurrent glioblastoma. </w:t>
      </w:r>
      <w:r>
        <w:rPr>
          <w:rFonts w:ascii="Times New Roman" w:hAnsi="Times New Roman"/>
          <w:i/>
        </w:rPr>
        <w:t>Sci Transl Med</w:t>
      </w:r>
      <w:r>
        <w:rPr>
          <w:rFonts w:ascii="Times New Roman" w:hAnsi="Times New Roman"/>
        </w:rPr>
        <w:t xml:space="preserve"> </w:t>
      </w:r>
      <w:r>
        <w:rPr>
          <w:rFonts w:ascii="Times New Roman" w:hAnsi="Times New Roman"/>
          <w:b/>
        </w:rPr>
        <w:t>9</w:t>
      </w:r>
      <w:r>
        <w:rPr>
          <w:rFonts w:ascii="Times New Roman" w:hAnsi="Times New Roman"/>
        </w:rPr>
        <w:t>, (2017).</w:t>
      </w:r>
    </w:p>
    <w:p w14:paraId="3306656D" w14:textId="77777777" w:rsidR="00723F02" w:rsidRDefault="00723F02" w:rsidP="00723F02">
      <w:pPr>
        <w:autoSpaceDE w:val="0"/>
        <w:autoSpaceDN w:val="0"/>
        <w:adjustRightInd w:val="0"/>
        <w:ind w:left="540" w:hanging="540"/>
        <w:rPr>
          <w:rFonts w:ascii="Arial" w:hAnsi="Arial"/>
        </w:rPr>
      </w:pPr>
      <w:r>
        <w:rPr>
          <w:rFonts w:ascii="Times New Roman" w:hAnsi="Times New Roman"/>
        </w:rPr>
        <w:lastRenderedPageBreak/>
        <w:t>10.</w:t>
      </w:r>
      <w:r>
        <w:rPr>
          <w:rFonts w:ascii="Times New Roman" w:hAnsi="Times New Roman"/>
        </w:rPr>
        <w:tab/>
        <w:t xml:space="preserve">Müller, S. et al. Single-cell profiling of human gliomas reveals macrophage ontogeny as a basis for regional differences in macrophage activation in the tumor microenvironment. </w:t>
      </w:r>
      <w:r>
        <w:rPr>
          <w:rFonts w:ascii="Times New Roman" w:hAnsi="Times New Roman"/>
          <w:i/>
        </w:rPr>
        <w:t>Genome Biol</w:t>
      </w:r>
      <w:r>
        <w:rPr>
          <w:rFonts w:ascii="Times New Roman" w:hAnsi="Times New Roman"/>
        </w:rPr>
        <w:t xml:space="preserve"> </w:t>
      </w:r>
      <w:r>
        <w:rPr>
          <w:rFonts w:ascii="Times New Roman" w:hAnsi="Times New Roman"/>
          <w:b/>
        </w:rPr>
        <w:t>18</w:t>
      </w:r>
      <w:r>
        <w:rPr>
          <w:rFonts w:ascii="Times New Roman" w:hAnsi="Times New Roman"/>
        </w:rPr>
        <w:t>, 234 (2017).</w:t>
      </w:r>
    </w:p>
    <w:p w14:paraId="176DD247" w14:textId="77777777" w:rsidR="00723F02" w:rsidRDefault="00723F02" w:rsidP="00723F02">
      <w:pPr>
        <w:autoSpaceDE w:val="0"/>
        <w:autoSpaceDN w:val="0"/>
        <w:adjustRightInd w:val="0"/>
        <w:ind w:left="540" w:hanging="540"/>
        <w:rPr>
          <w:rFonts w:ascii="Arial" w:hAnsi="Arial"/>
        </w:rPr>
      </w:pPr>
      <w:r>
        <w:rPr>
          <w:rFonts w:ascii="Times New Roman" w:hAnsi="Times New Roman"/>
        </w:rPr>
        <w:t>11.</w:t>
      </w:r>
      <w:r>
        <w:rPr>
          <w:rFonts w:ascii="Times New Roman" w:hAnsi="Times New Roman"/>
        </w:rPr>
        <w:tab/>
        <w:t xml:space="preserve">Antonios, J. P. et al. Immunosuppressive tumor-infiltrating myeloid cells mediate adaptive immune resistance via a PD-1/PD-L1 mechanism in glioblastoma. </w:t>
      </w:r>
      <w:r>
        <w:rPr>
          <w:rFonts w:ascii="Times New Roman" w:hAnsi="Times New Roman"/>
          <w:i/>
        </w:rPr>
        <w:t>Neuro Oncol</w:t>
      </w:r>
      <w:r>
        <w:rPr>
          <w:rFonts w:ascii="Times New Roman" w:hAnsi="Times New Roman"/>
        </w:rPr>
        <w:t xml:space="preserve"> </w:t>
      </w:r>
      <w:r>
        <w:rPr>
          <w:rFonts w:ascii="Times New Roman" w:hAnsi="Times New Roman"/>
          <w:b/>
        </w:rPr>
        <w:t>19</w:t>
      </w:r>
      <w:r>
        <w:rPr>
          <w:rFonts w:ascii="Times New Roman" w:hAnsi="Times New Roman"/>
        </w:rPr>
        <w:t>, 796-807 (2017).</w:t>
      </w:r>
    </w:p>
    <w:p w14:paraId="6B28B2CD" w14:textId="77777777" w:rsidR="00723F02" w:rsidRDefault="00723F02" w:rsidP="00723F02">
      <w:pPr>
        <w:autoSpaceDE w:val="0"/>
        <w:autoSpaceDN w:val="0"/>
        <w:adjustRightInd w:val="0"/>
        <w:ind w:left="540" w:hanging="540"/>
        <w:rPr>
          <w:rFonts w:ascii="Arial" w:hAnsi="Arial"/>
        </w:rPr>
      </w:pPr>
      <w:r>
        <w:rPr>
          <w:rFonts w:ascii="Times New Roman" w:hAnsi="Times New Roman"/>
        </w:rPr>
        <w:t>12.</w:t>
      </w:r>
      <w:r>
        <w:rPr>
          <w:rFonts w:ascii="Times New Roman" w:hAnsi="Times New Roman"/>
        </w:rPr>
        <w:tab/>
        <w:t xml:space="preserve">Wu, J. et al. MerTK as a therapeutic target in glioblastoma. </w:t>
      </w:r>
      <w:r>
        <w:rPr>
          <w:rFonts w:ascii="Times New Roman" w:hAnsi="Times New Roman"/>
          <w:i/>
        </w:rPr>
        <w:t>Neuro Oncol</w:t>
      </w:r>
      <w:r>
        <w:rPr>
          <w:rFonts w:ascii="Times New Roman" w:hAnsi="Times New Roman"/>
        </w:rPr>
        <w:t xml:space="preserve"> </w:t>
      </w:r>
      <w:r>
        <w:rPr>
          <w:rFonts w:ascii="Times New Roman" w:hAnsi="Times New Roman"/>
          <w:b/>
        </w:rPr>
        <w:t>20</w:t>
      </w:r>
      <w:r>
        <w:rPr>
          <w:rFonts w:ascii="Times New Roman" w:hAnsi="Times New Roman"/>
        </w:rPr>
        <w:t>, 92-102 (2018).</w:t>
      </w:r>
    </w:p>
    <w:p w14:paraId="1360477B" w14:textId="77777777" w:rsidR="00723F02" w:rsidRDefault="00723F02" w:rsidP="00723F02">
      <w:pPr>
        <w:autoSpaceDE w:val="0"/>
        <w:autoSpaceDN w:val="0"/>
        <w:adjustRightInd w:val="0"/>
        <w:ind w:left="540" w:hanging="540"/>
        <w:rPr>
          <w:rFonts w:ascii="Arial" w:hAnsi="Arial"/>
        </w:rPr>
      </w:pPr>
      <w:r>
        <w:rPr>
          <w:rFonts w:ascii="Times New Roman" w:hAnsi="Times New Roman"/>
        </w:rPr>
        <w:t>13.</w:t>
      </w:r>
      <w:r>
        <w:rPr>
          <w:rFonts w:ascii="Times New Roman" w:hAnsi="Times New Roman"/>
        </w:rPr>
        <w:tab/>
        <w:t xml:space="preserve">Achyut, B. R. et al. Canonical NFκB signaling in myeloid cells is required for the glioblastoma growth. </w:t>
      </w:r>
      <w:r>
        <w:rPr>
          <w:rFonts w:ascii="Times New Roman" w:hAnsi="Times New Roman"/>
          <w:i/>
        </w:rPr>
        <w:t>Sci Rep</w:t>
      </w:r>
      <w:r>
        <w:rPr>
          <w:rFonts w:ascii="Times New Roman" w:hAnsi="Times New Roman"/>
        </w:rPr>
        <w:t xml:space="preserve"> </w:t>
      </w:r>
      <w:r>
        <w:rPr>
          <w:rFonts w:ascii="Times New Roman" w:hAnsi="Times New Roman"/>
          <w:b/>
        </w:rPr>
        <w:t>7</w:t>
      </w:r>
      <w:r>
        <w:rPr>
          <w:rFonts w:ascii="Times New Roman" w:hAnsi="Times New Roman"/>
        </w:rPr>
        <w:t>, 13754 (2017).</w:t>
      </w:r>
    </w:p>
    <w:p w14:paraId="6FA2E776" w14:textId="77777777" w:rsidR="00723F02" w:rsidRDefault="00723F02" w:rsidP="00723F02">
      <w:pPr>
        <w:autoSpaceDE w:val="0"/>
        <w:autoSpaceDN w:val="0"/>
        <w:adjustRightInd w:val="0"/>
        <w:ind w:left="540" w:hanging="540"/>
        <w:rPr>
          <w:rFonts w:ascii="Arial" w:hAnsi="Arial"/>
        </w:rPr>
      </w:pPr>
      <w:r>
        <w:rPr>
          <w:rFonts w:ascii="Times New Roman" w:hAnsi="Times New Roman"/>
        </w:rPr>
        <w:t>14.</w:t>
      </w:r>
      <w:r>
        <w:rPr>
          <w:rFonts w:ascii="Times New Roman" w:hAnsi="Times New Roman"/>
        </w:rPr>
        <w:tab/>
        <w:t xml:space="preserve">Hutter, G. et al. Microglia are effector cells of CD47-SIRPα antiphagocytic axis disruption against glioblastoma. </w:t>
      </w:r>
      <w:r>
        <w:rPr>
          <w:rFonts w:ascii="Times New Roman" w:hAnsi="Times New Roman"/>
          <w:i/>
        </w:rPr>
        <w:t>Proc Natl Acad Sci U S A</w:t>
      </w:r>
      <w:r>
        <w:rPr>
          <w:rFonts w:ascii="Times New Roman" w:hAnsi="Times New Roman"/>
        </w:rPr>
        <w:t xml:space="preserve"> </w:t>
      </w:r>
      <w:r>
        <w:rPr>
          <w:rFonts w:ascii="Times New Roman" w:hAnsi="Times New Roman"/>
          <w:b/>
        </w:rPr>
        <w:t>116</w:t>
      </w:r>
      <w:r>
        <w:rPr>
          <w:rFonts w:ascii="Times New Roman" w:hAnsi="Times New Roman"/>
        </w:rPr>
        <w:t>, 997-1006 (2019).</w:t>
      </w:r>
    </w:p>
    <w:p w14:paraId="57969965" w14:textId="77777777" w:rsidR="00723F02" w:rsidRDefault="00723F02" w:rsidP="00723F02">
      <w:pPr>
        <w:autoSpaceDE w:val="0"/>
        <w:autoSpaceDN w:val="0"/>
        <w:adjustRightInd w:val="0"/>
        <w:ind w:left="540" w:hanging="540"/>
        <w:rPr>
          <w:rFonts w:ascii="Arial" w:hAnsi="Arial"/>
        </w:rPr>
      </w:pPr>
      <w:r>
        <w:rPr>
          <w:rFonts w:ascii="Times New Roman" w:hAnsi="Times New Roman"/>
        </w:rPr>
        <w:t>15.</w:t>
      </w:r>
      <w:r>
        <w:rPr>
          <w:rFonts w:ascii="Times New Roman" w:hAnsi="Times New Roman"/>
        </w:rPr>
        <w:tab/>
        <w:t xml:space="preserve">Tomaszewski, W., Sanchez-Perez, L., Gajewski, T. F. &amp; Sampson, J. H. Brain Tumor Microenvironment and Host State: Implications for Immunotherapy. </w:t>
      </w:r>
      <w:r>
        <w:rPr>
          <w:rFonts w:ascii="Times New Roman" w:hAnsi="Times New Roman"/>
          <w:i/>
        </w:rPr>
        <w:t>Clin Cancer Res</w:t>
      </w:r>
      <w:r>
        <w:rPr>
          <w:rFonts w:ascii="Times New Roman" w:hAnsi="Times New Roman"/>
        </w:rPr>
        <w:t xml:space="preserve"> </w:t>
      </w:r>
      <w:r>
        <w:rPr>
          <w:rFonts w:ascii="Times New Roman" w:hAnsi="Times New Roman"/>
          <w:b/>
        </w:rPr>
        <w:t>25</w:t>
      </w:r>
      <w:r>
        <w:rPr>
          <w:rFonts w:ascii="Times New Roman" w:hAnsi="Times New Roman"/>
        </w:rPr>
        <w:t>, 4202-4210 (2019).</w:t>
      </w:r>
    </w:p>
    <w:p w14:paraId="3D918C62" w14:textId="47879786" w:rsidR="0098164E" w:rsidRPr="00723F02" w:rsidRDefault="00723F02" w:rsidP="00723F02">
      <w:r>
        <w:fldChar w:fldCharType="end"/>
      </w:r>
    </w:p>
    <w:sectPr w:rsidR="0098164E" w:rsidRPr="00723F02" w:rsidSect="004876E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Hadeesha" w:date="2020-07-23T12:06:00Z" w:initials="H">
    <w:p w14:paraId="35C557CB" w14:textId="5E4C164A" w:rsidR="00EE17B2" w:rsidRDefault="00EE17B2">
      <w:pPr>
        <w:pStyle w:val="CommentText"/>
      </w:pPr>
      <w:r>
        <w:rPr>
          <w:rStyle w:val="CommentReference"/>
        </w:rPr>
        <w:annotationRef/>
      </w:r>
      <w:r>
        <w:t>This is key for HFSP</w:t>
      </w:r>
    </w:p>
  </w:comment>
  <w:comment w:id="5" w:author="Hadeesha" w:date="2020-07-23T12:07:00Z" w:initials="H">
    <w:p w14:paraId="64F869A4" w14:textId="76D690F9" w:rsidR="006D5E53" w:rsidRDefault="006D5E53">
      <w:pPr>
        <w:pStyle w:val="CommentText"/>
      </w:pPr>
      <w:r>
        <w:rPr>
          <w:rStyle w:val="CommentReference"/>
        </w:rPr>
        <w:annotationRef/>
      </w:r>
      <w:r>
        <w:t>Reword this so insight into fundamentals is highlighted</w:t>
      </w:r>
    </w:p>
  </w:comment>
  <w:comment w:id="6" w:author="Hadeesha" w:date="2020-07-27T11:12:00Z" w:initials="H">
    <w:p w14:paraId="172D8668" w14:textId="0947F67C" w:rsidR="00C25DBD" w:rsidRDefault="00C25DBD">
      <w:pPr>
        <w:pStyle w:val="CommentText"/>
      </w:pPr>
      <w:r>
        <w:rPr>
          <w:rStyle w:val="CommentReference"/>
        </w:rPr>
        <w:annotationRef/>
      </w:r>
      <w:r>
        <w:t xml:space="preserve">Still figuring this 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C557CB" w15:done="0"/>
  <w15:commentEx w15:paraId="64F869A4" w15:done="0"/>
  <w15:commentEx w15:paraId="172D86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3FBD4" w16cex:dateUtc="2020-07-23T17:06:00Z"/>
  <w16cex:commentExtensible w16cex:durableId="22C3FC02" w16cex:dateUtc="2020-07-23T17:07:00Z"/>
  <w16cex:commentExtensible w16cex:durableId="22C93515" w16cex:dateUtc="2020-07-27T1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C557CB" w16cid:durableId="22C3FBD4"/>
  <w16cid:commentId w16cid:paraId="64F869A4" w16cid:durableId="22C3FC02"/>
  <w16cid:commentId w16cid:paraId="172D8668" w16cid:durableId="22C935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60809"/>
    <w:multiLevelType w:val="hybridMultilevel"/>
    <w:tmpl w:val="0750CB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8668A"/>
    <w:multiLevelType w:val="hybridMultilevel"/>
    <w:tmpl w:val="3E2A3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044C4"/>
    <w:multiLevelType w:val="hybridMultilevel"/>
    <w:tmpl w:val="EC8C4D50"/>
    <w:lvl w:ilvl="0" w:tplc="120486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0724C"/>
    <w:multiLevelType w:val="hybridMultilevel"/>
    <w:tmpl w:val="3E2A3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70664"/>
    <w:multiLevelType w:val="hybridMultilevel"/>
    <w:tmpl w:val="96C4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C2827"/>
    <w:multiLevelType w:val="hybridMultilevel"/>
    <w:tmpl w:val="4C5CCA84"/>
    <w:lvl w:ilvl="0" w:tplc="04090005">
      <w:start w:val="1"/>
      <w:numFmt w:val="bullet"/>
      <w:lvlText w:val=""/>
      <w:lvlJc w:val="left"/>
      <w:pPr>
        <w:ind w:left="767" w:hanging="360"/>
      </w:pPr>
      <w:rPr>
        <w:rFonts w:ascii="Wingdings" w:hAnsi="Wingdings"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6" w15:restartNumberingAfterBreak="0">
    <w:nsid w:val="57953CE1"/>
    <w:multiLevelType w:val="hybridMultilevel"/>
    <w:tmpl w:val="F9641D84"/>
    <w:lvl w:ilvl="0" w:tplc="58646BA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632D2A"/>
    <w:multiLevelType w:val="hybridMultilevel"/>
    <w:tmpl w:val="3E2A3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3"/>
  </w:num>
  <w:num w:numId="5">
    <w:abstractNumId w:val="6"/>
  </w:num>
  <w:num w:numId="6">
    <w:abstractNumId w:val="4"/>
  </w:num>
  <w:num w:numId="7">
    <w:abstractNumId w:val="5"/>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deesha">
    <w15:presenceInfo w15:providerId="None" w15:userId="Hadees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51E"/>
    <w:rsid w:val="000155A3"/>
    <w:rsid w:val="000156CC"/>
    <w:rsid w:val="00022799"/>
    <w:rsid w:val="00033474"/>
    <w:rsid w:val="00036896"/>
    <w:rsid w:val="000412B5"/>
    <w:rsid w:val="00043A6E"/>
    <w:rsid w:val="00047C5B"/>
    <w:rsid w:val="00050C81"/>
    <w:rsid w:val="00067D10"/>
    <w:rsid w:val="00073283"/>
    <w:rsid w:val="00073C30"/>
    <w:rsid w:val="0007504D"/>
    <w:rsid w:val="00082194"/>
    <w:rsid w:val="000926A7"/>
    <w:rsid w:val="00092F6F"/>
    <w:rsid w:val="00093E1B"/>
    <w:rsid w:val="000A1E47"/>
    <w:rsid w:val="000C21C0"/>
    <w:rsid w:val="000C79BF"/>
    <w:rsid w:val="000E493F"/>
    <w:rsid w:val="000F07E2"/>
    <w:rsid w:val="00123B6A"/>
    <w:rsid w:val="00134988"/>
    <w:rsid w:val="00141ED4"/>
    <w:rsid w:val="00146212"/>
    <w:rsid w:val="00161C72"/>
    <w:rsid w:val="00162D02"/>
    <w:rsid w:val="00165928"/>
    <w:rsid w:val="0018197E"/>
    <w:rsid w:val="00190591"/>
    <w:rsid w:val="00197F84"/>
    <w:rsid w:val="001A521B"/>
    <w:rsid w:val="001B5792"/>
    <w:rsid w:val="001C056B"/>
    <w:rsid w:val="001C7613"/>
    <w:rsid w:val="001E1AF1"/>
    <w:rsid w:val="001E31A0"/>
    <w:rsid w:val="001E4950"/>
    <w:rsid w:val="00215692"/>
    <w:rsid w:val="0023415D"/>
    <w:rsid w:val="002415D9"/>
    <w:rsid w:val="00245F51"/>
    <w:rsid w:val="002518FD"/>
    <w:rsid w:val="00264C68"/>
    <w:rsid w:val="002849FD"/>
    <w:rsid w:val="00285141"/>
    <w:rsid w:val="002A0E10"/>
    <w:rsid w:val="002A56FA"/>
    <w:rsid w:val="002B3C79"/>
    <w:rsid w:val="002B41AE"/>
    <w:rsid w:val="002C2964"/>
    <w:rsid w:val="002C65F9"/>
    <w:rsid w:val="002F7A0B"/>
    <w:rsid w:val="0030034A"/>
    <w:rsid w:val="00305B1E"/>
    <w:rsid w:val="003237BF"/>
    <w:rsid w:val="0037219F"/>
    <w:rsid w:val="003B5F45"/>
    <w:rsid w:val="003D11A1"/>
    <w:rsid w:val="003D439F"/>
    <w:rsid w:val="003E6ED7"/>
    <w:rsid w:val="0040109D"/>
    <w:rsid w:val="0040372A"/>
    <w:rsid w:val="0044506B"/>
    <w:rsid w:val="00450483"/>
    <w:rsid w:val="00452D71"/>
    <w:rsid w:val="00484C3C"/>
    <w:rsid w:val="004876E1"/>
    <w:rsid w:val="004919D4"/>
    <w:rsid w:val="004A7C93"/>
    <w:rsid w:val="004C57C0"/>
    <w:rsid w:val="00511FF3"/>
    <w:rsid w:val="00512951"/>
    <w:rsid w:val="00583799"/>
    <w:rsid w:val="005904EE"/>
    <w:rsid w:val="00591053"/>
    <w:rsid w:val="005A607D"/>
    <w:rsid w:val="005B6BA0"/>
    <w:rsid w:val="005C5D7B"/>
    <w:rsid w:val="005D3CE9"/>
    <w:rsid w:val="005D7849"/>
    <w:rsid w:val="005E1C23"/>
    <w:rsid w:val="005E2FFB"/>
    <w:rsid w:val="005F70F4"/>
    <w:rsid w:val="00613BA1"/>
    <w:rsid w:val="00670118"/>
    <w:rsid w:val="0069436E"/>
    <w:rsid w:val="006959D5"/>
    <w:rsid w:val="006A0571"/>
    <w:rsid w:val="006A1D46"/>
    <w:rsid w:val="006A310B"/>
    <w:rsid w:val="006A5294"/>
    <w:rsid w:val="006A5532"/>
    <w:rsid w:val="006A5CDF"/>
    <w:rsid w:val="006A6CE8"/>
    <w:rsid w:val="006A7614"/>
    <w:rsid w:val="006B1D46"/>
    <w:rsid w:val="006B49E5"/>
    <w:rsid w:val="006D5E3D"/>
    <w:rsid w:val="006D5E53"/>
    <w:rsid w:val="006E0DEE"/>
    <w:rsid w:val="006E4030"/>
    <w:rsid w:val="006E5FB0"/>
    <w:rsid w:val="006F64E6"/>
    <w:rsid w:val="00700143"/>
    <w:rsid w:val="00707B4B"/>
    <w:rsid w:val="00710C03"/>
    <w:rsid w:val="00723F02"/>
    <w:rsid w:val="00742C28"/>
    <w:rsid w:val="007503A4"/>
    <w:rsid w:val="0076203F"/>
    <w:rsid w:val="0077313F"/>
    <w:rsid w:val="00774659"/>
    <w:rsid w:val="0077735F"/>
    <w:rsid w:val="00792EAD"/>
    <w:rsid w:val="0079487C"/>
    <w:rsid w:val="007A1577"/>
    <w:rsid w:val="007A2E8E"/>
    <w:rsid w:val="007B0881"/>
    <w:rsid w:val="007C0286"/>
    <w:rsid w:val="007C0812"/>
    <w:rsid w:val="007C5E50"/>
    <w:rsid w:val="007D5102"/>
    <w:rsid w:val="007E7F6A"/>
    <w:rsid w:val="0081251E"/>
    <w:rsid w:val="00816D1F"/>
    <w:rsid w:val="00821A76"/>
    <w:rsid w:val="00830C43"/>
    <w:rsid w:val="00833625"/>
    <w:rsid w:val="008356ED"/>
    <w:rsid w:val="00857D7A"/>
    <w:rsid w:val="0086136D"/>
    <w:rsid w:val="00861803"/>
    <w:rsid w:val="00873FA9"/>
    <w:rsid w:val="00897005"/>
    <w:rsid w:val="008A63DE"/>
    <w:rsid w:val="008B2B8F"/>
    <w:rsid w:val="008D36E9"/>
    <w:rsid w:val="008E018A"/>
    <w:rsid w:val="008E1318"/>
    <w:rsid w:val="008F00EC"/>
    <w:rsid w:val="00902F94"/>
    <w:rsid w:val="009031AB"/>
    <w:rsid w:val="009037C6"/>
    <w:rsid w:val="009238B7"/>
    <w:rsid w:val="0093287D"/>
    <w:rsid w:val="00932A41"/>
    <w:rsid w:val="00937A58"/>
    <w:rsid w:val="00943205"/>
    <w:rsid w:val="00961725"/>
    <w:rsid w:val="00962CE4"/>
    <w:rsid w:val="0098164E"/>
    <w:rsid w:val="009848B1"/>
    <w:rsid w:val="009A170F"/>
    <w:rsid w:val="009A7B1C"/>
    <w:rsid w:val="009B48A1"/>
    <w:rsid w:val="009C4A9B"/>
    <w:rsid w:val="009D5841"/>
    <w:rsid w:val="009E133D"/>
    <w:rsid w:val="009E5296"/>
    <w:rsid w:val="009F45F8"/>
    <w:rsid w:val="00A05FD2"/>
    <w:rsid w:val="00A0603D"/>
    <w:rsid w:val="00A37094"/>
    <w:rsid w:val="00A4590C"/>
    <w:rsid w:val="00A502DF"/>
    <w:rsid w:val="00A525B3"/>
    <w:rsid w:val="00A60763"/>
    <w:rsid w:val="00A60F17"/>
    <w:rsid w:val="00A71B78"/>
    <w:rsid w:val="00A74551"/>
    <w:rsid w:val="00A870BA"/>
    <w:rsid w:val="00A91E42"/>
    <w:rsid w:val="00A94830"/>
    <w:rsid w:val="00AA4487"/>
    <w:rsid w:val="00AB3F1C"/>
    <w:rsid w:val="00AB6744"/>
    <w:rsid w:val="00AC46B7"/>
    <w:rsid w:val="00AD2933"/>
    <w:rsid w:val="00AD5565"/>
    <w:rsid w:val="00AE1246"/>
    <w:rsid w:val="00AE4F2B"/>
    <w:rsid w:val="00AE684E"/>
    <w:rsid w:val="00AE7CB1"/>
    <w:rsid w:val="00B0362B"/>
    <w:rsid w:val="00B13F43"/>
    <w:rsid w:val="00B222F3"/>
    <w:rsid w:val="00B34CC4"/>
    <w:rsid w:val="00B3628E"/>
    <w:rsid w:val="00B41F1F"/>
    <w:rsid w:val="00B45B30"/>
    <w:rsid w:val="00B50D4C"/>
    <w:rsid w:val="00B5387F"/>
    <w:rsid w:val="00B566AD"/>
    <w:rsid w:val="00B6056A"/>
    <w:rsid w:val="00B7518C"/>
    <w:rsid w:val="00B8038E"/>
    <w:rsid w:val="00B854BC"/>
    <w:rsid w:val="00BA5EA6"/>
    <w:rsid w:val="00BD6EBE"/>
    <w:rsid w:val="00BD72A8"/>
    <w:rsid w:val="00BE13C9"/>
    <w:rsid w:val="00BE3AC7"/>
    <w:rsid w:val="00C03F9A"/>
    <w:rsid w:val="00C06EB3"/>
    <w:rsid w:val="00C140A7"/>
    <w:rsid w:val="00C15CBA"/>
    <w:rsid w:val="00C22BB3"/>
    <w:rsid w:val="00C25DBD"/>
    <w:rsid w:val="00C26533"/>
    <w:rsid w:val="00C334BA"/>
    <w:rsid w:val="00C571B9"/>
    <w:rsid w:val="00C57864"/>
    <w:rsid w:val="00C57CAA"/>
    <w:rsid w:val="00C67EC6"/>
    <w:rsid w:val="00C72DE0"/>
    <w:rsid w:val="00C751FA"/>
    <w:rsid w:val="00C9767C"/>
    <w:rsid w:val="00CA50FE"/>
    <w:rsid w:val="00CB0518"/>
    <w:rsid w:val="00CC2BBF"/>
    <w:rsid w:val="00CC583D"/>
    <w:rsid w:val="00CD4547"/>
    <w:rsid w:val="00D17C28"/>
    <w:rsid w:val="00D45E0A"/>
    <w:rsid w:val="00D47D1E"/>
    <w:rsid w:val="00D61AE1"/>
    <w:rsid w:val="00D74C6C"/>
    <w:rsid w:val="00D77097"/>
    <w:rsid w:val="00D80981"/>
    <w:rsid w:val="00D87B13"/>
    <w:rsid w:val="00D920F9"/>
    <w:rsid w:val="00DB1AD9"/>
    <w:rsid w:val="00DB1BCF"/>
    <w:rsid w:val="00DC3B5D"/>
    <w:rsid w:val="00DE2383"/>
    <w:rsid w:val="00DF0DD2"/>
    <w:rsid w:val="00E03C1A"/>
    <w:rsid w:val="00E0430D"/>
    <w:rsid w:val="00E058AE"/>
    <w:rsid w:val="00E07C9D"/>
    <w:rsid w:val="00E258CB"/>
    <w:rsid w:val="00E30179"/>
    <w:rsid w:val="00E32657"/>
    <w:rsid w:val="00E32940"/>
    <w:rsid w:val="00E37894"/>
    <w:rsid w:val="00E56794"/>
    <w:rsid w:val="00E62F39"/>
    <w:rsid w:val="00E649EB"/>
    <w:rsid w:val="00E655D6"/>
    <w:rsid w:val="00E76307"/>
    <w:rsid w:val="00E92013"/>
    <w:rsid w:val="00E927AC"/>
    <w:rsid w:val="00EB0707"/>
    <w:rsid w:val="00ED0647"/>
    <w:rsid w:val="00ED1D0F"/>
    <w:rsid w:val="00ED2AE5"/>
    <w:rsid w:val="00EE17B2"/>
    <w:rsid w:val="00EE62FE"/>
    <w:rsid w:val="00EE754A"/>
    <w:rsid w:val="00EF461A"/>
    <w:rsid w:val="00EF7511"/>
    <w:rsid w:val="00F050E7"/>
    <w:rsid w:val="00F07C22"/>
    <w:rsid w:val="00F12BB6"/>
    <w:rsid w:val="00F2445D"/>
    <w:rsid w:val="00F24C91"/>
    <w:rsid w:val="00F37332"/>
    <w:rsid w:val="00F42812"/>
    <w:rsid w:val="00F44ACB"/>
    <w:rsid w:val="00F50F8D"/>
    <w:rsid w:val="00F65871"/>
    <w:rsid w:val="00F9241E"/>
    <w:rsid w:val="00F93151"/>
    <w:rsid w:val="00FB79C2"/>
    <w:rsid w:val="00FC0683"/>
    <w:rsid w:val="00FC79DE"/>
    <w:rsid w:val="00FD2EF4"/>
    <w:rsid w:val="00FD487F"/>
    <w:rsid w:val="00FE4380"/>
    <w:rsid w:val="00FF1121"/>
    <w:rsid w:val="00FF4E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D091"/>
  <w15:chartTrackingRefBased/>
  <w15:docId w15:val="{CA2084CE-D862-2C4E-8A00-441C06BF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82194"/>
    <w:pPr>
      <w:ind w:left="720"/>
      <w:contextualSpacing/>
    </w:pPr>
  </w:style>
  <w:style w:type="paragraph" w:styleId="BalloonText">
    <w:name w:val="Balloon Text"/>
    <w:basedOn w:val="Normal"/>
    <w:link w:val="BalloonTextChar"/>
    <w:uiPriority w:val="99"/>
    <w:semiHidden/>
    <w:unhideWhenUsed/>
    <w:rsid w:val="003B5F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5F45"/>
    <w:rPr>
      <w:rFonts w:ascii="Times New Roman" w:hAnsi="Times New Roman" w:cs="Times New Roman"/>
      <w:sz w:val="18"/>
      <w:szCs w:val="18"/>
    </w:rPr>
  </w:style>
  <w:style w:type="character" w:styleId="Strong">
    <w:name w:val="Strong"/>
    <w:basedOn w:val="DefaultParagraphFont"/>
    <w:uiPriority w:val="22"/>
    <w:qFormat/>
    <w:rsid w:val="00A525B3"/>
    <w:rPr>
      <w:b/>
      <w:bCs/>
    </w:rPr>
  </w:style>
  <w:style w:type="paragraph" w:styleId="Revision">
    <w:name w:val="Revision"/>
    <w:hidden/>
    <w:uiPriority w:val="99"/>
    <w:semiHidden/>
    <w:rsid w:val="00C06EB3"/>
  </w:style>
  <w:style w:type="table" w:styleId="TableGrid">
    <w:name w:val="Table Grid"/>
    <w:basedOn w:val="TableNormal"/>
    <w:uiPriority w:val="39"/>
    <w:rsid w:val="00857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05FD2"/>
    <w:rPr>
      <w:sz w:val="16"/>
      <w:szCs w:val="16"/>
    </w:rPr>
  </w:style>
  <w:style w:type="paragraph" w:styleId="CommentText">
    <w:name w:val="annotation text"/>
    <w:basedOn w:val="Normal"/>
    <w:link w:val="CommentTextChar"/>
    <w:uiPriority w:val="99"/>
    <w:unhideWhenUsed/>
    <w:rsid w:val="00A05FD2"/>
    <w:rPr>
      <w:sz w:val="20"/>
      <w:szCs w:val="20"/>
    </w:rPr>
  </w:style>
  <w:style w:type="character" w:customStyle="1" w:styleId="CommentTextChar">
    <w:name w:val="Comment Text Char"/>
    <w:basedOn w:val="DefaultParagraphFont"/>
    <w:link w:val="CommentText"/>
    <w:uiPriority w:val="99"/>
    <w:rsid w:val="00A05FD2"/>
    <w:rPr>
      <w:sz w:val="20"/>
      <w:szCs w:val="20"/>
    </w:rPr>
  </w:style>
  <w:style w:type="paragraph" w:styleId="CommentSubject">
    <w:name w:val="annotation subject"/>
    <w:basedOn w:val="CommentText"/>
    <w:next w:val="CommentText"/>
    <w:link w:val="CommentSubjectChar"/>
    <w:uiPriority w:val="99"/>
    <w:semiHidden/>
    <w:unhideWhenUsed/>
    <w:rsid w:val="00A05FD2"/>
    <w:rPr>
      <w:b/>
      <w:bCs/>
    </w:rPr>
  </w:style>
  <w:style w:type="character" w:customStyle="1" w:styleId="CommentSubjectChar">
    <w:name w:val="Comment Subject Char"/>
    <w:basedOn w:val="CommentTextChar"/>
    <w:link w:val="CommentSubject"/>
    <w:uiPriority w:val="99"/>
    <w:semiHidden/>
    <w:rsid w:val="00A05FD2"/>
    <w:rPr>
      <w:b/>
      <w:bCs/>
      <w:sz w:val="20"/>
      <w:szCs w:val="20"/>
    </w:rPr>
  </w:style>
  <w:style w:type="character" w:styleId="Hyperlink">
    <w:name w:val="Hyperlink"/>
    <w:basedOn w:val="DefaultParagraphFont"/>
    <w:uiPriority w:val="99"/>
    <w:unhideWhenUsed/>
    <w:rsid w:val="009037C6"/>
    <w:rPr>
      <w:color w:val="0563C1" w:themeColor="hyperlink"/>
      <w:u w:val="single"/>
    </w:rPr>
  </w:style>
  <w:style w:type="character" w:customStyle="1" w:styleId="ListParagraphChar">
    <w:name w:val="List Paragraph Char"/>
    <w:link w:val="ListParagraph"/>
    <w:uiPriority w:val="34"/>
    <w:rsid w:val="00AB6744"/>
  </w:style>
  <w:style w:type="character" w:customStyle="1" w:styleId="apple-converted-space">
    <w:name w:val="apple-converted-space"/>
    <w:basedOn w:val="DefaultParagraphFont"/>
    <w:rsid w:val="00AB6744"/>
  </w:style>
  <w:style w:type="character" w:styleId="FollowedHyperlink">
    <w:name w:val="FollowedHyperlink"/>
    <w:basedOn w:val="DefaultParagraphFont"/>
    <w:uiPriority w:val="99"/>
    <w:semiHidden/>
    <w:unhideWhenUsed/>
    <w:rsid w:val="007D51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09228">
      <w:bodyDiv w:val="1"/>
      <w:marLeft w:val="0"/>
      <w:marRight w:val="0"/>
      <w:marTop w:val="0"/>
      <w:marBottom w:val="0"/>
      <w:divBdr>
        <w:top w:val="none" w:sz="0" w:space="0" w:color="auto"/>
        <w:left w:val="none" w:sz="0" w:space="0" w:color="auto"/>
        <w:bottom w:val="none" w:sz="0" w:space="0" w:color="auto"/>
        <w:right w:val="none" w:sz="0" w:space="0" w:color="auto"/>
      </w:divBdr>
    </w:div>
    <w:div w:id="112943346">
      <w:bodyDiv w:val="1"/>
      <w:marLeft w:val="0"/>
      <w:marRight w:val="0"/>
      <w:marTop w:val="0"/>
      <w:marBottom w:val="0"/>
      <w:divBdr>
        <w:top w:val="none" w:sz="0" w:space="0" w:color="auto"/>
        <w:left w:val="none" w:sz="0" w:space="0" w:color="auto"/>
        <w:bottom w:val="none" w:sz="0" w:space="0" w:color="auto"/>
        <w:right w:val="none" w:sz="0" w:space="0" w:color="auto"/>
      </w:divBdr>
      <w:divsChild>
        <w:div w:id="13576194">
          <w:marLeft w:val="0"/>
          <w:marRight w:val="0"/>
          <w:marTop w:val="0"/>
          <w:marBottom w:val="0"/>
          <w:divBdr>
            <w:top w:val="none" w:sz="0" w:space="0" w:color="auto"/>
            <w:left w:val="none" w:sz="0" w:space="0" w:color="auto"/>
            <w:bottom w:val="none" w:sz="0" w:space="0" w:color="auto"/>
            <w:right w:val="none" w:sz="0" w:space="0" w:color="auto"/>
          </w:divBdr>
        </w:div>
        <w:div w:id="2008895770">
          <w:marLeft w:val="0"/>
          <w:marRight w:val="0"/>
          <w:marTop w:val="0"/>
          <w:marBottom w:val="0"/>
          <w:divBdr>
            <w:top w:val="none" w:sz="0" w:space="0" w:color="auto"/>
            <w:left w:val="none" w:sz="0" w:space="0" w:color="auto"/>
            <w:bottom w:val="none" w:sz="0" w:space="0" w:color="auto"/>
            <w:right w:val="none" w:sz="0" w:space="0" w:color="auto"/>
          </w:divBdr>
        </w:div>
        <w:div w:id="1844782116">
          <w:marLeft w:val="0"/>
          <w:marRight w:val="0"/>
          <w:marTop w:val="0"/>
          <w:marBottom w:val="0"/>
          <w:divBdr>
            <w:top w:val="none" w:sz="0" w:space="0" w:color="auto"/>
            <w:left w:val="none" w:sz="0" w:space="0" w:color="auto"/>
            <w:bottom w:val="none" w:sz="0" w:space="0" w:color="auto"/>
            <w:right w:val="none" w:sz="0" w:space="0" w:color="auto"/>
          </w:divBdr>
        </w:div>
        <w:div w:id="2084256909">
          <w:marLeft w:val="0"/>
          <w:marRight w:val="0"/>
          <w:marTop w:val="0"/>
          <w:marBottom w:val="0"/>
          <w:divBdr>
            <w:top w:val="none" w:sz="0" w:space="0" w:color="auto"/>
            <w:left w:val="none" w:sz="0" w:space="0" w:color="auto"/>
            <w:bottom w:val="none" w:sz="0" w:space="0" w:color="auto"/>
            <w:right w:val="none" w:sz="0" w:space="0" w:color="auto"/>
          </w:divBdr>
        </w:div>
      </w:divsChild>
    </w:div>
    <w:div w:id="156697488">
      <w:bodyDiv w:val="1"/>
      <w:marLeft w:val="0"/>
      <w:marRight w:val="0"/>
      <w:marTop w:val="0"/>
      <w:marBottom w:val="0"/>
      <w:divBdr>
        <w:top w:val="none" w:sz="0" w:space="0" w:color="auto"/>
        <w:left w:val="none" w:sz="0" w:space="0" w:color="auto"/>
        <w:bottom w:val="none" w:sz="0" w:space="0" w:color="auto"/>
        <w:right w:val="none" w:sz="0" w:space="0" w:color="auto"/>
      </w:divBdr>
    </w:div>
    <w:div w:id="767429972">
      <w:bodyDiv w:val="1"/>
      <w:marLeft w:val="0"/>
      <w:marRight w:val="0"/>
      <w:marTop w:val="0"/>
      <w:marBottom w:val="0"/>
      <w:divBdr>
        <w:top w:val="none" w:sz="0" w:space="0" w:color="auto"/>
        <w:left w:val="none" w:sz="0" w:space="0" w:color="auto"/>
        <w:bottom w:val="none" w:sz="0" w:space="0" w:color="auto"/>
        <w:right w:val="none" w:sz="0" w:space="0" w:color="auto"/>
      </w:divBdr>
    </w:div>
    <w:div w:id="1393772547">
      <w:bodyDiv w:val="1"/>
      <w:marLeft w:val="0"/>
      <w:marRight w:val="0"/>
      <w:marTop w:val="0"/>
      <w:marBottom w:val="0"/>
      <w:divBdr>
        <w:top w:val="none" w:sz="0" w:space="0" w:color="auto"/>
        <w:left w:val="none" w:sz="0" w:space="0" w:color="auto"/>
        <w:bottom w:val="none" w:sz="0" w:space="0" w:color="auto"/>
        <w:right w:val="none" w:sz="0" w:space="0" w:color="auto"/>
      </w:divBdr>
    </w:div>
    <w:div w:id="1684893367">
      <w:bodyDiv w:val="1"/>
      <w:marLeft w:val="0"/>
      <w:marRight w:val="0"/>
      <w:marTop w:val="0"/>
      <w:marBottom w:val="0"/>
      <w:divBdr>
        <w:top w:val="none" w:sz="0" w:space="0" w:color="auto"/>
        <w:left w:val="none" w:sz="0" w:space="0" w:color="auto"/>
        <w:bottom w:val="none" w:sz="0" w:space="0" w:color="auto"/>
        <w:right w:val="none" w:sz="0" w:space="0" w:color="auto"/>
      </w:divBdr>
    </w:div>
    <w:div w:id="1831749693">
      <w:bodyDiv w:val="1"/>
      <w:marLeft w:val="0"/>
      <w:marRight w:val="0"/>
      <w:marTop w:val="0"/>
      <w:marBottom w:val="0"/>
      <w:divBdr>
        <w:top w:val="none" w:sz="0" w:space="0" w:color="auto"/>
        <w:left w:val="none" w:sz="0" w:space="0" w:color="auto"/>
        <w:bottom w:val="none" w:sz="0" w:space="0" w:color="auto"/>
        <w:right w:val="none" w:sz="0" w:space="0" w:color="auto"/>
      </w:divBdr>
    </w:div>
    <w:div w:id="188829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5EE01-F744-F542-83C0-1BD143735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14</Pages>
  <Words>5173</Words>
  <Characters>29491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PICI</Company>
  <LinksUpToDate>false</LinksUpToDate>
  <CharactersWithSpaces>34595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sbucktrout@spiciadmin.onmicrosoft.com</dc:creator>
  <cp:keywords/>
  <dc:description/>
  <cp:lastModifiedBy>Hadeesha</cp:lastModifiedBy>
  <cp:revision>8</cp:revision>
  <cp:lastPrinted>2019-06-03T23:27:00Z</cp:lastPrinted>
  <dcterms:created xsi:type="dcterms:W3CDTF">2019-07-17T22:58:00Z</dcterms:created>
  <dcterms:modified xsi:type="dcterms:W3CDTF">2020-07-27T16:12:00Z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