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Calibri" w:cs="Calibri" w:eastAsia="Calibri" w:hAnsi="Calibri"/>
          <w:b/>
          <w:bCs/>
          <w:color w:val="B8894A"/>
          <w:sz w:val="26"/>
          <w:szCs w:val="26"/>
        </w:rPr>
        <w:t xml:space="preserve">HQHB · SignFlow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F1A2E"/>
          <w:sz w:val="52"/>
          <w:szCs w:val="52"/>
        </w:rPr>
        <w:t xml:space="preserve">Product Requirements Document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color w:val="5A6472"/>
          <w:sz w:val="24"/>
          <w:szCs w:val="24"/>
        </w:rPr>
        <w:t xml:space="preserve">Digital signature &amp; approval workflow platform</w:t>
      </w:r>
    </w:p>
    <w:tbl>
      <w:tblPr>
        <w:tblW w:type="dxa" w:w="9026"/>
        <w:tblBorders>
          <w:top w:val="single" w:color="C9CDD4" w:sz="4"/>
          <w:left w:val="single" w:color="C9CDD4" w:sz="4"/>
          <w:bottom w:val="single" w:color="C9CDD4" w:sz="4"/>
          <w:right w:val="single" w:color="C9CDD4" w:sz="4"/>
          <w:insideH w:val="single" w:color="C9CDD4" w:sz="4"/>
          <w:insideV w:val="single" w:color="C9CDD4" w:sz="4"/>
        </w:tblBorders>
      </w:tblPr>
      <w:tblGrid>
        <w:gridCol w:w="2462"/>
        <w:gridCol w:w="6564"/>
      </w:tblGrid>
      <w:tr>
        <w:trPr>
          <w:tblHeader/>
        </w:trPr>
        <w:tc>
          <w:tcPr>
            <w:tcW w:type="dxa" w:w="2462"/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4"/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Product</w:t>
            </w:r>
          </w:p>
        </w:tc>
        <w:tc>
          <w:tcPr>
            <w:tcW w:type="dxa" w:w="65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HQHB · SignFlow — digital signature &amp; approval workflow platform</w:t>
            </w:r>
          </w:p>
        </w:tc>
      </w:tr>
      <w:tr>
        <w:tc>
          <w:tcPr>
            <w:tcW w:type="dxa" w:w="2462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Live URL</w:t>
            </w:r>
          </w:p>
        </w:tc>
        <w:tc>
          <w:tcPr>
            <w:tcW w:type="dxa" w:w="6564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https://signflow.umooriqtesadiyah.org</w:t>
            </w:r>
          </w:p>
        </w:tc>
      </w:tr>
      <w:tr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5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62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Date</w:t>
            </w:r>
          </w:p>
        </w:tc>
        <w:tc>
          <w:tcPr>
            <w:tcW w:type="dxa" w:w="6564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27 July 2026</w:t>
            </w:r>
          </w:p>
        </w:tc>
      </w:tr>
      <w:tr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Owner</w:t>
            </w:r>
          </w:p>
        </w:tc>
        <w:tc>
          <w:tcPr>
            <w:tcW w:type="dxa" w:w="65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IT, HQHB (it@hqhb.in)</w:t>
            </w:r>
          </w:p>
        </w:tc>
      </w:tr>
      <w:tr>
        <w:tc>
          <w:tcPr>
            <w:tcW w:type="dxa" w:w="2462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564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Current release documented as-built; roadmap items marked Planned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94A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F1A2E"/>
          <w:sz w:val="30"/>
          <w:szCs w:val="30"/>
        </w:rPr>
        <w:t xml:space="preserve">1. Product overview</w:t>
      </w:r>
    </w:p>
    <w:p>
      <w:pPr>
        <w:spacing w:after="120"/>
      </w:pPr>
      <w:r>
        <w:rPr>
          <w:rFonts w:ascii="Calibri" w:cs="Calibri" w:eastAsia="Calibri" w:hAnsi="Calibri"/>
          <w:color w:val="0F1A2E"/>
          <w:sz w:val="22"/>
          <w:szCs w:val="22"/>
        </w:rPr>
        <w:t xml:space="preserve">SignFlow is an internal web platform through which HQHB staff raise documents for approval, route them to the right authority, capture verified digital signatures, and maintain a complete audit trail. It replaces paper circulation and ad-hoc email chains with a single system of record: every request has an owner, a route, a status, timestamps (IST), and a downloadable signed file.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One-line value:  </w:t>
      </w:r>
      <w:r>
        <w:rPr>
          <w:rFonts w:ascii="Calibri" w:cs="Calibri" w:eastAsia="Calibri" w:hAnsi="Calibri"/>
          <w:i/>
          <w:iCs/>
          <w:color w:val="0F1A2E"/>
          <w:sz w:val="22"/>
          <w:szCs w:val="22"/>
        </w:rPr>
        <w:t xml:space="preserve">Request. Review. Approve. Track. All in one place.</w:t>
      </w:r>
    </w:p>
    <w:p>
      <w:pPr>
        <w:pStyle w:val="Heading1"/>
        <w:pBdr>
          <w:bottom w:val="single" w:color="B8894A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F1A2E"/>
          <w:sz w:val="30"/>
          <w:szCs w:val="30"/>
        </w:rPr>
        <w:t xml:space="preserve">2. Problem statement &amp; goals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A2E"/>
          <w:sz w:val="25"/>
          <w:szCs w:val="25"/>
        </w:rPr>
        <w:t xml:space="preserve">Problems addressed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A2E"/>
          <w:sz w:val="22"/>
          <w:szCs w:val="22"/>
        </w:rPr>
        <w:t xml:space="preserve">Physical signatures require chasing people across offices; documents stall with no visibility into where or why.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A2E"/>
          <w:sz w:val="22"/>
          <w:szCs w:val="22"/>
        </w:rPr>
        <w:t xml:space="preserve">Email-based approvals scatter the record — no single place shows what was approved, by whom, and when.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A2E"/>
          <w:sz w:val="22"/>
          <w:szCs w:val="22"/>
        </w:rPr>
        <w:t xml:space="preserve">Multiple identity silos (work email accounts vs. the organisation's oneAccess identity) create duplicate users and inconsistent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A2E"/>
          <w:sz w:val="22"/>
          <w:szCs w:val="22"/>
        </w:rPr>
        <w:t xml:space="preserve">Senior signers (executives) are frequently unavailable; their offices need a controlled way to keep documents moving.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A2E"/>
          <w:sz w:val="25"/>
          <w:szCs w:val="25"/>
        </w:rPr>
        <w:t xml:space="preserve">Goals</w:t>
      </w:r>
    </w:p>
    <w:tbl>
      <w:tblPr>
        <w:tblW w:type="dxa" w:w="9026"/>
        <w:tblBorders>
          <w:top w:val="single" w:color="C9CDD4" w:sz="4"/>
          <w:left w:val="single" w:color="C9CDD4" w:sz="4"/>
          <w:bottom w:val="single" w:color="C9CDD4" w:sz="4"/>
          <w:right w:val="single" w:color="C9CDD4" w:sz="4"/>
          <w:insideH w:val="single" w:color="C9CDD4" w:sz="4"/>
          <w:insideV w:val="single" w:color="C9CDD4" w:sz="4"/>
        </w:tblBorders>
      </w:tblPr>
      <w:tblGrid>
        <w:gridCol w:w="752"/>
        <w:gridCol w:w="3761"/>
        <w:gridCol w:w="4513"/>
      </w:tblGrid>
      <w:tr>
        <w:trPr>
          <w:tblHeader/>
        </w:trPr>
        <w:tc>
          <w:tcPr>
            <w:tcW w:type="dxa" w:w="752"/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761"/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513"/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</w:tr>
      <w:tr>
        <w:tc>
          <w:tcPr>
            <w:tcW w:type="dxa" w:w="7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G1</w:t>
            </w:r>
          </w:p>
        </w:tc>
        <w:tc>
          <w:tcPr>
            <w:tcW w:type="dxa" w:w="37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Every approval is digital, stamped, and traceable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% of approvals through SignFlow; audit completeness</w:t>
            </w:r>
          </w:p>
        </w:tc>
      </w:tr>
      <w:tr>
        <w:tc>
          <w:tcPr>
            <w:tcW w:type="dxa" w:w="752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G2</w:t>
            </w:r>
          </w:p>
        </w:tc>
        <w:tc>
          <w:tcPr>
            <w:tcW w:type="dxa" w:w="3761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Fast turnaround</w:t>
            </w:r>
          </w:p>
        </w:tc>
        <w:tc>
          <w:tcPr>
            <w:tcW w:type="dxa" w:w="4513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Time from request to approval (per-approver delay report)</w:t>
            </w:r>
          </w:p>
        </w:tc>
      </w:tr>
      <w:tr>
        <w:tc>
          <w:tcPr>
            <w:tcW w:type="dxa" w:w="7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G3</w:t>
            </w:r>
          </w:p>
        </w:tc>
        <w:tc>
          <w:tcPr>
            <w:tcW w:type="dxa" w:w="37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One identity per person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Zero duplicate active accounts (ITS reconciliation)</w:t>
            </w:r>
          </w:p>
        </w:tc>
      </w:tr>
      <w:tr>
        <w:tc>
          <w:tcPr>
            <w:tcW w:type="dxa" w:w="752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G4</w:t>
            </w:r>
          </w:p>
        </w:tc>
        <w:tc>
          <w:tcPr>
            <w:tcW w:type="dxa" w:w="3761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Approvals never stall on availability</w:t>
            </w:r>
          </w:p>
        </w:tc>
        <w:tc>
          <w:tcPr>
            <w:tcW w:type="dxa" w:w="4513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Email one-tap approve; EA delegation; reminders</w:t>
            </w:r>
          </w:p>
        </w:tc>
      </w:tr>
      <w:tr>
        <w:tc>
          <w:tcPr>
            <w:tcW w:type="dxa" w:w="7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G5</w:t>
            </w:r>
          </w:p>
        </w:tc>
        <w:tc>
          <w:tcPr>
            <w:tcW w:type="dxa" w:w="37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Zero credential/biometric liability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No biometric data stored; user-owned secrets redacted from admin surfaces</w:t>
            </w:r>
          </w:p>
        </w:tc>
      </w:tr>
    </w:tbl>
    <w:p>
      <w:pPr>
        <w:pStyle w:val="Heading1"/>
        <w:pBdr>
          <w:bottom w:val="single" w:color="B8894A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F1A2E"/>
          <w:sz w:val="30"/>
          <w:szCs w:val="30"/>
        </w:rPr>
        <w:t xml:space="preserve">3. Users &amp; roles</w:t>
      </w:r>
    </w:p>
    <w:tbl>
      <w:tblPr>
        <w:tblW w:type="dxa" w:w="9026"/>
        <w:tblBorders>
          <w:top w:val="single" w:color="C9CDD4" w:sz="4"/>
          <w:left w:val="single" w:color="C9CDD4" w:sz="4"/>
          <w:bottom w:val="single" w:color="C9CDD4" w:sz="4"/>
          <w:right w:val="single" w:color="C9CDD4" w:sz="4"/>
          <w:insideH w:val="single" w:color="C9CDD4" w:sz="4"/>
          <w:insideV w:val="single" w:color="C9CDD4" w:sz="4"/>
        </w:tblBorders>
      </w:tblPr>
      <w:tblGrid>
        <w:gridCol w:w="2083"/>
        <w:gridCol w:w="2083"/>
        <w:gridCol w:w="4860"/>
      </w:tblGrid>
      <w:tr>
        <w:trPr>
          <w:tblHeader/>
        </w:trPr>
        <w:tc>
          <w:tcPr>
            <w:tcW w:type="dxa" w:w="2083"/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83"/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860"/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abilities</w:t>
            </w:r>
          </w:p>
        </w:tc>
      </w:tr>
      <w:tr>
        <w:tc>
          <w:tcPr>
            <w:tcW w:type="dxa" w:w="20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Requestor</w:t>
            </w:r>
          </w:p>
        </w:tc>
        <w:tc>
          <w:tcPr>
            <w:tcW w:type="dxa" w:w="20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Staff member who raises documents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Create requests (5 types), place signature/date boxes, track status, withdraw pending requests, view signed output</w:t>
            </w:r>
          </w:p>
        </w:tc>
      </w:tr>
      <w:tr>
        <w:tc>
          <w:tcPr>
            <w:tcW w:type="dxa" w:w="2083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Approver</w:t>
            </w:r>
          </w:p>
        </w:tc>
        <w:tc>
          <w:tcPr>
            <w:tcW w:type="dxa" w:w="2083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Team authority who signs</w:t>
            </w:r>
          </w:p>
        </w:tc>
        <w:tc>
          <w:tcPr>
            <w:tcW w:type="dxa" w:w="486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Review queue, approve/reject with reason, batch approve, sign multiple boxes, 1-hour undo window, act from email</w:t>
            </w:r>
          </w:p>
        </w:tc>
      </w:tr>
      <w:tr>
        <w:tc>
          <w:tcPr>
            <w:tcW w:type="dxa" w:w="20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Executive</w:t>
            </w:r>
          </w:p>
        </w:tc>
        <w:tc>
          <w:tcPr>
            <w:tcW w:type="dxa" w:w="20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Senior signer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Everything an Approver does, plus owns delegation settings and can appoint Executive Assistants</w:t>
            </w:r>
          </w:p>
        </w:tc>
      </w:tr>
      <w:tr>
        <w:tc>
          <w:tcPr>
            <w:tcW w:type="dxa" w:w="2083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Executive Assistant (EA)</w:t>
            </w:r>
          </w:p>
        </w:tc>
        <w:tc>
          <w:tcPr>
            <w:tcW w:type="dxa" w:w="2083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Supports one or more executives</w:t>
            </w:r>
          </w:p>
        </w:tc>
        <w:tc>
          <w:tcPr>
            <w:tcW w:type="dxa" w:w="486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Always: view each mapped executive's pending documents. When permitted per-link: approve/sign on the executive's behalf (stamping the executive's or their own signature, per that executive's setting)</w:t>
            </w:r>
          </w:p>
        </w:tc>
      </w:tr>
      <w:tr>
        <w:tc>
          <w:tcPr>
            <w:tcW w:type="dxa" w:w="20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IT Admin</w:t>
            </w:r>
          </w:p>
        </w:tc>
        <w:tc>
          <w:tcPr>
            <w:tcW w:type="dxa" w:w="20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System owner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Full console: users, teams &amp; signing authority, documents, reports, email log, account reconciliation, role changes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0F1A2E"/>
          <w:sz w:val="22"/>
          <w:szCs w:val="22"/>
        </w:rPr>
        <w:t xml:space="preserve">Identity note: a person has exactly one active account. oneAccess (the organisation's SSO) is the standard door for users; email+password is the admin door. Duplicate accounts are merged by ITS id (see §4.2).</w:t>
      </w:r>
    </w:p>
    <w:p>
      <w:pPr>
        <w:pStyle w:val="Heading1"/>
        <w:pBdr>
          <w:bottom w:val="single" w:color="B8894A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F1A2E"/>
          <w:sz w:val="30"/>
          <w:szCs w:val="30"/>
        </w:rPr>
        <w:t xml:space="preserve">4. Functional requirements (as built)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A2E"/>
          <w:sz w:val="25"/>
          <w:szCs w:val="25"/>
        </w:rPr>
        <w:t xml:space="preserve">4.1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FR-A1 · oneAccess SSO (primary)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Login page offers only “Sign in with oneAccess” to regular users. Redirect flow against the production oneAccess; tokens verified locally (RS256 public key), profile mirrored into the local user store. New SSO users are created as Requestors.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FR-A2 · oneAccess never grants admin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An SSO login resolving to an admin account is refused; admin access is email+password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FR-A3 · Admin door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“Click here to login as an Admin” (also /superadmin) reveals the email+password form. Any password-holding account may use it; admins can only use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FR-A4 · Biometric sign-in (WebAuthn/passkeys)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Optional per-device add-on: the user enables Face ID / Windows Hello / Touch ID from the profile menu, after which a “Sign in with Face / fingerprint” button signs them in without a password. The device performs the biometric check; the server stores only a public key + counter — never biometric data. Unregistered attempts receive “Please register on oneAccess to sign in!” and are redirected to oneAccess. Credentials are domain- and device-bound. A proactive prompt invites enrolment.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FR-A5 · Self-service password reset (email OTP)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“Forgot password?” emails a 6-digit one-time code (crypto-random, hashed, single-use, 10-minute expiry, 5-attempt cap, 45-second resend cooldown, anti-enumeration). The user sets a new password themselves; IT is not in the loop — the code is redacted from the admin email log and the chosen password is not admin-visible.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FR-A6 · Work-email capture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A brand-new oneAccess user is prompted once (blocking screen) for their work email, which becomes the account's primary address for all notifications; the SSO email is retained as a secondary for login matching. Collisions with an existing account are refused with guidance to contact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FR-A7 · Session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JWT bearer tokens (30-day), bcrypt password hashes; deactivated accounts cannot sign in via any method.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A2E"/>
          <w:sz w:val="25"/>
          <w:szCs w:val="25"/>
        </w:rPr>
        <w:t xml:space="preserve">4.2 Identity reconciliation (one person, one account)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FR-I1 · ITS as the person key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Admin records each user's ITS id inline on the Users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FR-I2 · Merge on collision (review-and-confirm)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When two active accounts share an ITS, a merge review opens: the @hqhb.in account is the keeper (admin chooses if ambiguous). On confirm, the duplicate's requests, approvals, signing steps, signing authority and signature migrate to the keeper; the keeper inherits the ITS and the duplicate's address as secondary email; the duplicate is deactivated (reversible), never hard-deleted; an audit row records the merge. “Accounts review” lists oneAccess sign-ins with their document footprint plus name-match duplicate candidates and same-ITS merge candidates.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FR-I3 · Post-merge routing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A future oneAccess login resolves by ITS to the surviving account; deactivated accounts vanish from signer/approver pickers.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A2E"/>
          <w:sz w:val="25"/>
          <w:szCs w:val="25"/>
        </w:rPr>
        <w:t xml:space="preserve">4.3 Requests &amp;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FR-R1 · Request types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Leave Approval, Document Approval, Expense Approval, Invoice/PO, Other — chosen up front, used for sorting/filtering.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FR-R2 · Files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PDF and Excel (.xlsx) up to 14 MB. PDFs support lossless 90° rotation (native page rotation; scanned documents do not degrade).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FR-R3 · Placement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Requestor places signature boxes per signer — multiple boxes per signer supported — plus optional date fields that fill with the actual signing date. Placement panel sits beside the document on desktop; responsive on mobile. Requestors may also self-sign/date before sending.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FR-R4 · Routing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Either to a team (any approver holding that team's signing authority may act) or direct person-to-person, including multi-step workflows (step 2 activates when step 1 completes; per-step, per-signer status).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FR-R5 · Lifecycle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pending → approved_pending (1-hour undo window for the approver) → approved (finalized, signed file generated) | rejected (with reason) | withdrawn (by requestor while pending). Admin can force-finalize. Completion shows IST date + time (hour:minute).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FR-R6 · Signing output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Signature images are stamped rotation-aware into the exact placed boxes; the signed PDF is downloadable/printable by the requestor, signers, and admin.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FR-R7 · Reminders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Requestor may nudge pending approvers; 24-hour cooldown per request; automatic reminder scheduling server-side.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FR-R8 · Batch approve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An approver can approve multiple same-type requests in one action.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A2E"/>
          <w:sz w:val="25"/>
          <w:szCs w:val="25"/>
        </w:rPr>
        <w:t xml:space="preserve">4.4 Approve from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FR-E1 · One-tap approve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The new-request email carries an Approve button with a signed single-purpose token (request + approver, 7-day expiry). It opens a lightweight confirm screen — the token is the authentication, so no login is needed; a deliberate confirm tap prevents mail-scanner prefetch from approving documents. The signing path is identical to in-app approval.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FR-E2 · Deliverability gate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The Approve button is only included once the sending domain is authenticated (SPF/DKIM), so the button never ships from an unauthenticated sender.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A2E"/>
          <w:sz w:val="25"/>
          <w:szCs w:val="25"/>
        </w:rPr>
        <w:t xml:space="preserve">4.5 Executive Assistant (delegation)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FR-EA1 · Mapping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Admin (or the executive) links assistants to executives; one EA may support many executives. Each link carries that executive's own settings: can_approve on/off and signature_source (executive's signature vs. assistant's own).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FR-EA2 · EA dashboard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The EA sees each mapped executive's pending documents, with an account switcher; the EA also has a personal dashboard on their own 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FR-EA3 · Approve-on-behalf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Permitted EAs approve/sign the executive's documents; the stamped signature follows signature_source. Signature management for the executive is gated by can_approve (a view-only EA cannot replace a signature image).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FR-EA4 · Visibility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Rights are visible at a glance in admin UI, with a grant-all shortcut; honorific greetings supported.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A2E"/>
          <w:sz w:val="25"/>
          <w:szCs w:val="25"/>
        </w:rPr>
        <w:t xml:space="preserve">4.6 Notifications (email)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FR-N1 · Events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New request (to approvers/signers), approved, rejected, reminder, welcome/invite, password reset OTP — branded HTML templates with the shared greeting (“Afzalus Salaam,”), deep links straight to the document, and personalized subjects.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FR-N2 · Delivery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SendGrid, from it@hqhb.in; send-once semantics; every send logged.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FR-N3 · Email log (admin)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Full log of sends with delivery status; passwords and reset codes are redacted from logged bodies.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A2E"/>
          <w:sz w:val="25"/>
          <w:szCs w:val="25"/>
        </w:rPr>
        <w:t xml:space="preserve">4.7 Administration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FR-AD1 · Users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Create individually or bulk (CSV/Excel); invite emails with generated credentials; password reset (admin-set or generated); plaintext-visible current password per user (deliberate internal-tool choice); inline edit of email, ITS id, and role; team assignment; deactivate/reactivate (via merge); delete with FK-safe unlinking.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FR-AD2 · Teams &amp; signing authority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Teams double as departments; approvers hold signing authority per team; oneAccess departments auto-map to teams.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FR-AD3 · Signatures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Bulk upload signature images matched by email; per-user upload; users draw/upload their own (required before signing).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FR-AD4 · Documents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All-documents view with team and status filters, download/print.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FR-AD5 · Registrations &amp; password-reset queues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Legacy IT-approval queues retained (self-registration UI removed; OTP reset replaced admin approval — both queues are dormant).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FR-AD6 · Accounts review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oneAccess sign-in inventory with document footprint; duplicate detection (name-token match); merge candidates by ITS.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A2E"/>
          <w:sz w:val="25"/>
          <w:szCs w:val="25"/>
        </w:rPr>
        <w:t xml:space="preserve">4.8 Reports (admin, date-ranged, CSV)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FR-RP1 · By approver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Pick an approver → every document they approved (direct approvals + workflow signatures), submitted/approved IST timestamps, time-taken per document, average.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FR-RP2 · By department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Pick an approving team → all requests routed to it, with status and completion summary (incl. withdrawn).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FR-RP3 · Approval delays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Per approver: count, average / fastest / slowest time from request to approval, ranked with slowest/fastest flagged.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FR-RP4 · By requestor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Per person: submitted totals (approved / pending / rejected) with department.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FR-RP5 · Controls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Shared From/To date range (IST); one-click CSV download per report; full-log CSV export retained.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A2E"/>
          <w:sz w:val="25"/>
          <w:szCs w:val="25"/>
        </w:rPr>
        <w:t xml:space="preserve">4.9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FR-P1 · PWA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Installable (Add to Home Screen), custom SignFlow icons, silent auto-update on new deploys with an in-app update banner.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FR-P2 · Responsive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Desktop-first admin; fully usable phone layouts for request, sign, and review flows.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FR-P3 · Timezone ·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All user-facing timestamps rendered in IST regardless of device timezone.</w:t>
      </w:r>
    </w:p>
    <w:p>
      <w:pPr>
        <w:pStyle w:val="Heading1"/>
        <w:pBdr>
          <w:bottom w:val="single" w:color="B8894A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F1A2E"/>
          <w:sz w:val="30"/>
          <w:szCs w:val="30"/>
        </w:rPr>
        <w:t xml:space="preserve">5. Non-functional requirements</w:t>
      </w:r>
    </w:p>
    <w:tbl>
      <w:tblPr>
        <w:tblW w:type="dxa" w:w="9026"/>
        <w:tblBorders>
          <w:top w:val="single" w:color="C9CDD4" w:sz="4"/>
          <w:left w:val="single" w:color="C9CDD4" w:sz="4"/>
          <w:bottom w:val="single" w:color="C9CDD4" w:sz="4"/>
          <w:right w:val="single" w:color="C9CDD4" w:sz="4"/>
          <w:insideH w:val="single" w:color="C9CDD4" w:sz="4"/>
          <w:insideV w:val="single" w:color="C9CDD4" w:sz="4"/>
        </w:tblBorders>
      </w:tblPr>
      <w:tblGrid>
        <w:gridCol w:w="2257"/>
        <w:gridCol w:w="6770"/>
      </w:tblGrid>
      <w:tr>
        <w:trPr>
          <w:tblHeader/>
        </w:trPr>
        <w:tc>
          <w:tcPr>
            <w:tcW w:type="dxa" w:w="2257"/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770"/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JWT (30-day) bearer auth; bcrypt hashing; oneAccess tokens verified locally against cached RS256 public key (alg-confusion rejected); role-gated APIs; single-use signed action tokens for email approve; OTP hashed + attempt-capped; deactivated accounts blocked on every path</w:t>
            </w:r>
          </w:p>
        </w:tc>
      </w:tr>
      <w:tr>
        <w:tc>
          <w:tcPr>
            <w:tcW w:type="dxa" w:w="2257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Privacy</w:t>
            </w:r>
          </w:p>
        </w:tc>
        <w:tc>
          <w:tcPr>
            <w:tcW w:type="dxa" w:w="677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No biometric data stored (WebAuthn public keys only — DPDP-safe); reset codes and passwords redacted from the email log; user-chosen (OTP) passwords not admin-visible; anti-enumeration on public email endpoints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Intentional trade-off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Admin-visible plaintext of admin-set/temp passwords on the Users page is a deliberate internal-tool decision by the owner (documented; not a defect). The self-service OTP path is the deliberate exception</w:t>
            </w:r>
          </w:p>
        </w:tc>
      </w:tr>
      <w:tr>
        <w:tc>
          <w:tcPr>
            <w:tcW w:type="dxa" w:w="2257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77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Idempotent boot migrations (safe re-runs); reversible merges with audit; transactional multi-step operations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Client-side report computation from already-loaded admin data; focus/visibility-based refresh instead of constant polling</w:t>
            </w:r>
          </w:p>
        </w:tc>
      </w:tr>
      <w:tr>
        <w:tc>
          <w:tcPr>
            <w:tcW w:type="dxa" w:w="2257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677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Evergreen browsers; WebAuthn features degrade gracefully (button hidden where unsupported/unenrolled)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Request lifecycle timestamps; user_merges audit table; email log; per-signer signed-at records</w:t>
            </w:r>
          </w:p>
        </w:tc>
      </w:tr>
    </w:tbl>
    <w:p>
      <w:pPr>
        <w:pStyle w:val="Heading1"/>
        <w:pBdr>
          <w:bottom w:val="single" w:color="B8894A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F1A2E"/>
          <w:sz w:val="30"/>
          <w:szCs w:val="30"/>
        </w:rPr>
        <w:t xml:space="preserve">6. Architecture &amp; deployment (summary)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Client: 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React 18 + Vite + Tailwind, PWA. PDF render via pdf.js; sheets via SheetJS.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Server: 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Node.js (ESM) + Express; MySQL (mysql2); pdf-lib for stamping (rotation-aware, lossless); SendGrid mail; @simplewebauthn for passkeys; JWT sessions.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Identity: 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oneAccess (production) redirect SSO; local users table is the system of record with auth_provider, its_id, secondary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Hosting: 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AWS EC2 behind nginx, pm2 process manager. SPA fallback serves the client; /api/* routes to Express.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CI/CD: 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Push to the UAT branch → GitHub Actions build &amp; deploy to production. DB migrations run automatically at boot (idempotent ALTER/CREATE).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Config: 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All secrets via environment/GitHub secrets (SendGrid key, JWT secret, oneAccess endpoints); nothing hardcoded.</w:t>
      </w:r>
    </w:p>
    <w:p>
      <w:pPr>
        <w:pStyle w:val="Heading1"/>
        <w:pBdr>
          <w:bottom w:val="single" w:color="B8894A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F1A2E"/>
          <w:sz w:val="30"/>
          <w:szCs w:val="30"/>
        </w:rPr>
        <w:t xml:space="preserve">7. Out of scope (current release)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A2E"/>
          <w:sz w:val="22"/>
          <w:szCs w:val="22"/>
        </w:rPr>
        <w:t xml:space="preserve">Legally-binding e-sign (Aadhaar eSign / DSC) — signatures are organisational stamps, not statutory signatures.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A2E"/>
          <w:sz w:val="22"/>
          <w:szCs w:val="22"/>
        </w:rPr>
        <w:t xml:space="preserve">WhatsApp/SMS notification channel.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A2E"/>
          <w:sz w:val="22"/>
          <w:szCs w:val="22"/>
        </w:rPr>
        <w:t xml:space="preserve">In-app notification centre.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A2E"/>
          <w:sz w:val="22"/>
          <w:szCs w:val="22"/>
        </w:rPr>
        <w:t xml:space="preserve">Per-document immutable audit certificate page / QR verification.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A2E"/>
          <w:sz w:val="22"/>
          <w:szCs w:val="22"/>
        </w:rPr>
        <w:t xml:space="preserve">Delegation by time-window (out-of-office auto-handover) and SLA auto-escalation.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A2E"/>
          <w:sz w:val="22"/>
          <w:szCs w:val="22"/>
        </w:rPr>
        <w:t xml:space="preserve">Reusable request templates, drafts, clone.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A2E"/>
          <w:sz w:val="22"/>
          <w:szCs w:val="22"/>
        </w:rPr>
        <w:t xml:space="preserve">Admin 2FA (TOTP) on the password door; login rate-limiting.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A2E"/>
          <w:sz w:val="22"/>
          <w:szCs w:val="22"/>
        </w:rPr>
        <w:t xml:space="preserve">Full-text search across documents.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A2E"/>
          <w:sz w:val="22"/>
          <w:szCs w:val="22"/>
        </w:rPr>
        <w:t xml:space="preserve">Settings page (runtime config without redeploy).</w:t>
      </w:r>
    </w:p>
    <w:p>
      <w:pPr>
        <w:pStyle w:val="Heading1"/>
        <w:pBdr>
          <w:bottom w:val="single" w:color="B8894A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F1A2E"/>
          <w:sz w:val="30"/>
          <w:szCs w:val="30"/>
        </w:rPr>
        <w:t xml:space="preserve">8. Roadmap (proposed order)</w:t>
      </w:r>
    </w:p>
    <w:tbl>
      <w:tblPr>
        <w:tblW w:type="dxa" w:w="9026"/>
        <w:tblBorders>
          <w:top w:val="single" w:color="C9CDD4" w:sz="4"/>
          <w:left w:val="single" w:color="C9CDD4" w:sz="4"/>
          <w:bottom w:val="single" w:color="C9CDD4" w:sz="4"/>
          <w:right w:val="single" w:color="C9CDD4" w:sz="4"/>
          <w:insideH w:val="single" w:color="C9CDD4" w:sz="4"/>
          <w:insideV w:val="single" w:color="C9CDD4" w:sz="4"/>
        </w:tblBorders>
      </w:tblPr>
      <w:tblGrid>
        <w:gridCol w:w="1389"/>
        <w:gridCol w:w="4166"/>
        <w:gridCol w:w="3472"/>
      </w:tblGrid>
      <w:tr>
        <w:trPr>
          <w:tblHeader/>
        </w:trPr>
        <w:tc>
          <w:tcPr>
            <w:tcW w:type="dxa" w:w="1389"/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166"/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472"/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3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Next</w:t>
            </w:r>
          </w:p>
        </w:tc>
        <w:tc>
          <w:tcPr>
            <w:tcW w:type="dxa" w:w="4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Audit trail + completion certificate (+ QR verify page)</w:t>
            </w:r>
          </w:p>
        </w:tc>
        <w:tc>
          <w:tcPr>
            <w:tcW w:type="dxa" w:w="34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Highest-trust upgrade for a signing system of record</w:t>
            </w:r>
          </w:p>
        </w:tc>
      </w:tr>
      <w:tr>
        <w:tc>
          <w:tcPr>
            <w:tcW w:type="dxa" w:w="1389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Next</w:t>
            </w:r>
          </w:p>
        </w:tc>
        <w:tc>
          <w:tcPr>
            <w:tcW w:type="dxa" w:w="4166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Delegation windows + auto-escalation on delay</w:t>
            </w:r>
          </w:p>
        </w:tc>
        <w:tc>
          <w:tcPr>
            <w:tcW w:type="dxa" w:w="3472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Keeps documents moving; complements EA</w:t>
            </w:r>
          </w:p>
        </w:tc>
      </w:tr>
      <w:tr>
        <w:tc>
          <w:tcPr>
            <w:tcW w:type="dxa" w:w="13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Then</w:t>
            </w:r>
          </w:p>
        </w:tc>
        <w:tc>
          <w:tcPr>
            <w:tcW w:type="dxa" w:w="4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In-app notification centre; WhatsApp alerts</w:t>
            </w:r>
          </w:p>
        </w:tc>
        <w:tc>
          <w:tcPr>
            <w:tcW w:type="dxa" w:w="34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Faster action than email alone</w:t>
            </w:r>
          </w:p>
        </w:tc>
      </w:tr>
      <w:tr>
        <w:tc>
          <w:tcPr>
            <w:tcW w:type="dxa" w:w="1389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Then</w:t>
            </w:r>
          </w:p>
        </w:tc>
        <w:tc>
          <w:tcPr>
            <w:tcW w:type="dxa" w:w="4166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Settings page; analytics dashboard on the report layer</w:t>
            </w:r>
          </w:p>
        </w:tc>
        <w:tc>
          <w:tcPr>
            <w:tcW w:type="dxa" w:w="3472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Admin agility &amp; insight</w:t>
            </w:r>
          </w:p>
        </w:tc>
      </w:tr>
      <w:tr>
        <w:tc>
          <w:tcPr>
            <w:tcW w:type="dxa" w:w="13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Later</w:t>
            </w:r>
          </w:p>
        </w:tc>
        <w:tc>
          <w:tcPr>
            <w:tcW w:type="dxa" w:w="4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Admin TOTP 2FA + rate limiting; full-text search; templates/drafts; Aadhaar eSign evaluation</w:t>
            </w:r>
          </w:p>
        </w:tc>
        <w:tc>
          <w:tcPr>
            <w:tcW w:type="dxa" w:w="34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Hardening &amp; scale</w:t>
            </w:r>
          </w:p>
        </w:tc>
      </w:tr>
    </w:tbl>
    <w:p>
      <w:pPr>
        <w:pStyle w:val="Heading1"/>
        <w:pBdr>
          <w:bottom w:val="single" w:color="B8894A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F1A2E"/>
          <w:sz w:val="30"/>
          <w:szCs w:val="30"/>
        </w:rPr>
        <w:t xml:space="preserve">9. Success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Adoption: 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% of organisational approvals executed in SignFlow.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Turnaround: 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median request→approval time (target: same business day); tracked via the Approval-delays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Identity hygiene: 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zero active duplicate accounts; 100% of active users reachable at a confirmed work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Deliverability: 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notification emails landing in inbox (SPF/DKIM/DMARC authenticated), measured by the email log delivery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1A2E"/>
          <w:sz w:val="22"/>
          <w:szCs w:val="22"/>
        </w:rPr>
        <w:t xml:space="preserve">Self-service:  </w:t>
      </w:r>
      <w:r>
        <w:rPr>
          <w:rFonts w:ascii="Calibri" w:cs="Calibri" w:eastAsia="Calibri" w:hAnsi="Calibri"/>
          <w:color w:val="0F1A2E"/>
          <w:sz w:val="22"/>
          <w:szCs w:val="22"/>
        </w:rPr>
        <w:t xml:space="preserve">password resets completed without IT involvement.</w:t>
      </w:r>
    </w:p>
    <w:p>
      <w:pPr>
        <w:pStyle w:val="Heading1"/>
        <w:pBdr>
          <w:bottom w:val="single" w:color="B8894A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F1A2E"/>
          <w:sz w:val="30"/>
          <w:szCs w:val="30"/>
        </w:rPr>
        <w:t xml:space="preserve">10. Risks &amp; open items</w:t>
      </w:r>
    </w:p>
    <w:tbl>
      <w:tblPr>
        <w:tblW w:type="dxa" w:w="9026"/>
        <w:tblBorders>
          <w:top w:val="single" w:color="C9CDD4" w:sz="4"/>
          <w:left w:val="single" w:color="C9CDD4" w:sz="4"/>
          <w:bottom w:val="single" w:color="C9CDD4" w:sz="4"/>
          <w:right w:val="single" w:color="C9CDD4" w:sz="4"/>
          <w:insideH w:val="single" w:color="C9CDD4" w:sz="4"/>
          <w:insideV w:val="single" w:color="C9CDD4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 / item</w:t>
            </w:r>
          </w:p>
        </w:tc>
        <w:tc>
          <w:tcPr>
            <w:tcW w:type="dxa" w:w="4513"/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 / owner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DNS authentication (SPF/DKIM/DMARC) for hqhb.in pending completion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Owner to apply DNS records; email Approve button stays withheld until authenticated</w:t>
            </w:r>
          </w:p>
        </w:tc>
      </w:tr>
      <w:tr>
        <w:tc>
          <w:tcPr>
            <w:tcW w:type="dxa" w:w="4513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oneAccess outage would block regular sign-in</w:t>
            </w:r>
          </w:p>
        </w:tc>
        <w:tc>
          <w:tcPr>
            <w:tcW w:type="dxa" w:w="4513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Password door + biometric remain as fallbacks; local login deliberately still enabled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Admin password is a single factor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Roadmap: TOTP 2FA + rate limiting on /superadmin</w:t>
            </w:r>
          </w:p>
        </w:tc>
      </w:tr>
      <w:tr>
        <w:tc>
          <w:tcPr>
            <w:tcW w:type="dxa" w:w="4513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Existing oneAccess users predate work-email capture</w:t>
            </w:r>
          </w:p>
        </w:tc>
        <w:tc>
          <w:tcPr>
            <w:tcW w:type="dxa" w:w="4513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Admin can correct emails inline on the Users page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Prod duplicate merges pending owner's email↔ITS list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A2E"/>
                <w:sz w:val="20"/>
                <w:szCs w:val="20"/>
              </w:rPr>
              <w:t xml:space="preserve">Merge tooling live; owner to execute via Accounts review</w:t>
            </w:r>
          </w:p>
        </w:tc>
      </w:tr>
    </w:tbl>
    <w:p>
      <w:pPr>
        <w:spacing w:after="120"/>
      </w:pPr>
    </w:p>
    <w:p>
      <w:pPr>
        <w:spacing w:before="240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Prepared from the production codebase as of commit ccb369d (27 July 2026).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2026-07-28T01:26:30.391Z</dcterms:created>
  <dcterms:modified xsi:type="dcterms:W3CDTF">2026-07-28T01:26:30.393Z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