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i/>
          <w:iCs/>
        </w:rPr>
        <w:t xml:space="preserve">DRAFT Statuut van het HR Healthcare Datalab DRAFT</w:t>
      </w:r>
    </w:p>
    <w:p>
      <w:pPr>
        <w:pStyle w:val="BodyText"/>
      </w:pPr>
      <w:hyperlink r:id="rId9">
        <w:hyperlink r:id="rId9">
          <w:r>
            <w:rPr>
              <w:rStyle w:val="Hyperlink"/>
              <w:b/>
              <w:bCs/>
            </w:rPr>
            <w:t xml:space="preserve">https://g.co/gemini/share/adff376732ed</w:t>
          </w:r>
        </w:hyperlink>
      </w:hyperlink>
    </w:p>
    <w:bookmarkStart w:id="10" w:name="inhoudsopgave"/>
    <w:p>
      <w:pPr>
        <w:pStyle w:val="Heading2"/>
      </w:pPr>
      <w:r>
        <w:t xml:space="preserve">Inhoudsopgave</w:t>
      </w:r>
    </w:p>
    <w:p>
      <w:pPr>
        <w:pStyle w:val="Compact"/>
        <w:numPr>
          <w:ilvl w:val="0"/>
          <w:numId w:val="1001"/>
        </w:numPr>
      </w:pPr>
      <w:hyperlink w:anchor="sec-1-introductie">
        <w:r>
          <w:rPr>
            <w:rStyle w:val="Hyperlink"/>
          </w:rPr>
          <w:t xml:space="preserve">1. Introductie</w:t>
        </w:r>
      </w:hyperlink>
    </w:p>
    <w:p>
      <w:pPr>
        <w:pStyle w:val="Compact"/>
        <w:numPr>
          <w:ilvl w:val="0"/>
          <w:numId w:val="1001"/>
        </w:numPr>
      </w:pPr>
      <w:hyperlink w:anchor="sec-2-structuur">
        <w:r>
          <w:rPr>
            <w:rStyle w:val="Hyperlink"/>
          </w:rPr>
          <w:t xml:space="preserve">2. Structuur van een Datalab Statuut</w:t>
        </w:r>
      </w:hyperlink>
    </w:p>
    <w:p>
      <w:pPr>
        <w:pStyle w:val="Compact"/>
        <w:numPr>
          <w:ilvl w:val="1"/>
          <w:numId w:val="1002"/>
        </w:numPr>
      </w:pPr>
      <w:hyperlink w:anchor="sec-2-1-voorbeelden">
        <w:r>
          <w:rPr>
            <w:rStyle w:val="Hyperlink"/>
          </w:rPr>
          <w:t xml:space="preserve">2.1. Algemene voorbeelden van statuten van onderzoekscentra</w:t>
        </w:r>
      </w:hyperlink>
    </w:p>
    <w:p>
      <w:pPr>
        <w:pStyle w:val="Compact"/>
        <w:numPr>
          <w:ilvl w:val="1"/>
          <w:numId w:val="1002"/>
        </w:numPr>
      </w:pPr>
      <w:hyperlink w:anchor="sec-2-2-fundamentele-structuur">
        <w:r>
          <w:rPr>
            <w:rStyle w:val="Hyperlink"/>
          </w:rPr>
          <w:t xml:space="preserve">2.2. Fundamentele structuur geschikt voor dit datalab</w:t>
        </w:r>
      </w:hyperlink>
    </w:p>
    <w:p>
      <w:pPr>
        <w:pStyle w:val="Compact"/>
        <w:numPr>
          <w:ilvl w:val="0"/>
          <w:numId w:val="1001"/>
        </w:numPr>
      </w:pPr>
      <w:hyperlink w:anchor="sec-3-ethisch-kader">
        <w:r>
          <w:rPr>
            <w:rStyle w:val="Hyperlink"/>
          </w:rPr>
          <w:t xml:space="preserve">3. Ethisch Kader voor Datahantering</w:t>
        </w:r>
      </w:hyperlink>
    </w:p>
    <w:p>
      <w:pPr>
        <w:pStyle w:val="Compact"/>
        <w:numPr>
          <w:ilvl w:val="1"/>
          <w:numId w:val="1003"/>
        </w:numPr>
      </w:pPr>
      <w:hyperlink w:anchor="sec-3-1-ethische-overwegingen">
        <w:r>
          <w:rPr>
            <w:rStyle w:val="Hyperlink"/>
          </w:rPr>
          <w:t xml:space="preserve">3.1. Belangrijke ethische overwegingen bij het werken met HR- en gezondheidsgegevens</w:t>
        </w:r>
      </w:hyperlink>
    </w:p>
    <w:p>
      <w:pPr>
        <w:pStyle w:val="Compact"/>
        <w:numPr>
          <w:ilvl w:val="1"/>
          <w:numId w:val="1003"/>
        </w:numPr>
      </w:pPr>
      <w:hyperlink w:anchor="sec-3-2-avg-gdpr">
        <w:r>
          <w:rPr>
            <w:rStyle w:val="Hyperlink"/>
          </w:rPr>
          <w:t xml:space="preserve">3.2. Nadruk op dataprivacy, beveiliging en naleving van AVG/GDPR in Nederland</w:t>
        </w:r>
      </w:hyperlink>
    </w:p>
    <w:p>
      <w:pPr>
        <w:pStyle w:val="Compact"/>
        <w:numPr>
          <w:ilvl w:val="0"/>
          <w:numId w:val="1001"/>
        </w:numPr>
      </w:pPr>
      <w:hyperlink w:anchor="sec-4-samenwerking">
        <w:r>
          <w:rPr>
            <w:rStyle w:val="Hyperlink"/>
          </w:rPr>
          <w:t xml:space="preserve">4. Bevordering van Multidisciplinaire Samenwerking</w:t>
        </w:r>
      </w:hyperlink>
    </w:p>
    <w:p>
      <w:pPr>
        <w:pStyle w:val="Compact"/>
        <w:numPr>
          <w:ilvl w:val="1"/>
          <w:numId w:val="1004"/>
        </w:numPr>
      </w:pPr>
      <w:hyperlink w:anchor="sec-4-1-best-practices">
        <w:r>
          <w:rPr>
            <w:rStyle w:val="Hyperlink"/>
          </w:rPr>
          <w:t xml:space="preserve">4.1. Best practices voor effectieve samenwerking en kennisuitwisseling</w:t>
        </w:r>
      </w:hyperlink>
    </w:p>
    <w:p>
      <w:pPr>
        <w:pStyle w:val="Compact"/>
        <w:numPr>
          <w:ilvl w:val="1"/>
          <w:numId w:val="1004"/>
        </w:numPr>
      </w:pPr>
      <w:hyperlink w:anchor="sec-4-2-diverse-expertise">
        <w:r>
          <w:rPr>
            <w:rStyle w:val="Hyperlink"/>
          </w:rPr>
          <w:t xml:space="preserve">4.2. Rekening houdend met de diverse expertise uit HR- en gezondheidszorgdomeinen</w:t>
        </w:r>
      </w:hyperlink>
    </w:p>
    <w:p>
      <w:pPr>
        <w:pStyle w:val="Compact"/>
        <w:numPr>
          <w:ilvl w:val="0"/>
          <w:numId w:val="1001"/>
        </w:numPr>
      </w:pPr>
      <w:hyperlink w:anchor="sec-5-ds-stack">
        <w:r>
          <w:rPr>
            <w:rStyle w:val="Hyperlink"/>
          </w:rPr>
          <w:t xml:space="preserve">5. De Data Science Stack in HR en Gezondheidszorg</w:t>
        </w:r>
      </w:hyperlink>
    </w:p>
    <w:p>
      <w:pPr>
        <w:pStyle w:val="Compact"/>
        <w:numPr>
          <w:ilvl w:val="1"/>
          <w:numId w:val="1005"/>
        </w:numPr>
      </w:pPr>
      <w:hyperlink w:anchor="sec-5-1-concept-ds-stack">
        <w:r>
          <w:rPr>
            <w:rStyle w:val="Hyperlink"/>
          </w:rPr>
          <w:t xml:space="preserve">5.1. Concept en typische organisatie van een DS-stack</w:t>
        </w:r>
      </w:hyperlink>
    </w:p>
    <w:p>
      <w:pPr>
        <w:pStyle w:val="Compact"/>
        <w:numPr>
          <w:ilvl w:val="1"/>
          <w:numId w:val="1005"/>
        </w:numPr>
      </w:pPr>
      <w:hyperlink w:anchor="sec-5-2-relevantie">
        <w:r>
          <w:rPr>
            <w:rStyle w:val="Hyperlink"/>
          </w:rPr>
          <w:t xml:space="preserve">5.2. Relevantie voor data science projecten binnen de gezondheidszorg- en HR-context</w:t>
        </w:r>
      </w:hyperlink>
    </w:p>
    <w:p>
      <w:pPr>
        <w:pStyle w:val="Compact"/>
        <w:numPr>
          <w:ilvl w:val="0"/>
          <w:numId w:val="1001"/>
        </w:numPr>
      </w:pPr>
      <w:hyperlink w:anchor="sec-6-risicos">
        <w:r>
          <w:rPr>
            <w:rStyle w:val="Hyperlink"/>
          </w:rPr>
          <w:t xml:space="preserve">6. Identificeren en Mitigeren van Risico's</w:t>
        </w:r>
      </w:hyperlink>
    </w:p>
    <w:p>
      <w:pPr>
        <w:pStyle w:val="Compact"/>
        <w:numPr>
          <w:ilvl w:val="1"/>
          <w:numId w:val="1006"/>
        </w:numPr>
      </w:pPr>
      <w:hyperlink w:anchor="sec-6-1-uitdagingen">
        <w:r>
          <w:rPr>
            <w:rStyle w:val="Hyperlink"/>
          </w:rPr>
          <w:t xml:space="preserve">6.1. Potentiële risico's en uitdagingen specifiek voor het omgaan met HR- en gezondheidsgegevens</w:t>
        </w:r>
      </w:hyperlink>
    </w:p>
    <w:p>
      <w:pPr>
        <w:pStyle w:val="Compact"/>
        <w:numPr>
          <w:ilvl w:val="1"/>
          <w:numId w:val="1006"/>
        </w:numPr>
      </w:pPr>
      <w:hyperlink w:anchor="sec-6-2-mitigatie">
        <w:r>
          <w:rPr>
            <w:rStyle w:val="Hyperlink"/>
          </w:rPr>
          <w:t xml:space="preserve">6.2. Aanbevolen maatregelen om deze te mitigeren</w:t>
        </w:r>
      </w:hyperlink>
    </w:p>
    <w:p>
      <w:pPr>
        <w:pStyle w:val="Compact"/>
        <w:numPr>
          <w:ilvl w:val="0"/>
          <w:numId w:val="1001"/>
        </w:numPr>
      </w:pPr>
      <w:hyperlink w:anchor="sec-7-omgangsregels">
        <w:r>
          <w:rPr>
            <w:rStyle w:val="Hyperlink"/>
          </w:rPr>
          <w:t xml:space="preserve">7. Omgangsregels voor Datalab Gebruikers</w:t>
        </w:r>
      </w:hyperlink>
    </w:p>
    <w:p>
      <w:pPr>
        <w:pStyle w:val="Compact"/>
        <w:numPr>
          <w:ilvl w:val="1"/>
          <w:numId w:val="1007"/>
        </w:numPr>
      </w:pPr>
      <w:hyperlink w:anchor="sec-7-1-gedragscode">
        <w:r>
          <w:rPr>
            <w:rStyle w:val="Hyperlink"/>
          </w:rPr>
          <w:t xml:space="preserve">7.1. Vaststellen van duidelijke "omgangsregels" of een gedragscode</w:t>
        </w:r>
      </w:hyperlink>
    </w:p>
    <w:p>
      <w:pPr>
        <w:pStyle w:val="Compact"/>
        <w:numPr>
          <w:ilvl w:val="1"/>
          <w:numId w:val="1007"/>
        </w:numPr>
      </w:pPr>
      <w:hyperlink w:anchor="X41a81c3f5612e04c755a574be8dd743b2c1023e">
        <w:r>
          <w:rPr>
            <w:rStyle w:val="Hyperlink"/>
          </w:rPr>
          <w:t xml:space="preserve">7.2. Gebaseerd op voorbeelden gebruikt in professionele samenwerkingsverbanden met gevoelige data</w:t>
        </w:r>
      </w:hyperlink>
    </w:p>
    <w:p>
      <w:pPr>
        <w:pStyle w:val="Compact"/>
        <w:numPr>
          <w:ilvl w:val="0"/>
          <w:numId w:val="1001"/>
        </w:numPr>
      </w:pPr>
      <w:hyperlink w:anchor="sec-8-intellectueel-eigendom">
        <w:r>
          <w:rPr>
            <w:rStyle w:val="Hyperlink"/>
          </w:rPr>
          <w:t xml:space="preserve">8. Beheer van Intellectueel Eigendom</w:t>
        </w:r>
      </w:hyperlink>
    </w:p>
    <w:p>
      <w:pPr>
        <w:pStyle w:val="Compact"/>
        <w:numPr>
          <w:ilvl w:val="1"/>
          <w:numId w:val="1008"/>
        </w:numPr>
      </w:pPr>
      <w:hyperlink w:anchor="Xb263d84f08dd9ca06ffd0a38921f555e9ee90d5">
        <w:r>
          <w:rPr>
            <w:rStyle w:val="Hyperlink"/>
          </w:rPr>
          <w:t xml:space="preserve">8.1. Richtlijnen voor het beheer en de uitwisseling van intellectueel eigendom</w:t>
        </w:r>
      </w:hyperlink>
    </w:p>
    <w:p>
      <w:pPr>
        <w:pStyle w:val="Compact"/>
        <w:numPr>
          <w:ilvl w:val="1"/>
          <w:numId w:val="1008"/>
        </w:numPr>
      </w:pPr>
      <w:hyperlink w:anchor="sec-8-2-vertrouwelijke-aard">
        <w:r>
          <w:rPr>
            <w:rStyle w:val="Hyperlink"/>
          </w:rPr>
          <w:t xml:space="preserve">8.2. Rekening houdend met de vertrouwelijke aard van HR- en gezondheidsgegevens</w:t>
        </w:r>
      </w:hyperlink>
    </w:p>
    <w:p>
      <w:pPr>
        <w:pStyle w:val="Compact"/>
        <w:numPr>
          <w:ilvl w:val="0"/>
          <w:numId w:val="1001"/>
        </w:numPr>
      </w:pPr>
      <w:hyperlink w:anchor="sec-9-toegang">
        <w:r>
          <w:rPr>
            <w:rStyle w:val="Hyperlink"/>
          </w:rPr>
          <w:t xml:space="preserve">9. Procedures voor Toegang tot het Datalab</w:t>
        </w:r>
      </w:hyperlink>
    </w:p>
    <w:p>
      <w:pPr>
        <w:pStyle w:val="Compact"/>
        <w:numPr>
          <w:ilvl w:val="1"/>
          <w:numId w:val="1009"/>
        </w:numPr>
      </w:pPr>
      <w:hyperlink w:anchor="X2e809a6e031d88dc6e45193d09c109fbda90498">
        <w:r>
          <w:rPr>
            <w:rStyle w:val="Hyperlink"/>
          </w:rPr>
          <w:t xml:space="preserve">9.1. Beschrijving van de typische procedures voor het aanvragen en verkrijgen van toegang</w:t>
        </w:r>
      </w:hyperlink>
    </w:p>
    <w:p>
      <w:pPr>
        <w:pStyle w:val="FirstParagraph"/>
      </w:pPr>
    </w:p>
    <w:bookmarkEnd w:id="10"/>
    <w:bookmarkStart w:id="11" w:name="Xa9d68dbdd9198a01a419d0ece9bda4039eac60f"/>
    <w:p>
      <w:pPr>
        <w:pStyle w:val="Heading2"/>
      </w:pPr>
      <w:r>
        <w:t xml:space="preserve">1. Introductie</w:t>
      </w:r>
    </w:p>
    <w:p>
      <w:pPr>
        <w:pStyle w:val="FirstParagraph"/>
      </w:pPr>
      <w:r>
        <w:t xml:space="preserve">De toenemende digitalisering van de maatschappij heeft geleid tot een exponentiële groei van de vraag naar data science (DS) vaardigheden [User Query]. De transitie van fysieke informatiedragers naar digitale vormen die online gegenereerd en bewerkt kunnen worden, heeft een fundamentele verschuiving teweeggebracht. Dit wordt treffend geïllustreerd door de recente opkomst van generatieve AI in de vorm van populaire chatbots zoals ChatGPT, Gemini en Copilot [User Query]. Deze ontwikkeling vervaagt de traditionele scheiding tussen de tastbare, analoge wereld en de virtuele, digitale wereld [User Query]. Het directe gevolg is een steeds grotere en snellere beschikbaarheid van ongestructureerde data in digitale vorm, waaronder vrije teksten, afbeeldingen, audio- en video-opnamen [User Query]. In dit digitale tijdperk is kennis over data science, met name de verantwoorde toepassing van informatietechnologie, van groot maatschappelijk belang geworden [User Query].</w:t>
      </w:r>
    </w:p>
    <w:p>
      <w:pPr>
        <w:pStyle w:val="BodyText"/>
      </w:pPr>
      <w:r>
        <w:t xml:space="preserve">Hogeschool Rotterdam erkent deze ontwikkelingen en investeert strategisch in een DataLab-ecosysteem. Dit initiatief is direct gericht op het ondersteunen van een viertal transitieopgaven die zijn geformuleerd in de “strategische agenda 2023-2028”: (1) duurzame delta, (2) toekomstbestendige economie, (3) vitale gemeenschap en (4) slimme en sociale stad [User Query]. Het overkoepelende doel van deze investering is het tot stand brengen van een “federated data fabric” voor de regio Rotterdam, waarbij de nadruk ligt op gestandaardiseerd en verantwoord databeheer [User Query].</w:t>
      </w:r>
    </w:p>
    <w:p>
      <w:pPr>
        <w:pStyle w:val="BodyText"/>
      </w:pPr>
      <w:r>
        <w:t xml:space="preserve">Binnen deze context speelt data science een steeds prominentere rol in zowel de gezondheidszorg als het Human Resource Management (HR). In de gezondheidszorg biedt de toepassing van data science aanzienlijke voordelen. Het kan helpen bij een adequate respons in noodsituaties, de behandeltijd voor patiënten verkorten, zorgen voor een snelle en passende behandeling, de efficiëntie van de workflow verbeteren en het risico op behandelingsfouten verminderen. (</w:t>
      </w:r>
      <w:hyperlink w:anchor="ref-1">
        <w:r>
          <w:rPr>
            <w:rStyle w:val="Hyperlink"/>
          </w:rPr>
          <w:t xml:space="preserve">Datalab, z.d.</w:t>
        </w:r>
      </w:hyperlink>
      <w:r>
        <w:t xml:space="preserve">) Ook binnen het HR-domein wordt de waarde van datagedreven inzichten, ook wel bekend als People Analytics, steeds meer erkend. (</w:t>
      </w:r>
      <w:hyperlink w:anchor="ref-2">
        <w:r>
          <w:rPr>
            <w:rStyle w:val="Hyperlink"/>
          </w:rPr>
          <w:t xml:space="preserve">Cultuurloket, 2021</w:t>
        </w:r>
      </w:hyperlink>
      <w:r>
        <w:t xml:space="preserve">) Organisaties stappen af van beslissingen op basis van intuïtie en buikgevoel en omarmen evidence-based HR-praktijken die door data-analyse worden ondersteund. (</w:t>
      </w:r>
      <w:hyperlink w:anchor="ref-2">
        <w:r>
          <w:rPr>
            <w:rStyle w:val="Hyperlink"/>
          </w:rPr>
          <w:t xml:space="preserve">Cultuurloket, 2021</w:t>
        </w:r>
      </w:hyperlink>
      <w:r>
        <w:t xml:space="preserve">) HR Analytics stelt organisaties in staat om gerichte HR-acties te ondernemen die de algehele prestaties verbeteren. (</w:t>
      </w:r>
      <w:hyperlink w:anchor="ref-2">
        <w:r>
          <w:rPr>
            <w:rStyle w:val="Hyperlink"/>
          </w:rPr>
          <w:t xml:space="preserve">Cultuurloket, 2021</w:t>
        </w:r>
      </w:hyperlink>
      <w:r>
        <w:t xml:space="preserve">)</w:t>
      </w:r>
    </w:p>
    <w:p>
      <w:pPr>
        <w:pStyle w:val="BodyText"/>
      </w:pPr>
      <w:r>
        <w:t xml:space="preserve">Dit statuut beoogt een helder kader te scheppen voor de werking, het bestuur en het gebruik van het HR Healthcare datalab binnen Hogeschool Rotterdam. Het definieert de gedragsregels voor iedereen die gebruikmaakt van de middelen en de infrastructuur van het datalab. Een cruciaal doel is het waarborgen van de ethische en verantwoorde omgang met gevoelige HR- en gezondheidsgegevens, in overeenstemming met relevante wet- en regelgeving, in het bijzonder de Algemene Verordening Gegevensbescherming (AVG) of General Data Protection Regulation (GDPR) in Nederland. Daarnaast beoogt dit statuut effectieve samenwerking en kennisuitwisseling te bevorderen tussen multidisciplinaire teams die werken aan data science projecten binnen de HR- en gezondheidszorg. Ten slotte worden richtlijnen vastgelegd voor het beheer van intellectueel eigendom dat binnen het datalab wordt gegenereerd en de procedures voor toegang tot de faciliteiten.</w:t>
      </w:r>
    </w:p>
    <w:p>
      <w:pPr>
        <w:pStyle w:val="BodyText"/>
      </w:pPr>
    </w:p>
    <w:bookmarkEnd w:id="11"/>
    <w:bookmarkStart w:id="14" w:name="X367f3538a6c19882b4d9668058ab1a6a3c0aaa8"/>
    <w:p>
      <w:pPr>
        <w:pStyle w:val="Heading2"/>
      </w:pPr>
      <w:r>
        <w:t xml:space="preserve">2. Structuur van een Datalab Statuut</w:t>
      </w:r>
    </w:p>
    <w:p>
      <w:pPr>
        <w:pStyle w:val="FirstParagraph"/>
      </w:pPr>
      <w:r>
        <w:t xml:space="preserve">Om een gedegen structuur voor het HR Healthcare datalab statuut te ontwikkelen, is het nuttig om te kijken naar bestaande voorbeelden van statuten en reglementen van vergelijkbare organisaties.</w:t>
      </w:r>
    </w:p>
    <w:p>
      <w:pPr>
        <w:pStyle w:val="BodyText"/>
      </w:pPr>
    </w:p>
    <w:bookmarkStart w:id="12" w:name="X96b42a05333cb9ecdeaec65b30e7ec731a13951"/>
    <w:p>
      <w:pPr>
        <w:pStyle w:val="Heading3"/>
      </w:pPr>
      <w:r>
        <w:t xml:space="preserve">2.1. Algemene voorbeelden van statuten van onderzoekscentra</w:t>
      </w:r>
    </w:p>
    <w:p>
      <w:pPr>
        <w:pStyle w:val="FirstParagraph"/>
      </w:pPr>
      <w:r>
        <w:t xml:space="preserve">Diverse organisaties hanteren interne reglementen en statuten die inzicht geven in gangbare structuren. Voorbeelden hiervan (</w:t>
      </w:r>
      <w:hyperlink w:anchor="ref-3">
        <w:r>
          <w:rPr>
            <w:rStyle w:val="Hyperlink"/>
          </w:rPr>
          <w:t xml:space="preserve">Beroepseer, 2023</w:t>
        </w:r>
      </w:hyperlink>
      <w:r>
        <w:t xml:space="preserve">) tonen aan dat deze documenten vaak bepalingen bevatten over bestuur (zoals een bestuursorgaan en een dagelijks bestuur), besluitvormingsprocessen, de definitie van bevoegdheden en verantwoordelijkheden, en operationele richtlijnen. Secties over lidmaatschap, financieel beheer en procedures voor statutenwijziging komen eveneens frequent voor. Zo omvat een voorbeeld van een intern reglement (</w:t>
      </w:r>
      <w:hyperlink w:anchor="ref-3">
        <w:r>
          <w:rPr>
            <w:rStyle w:val="Hyperlink"/>
          </w:rPr>
          <w:t xml:space="preserve">Beroepseer, 2023</w:t>
        </w:r>
      </w:hyperlink>
      <w:r>
        <w:t xml:space="preserve">) onderdelen over de communicatie van het bestuur, diens bevoegdheden, de frequentie van vergaderingen en het personeelsbeleid. Een reglement voor een scriptieprijs (</w:t>
      </w:r>
      <w:hyperlink w:anchor="ref-4">
        <w:r>
          <w:rPr>
            <w:rStyle w:val="Hyperlink"/>
          </w:rPr>
          <w:t xml:space="preserve">Fwo, z.d.</w:t>
        </w:r>
      </w:hyperlink>
      <w:r>
        <w:t xml:space="preserve">) beschrijft de regels voor deelname, de beoordeling en de toekenning van prijzen in een onderzoekscontext. Het reglement voor zware onderzoeksinfrastructuur (</w:t>
      </w:r>
      <w:hyperlink w:anchor="ref-5">
        <w:r>
          <w:rPr>
            <w:rStyle w:val="Hyperlink"/>
          </w:rPr>
          <w:t xml:space="preserve">Katholiek Onderwijs Vlaanderen, 2023</w:t>
        </w:r>
      </w:hyperlink>
      <w:r>
        <w:t xml:space="preserve">) bevat details over financiering, aanvaardbare kosten en rapportageverplichtingen. Een intern reglement van een leersteuncentrum (</w:t>
      </w:r>
      <w:hyperlink w:anchor="ref-6">
        <w:r>
          <w:rPr>
            <w:rStyle w:val="Hyperlink"/>
          </w:rPr>
          <w:t xml:space="preserve">Vereniging van Rekenkamers, z.d.</w:t>
        </w:r>
      </w:hyperlink>
      <w:r>
        <w:t xml:space="preserve">) presenteert een structuur met betrekking tot lidmaatschap, verantwoordelijkheden van het bestuur, financieel management en operationele procedures. Ten slotte verwijst een reglement van orde (</w:t>
      </w:r>
      <w:hyperlink w:anchor="ref-7">
        <w:r>
          <w:rPr>
            <w:rStyle w:val="Hyperlink"/>
          </w:rPr>
          <w:t xml:space="preserve">Hhrinstitute, z.d.</w:t>
        </w:r>
      </w:hyperlink>
      <w:r>
        <w:t xml:space="preserve">) naar de organisatie van een rekenkamer(commissie).</w:t>
      </w:r>
    </w:p>
    <w:p>
      <w:pPr>
        <w:pStyle w:val="BodyText"/>
      </w:pPr>
      <w:r>
        <w:t xml:space="preserve">Ook statuten van verenigingen en stichtingen (</w:t>
      </w:r>
      <w:hyperlink w:anchor="ref-8">
        <w:r>
          <w:rPr>
            <w:rStyle w:val="Hyperlink"/>
          </w:rPr>
          <w:t xml:space="preserve">KVK, z.d.</w:t>
        </w:r>
      </w:hyperlink>
      <w:r>
        <w:t xml:space="preserve">) bieden relevante inzichten. Deze bevatten doorgaans de naam en vestigingsplaats van de entiteit, het doel, de rechten en plichten van leden (indien van toepassing), procedures voor het bijeenroepen van algemene ledenvergaderingen, de benoeming en het ontslag van bestuursleden en de bestemming van het vermogen bij ontbinding. Informatie over het opstellen van statuten (</w:t>
      </w:r>
      <w:hyperlink w:anchor="ref-8">
        <w:r>
          <w:rPr>
            <w:rStyle w:val="Hyperlink"/>
          </w:rPr>
          <w:t xml:space="preserve">KVK, z.d.</w:t>
        </w:r>
      </w:hyperlink>
      <w:r>
        <w:t xml:space="preserve">) benadrukt de wettelijke vereisten voor verschillende rechtsvormen in Nederland, waaronder de naam, locatie, het doel, de governance en de verplichtingen van leden. Een toelichting op de statuten van een vereniging (</w:t>
      </w:r>
      <w:hyperlink w:anchor="ref-9">
        <w:r>
          <w:rPr>
            <w:rStyle w:val="Hyperlink"/>
          </w:rPr>
          <w:t xml:space="preserve">Michigan Tech, z.d.</w:t>
        </w:r>
      </w:hyperlink>
      <w:r>
        <w:t xml:space="preserve">) gaat dieper in op de verplichte onderdelen en onderscheidt deze van die van een stichting. Een overzicht van de kenmerken van een vereniging als rechtsvorm (</w:t>
      </w:r>
      <w:hyperlink w:anchor="ref-10">
        <w:r>
          <w:rPr>
            <w:rStyle w:val="Hyperlink"/>
          </w:rPr>
          <w:t xml:space="preserve">Stichtingoprichten.nl, z.d.</w:t>
        </w:r>
      </w:hyperlink>
      <w:r>
        <w:t xml:space="preserve">) omvat aspecten als lidmaatschap, besluitvorming, aansprakelijkheid en administratieve verplichtingen. De statuten van een Belgische vereniging zonder winstoogmerk (vzw) (</w:t>
      </w:r>
      <w:hyperlink w:anchor="ref-11">
        <w:r>
          <w:rPr>
            <w:rStyle w:val="Hyperlink"/>
          </w:rPr>
          <w:t xml:space="preserve">National Institutes of Health, z.d.</w:t>
        </w:r>
      </w:hyperlink>
      <w:r>
        <w:t xml:space="preserve">) vereisen vermeldingen zoals de naam, het doel, de voorwaarden voor lidmaatschap en de regels voor governance. Een ander voorbeeld van de statuten van een vereniging (</w:t>
      </w:r>
      <w:hyperlink w:anchor="ref-12">
        <w:r>
          <w:rPr>
            <w:rStyle w:val="Hyperlink"/>
          </w:rPr>
          <w:t xml:space="preserve">KVK, z.d.</w:t>
        </w:r>
      </w:hyperlink>
      <w:r>
        <w:t xml:space="preserve">) noemt verplichte elementen zoals de naam, de maatschappelijke zetel, het doel en de samenstelling van het bestuur.</w:t>
      </w:r>
    </w:p>
    <w:p>
      <w:pPr>
        <w:pStyle w:val="BodyText"/>
      </w:pPr>
      <w:r>
        <w:t xml:space="preserve">Charters van onderzoeksinstituten (</w:t>
      </w:r>
      <w:hyperlink w:anchor="ref-13">
        <w:r>
          <w:rPr>
            <w:rStyle w:val="Hyperlink"/>
          </w:rPr>
          <w:t xml:space="preserve">Pitt, z.d.</w:t>
        </w:r>
      </w:hyperlink>
      <w:r>
        <w:t xml:space="preserve">) bevatten vaak secties over de aanhef, het doel, de achtergrond, de reikwijdte, de verantwoordelijkheden, de samenstelling van bestuursorganen (zoals stuurgroepen en adviesraden) en operationele procedures, inclusief beoordelingsprocessen voor beleid en voorstellen. Het charter van het HHRI Operations Management Committee (</w:t>
      </w:r>
      <w:hyperlink w:anchor="ref-13">
        <w:r>
          <w:rPr>
            <w:rStyle w:val="Hyperlink"/>
          </w:rPr>
          <w:t xml:space="preserve">Pitt, z.d.</w:t>
        </w:r>
      </w:hyperlink>
      <w:r>
        <w:t xml:space="preserve">) beschrijft het lidmaatschap, de macht, de bevoegdheden, de vergaderprocedures en de selectie van commissieleden. De procedures voor het oprichten en beoordelen van centra en instituten (</w:t>
      </w:r>
      <w:hyperlink w:anchor="ref-14">
        <w:r>
          <w:rPr>
            <w:rStyle w:val="Hyperlink"/>
          </w:rPr>
          <w:t xml:space="preserve">University of Ottawa, 2022</w:t>
        </w:r>
      </w:hyperlink>
      <w:r>
        <w:t xml:space="preserve">) schetsen definities en governancestructuren. Het charter van de NIH Scientific Management Review Board (</w:t>
      </w:r>
      <w:hyperlink w:anchor="ref-15">
        <w:r>
          <w:rPr>
            <w:rStyle w:val="Hyperlink"/>
          </w:rPr>
          <w:t xml:space="preserve">Federale overheidsdienst Justitie, z.d.</w:t>
        </w:r>
      </w:hyperlink>
      <w:r>
        <w:t xml:space="preserve">) beschrijft de autoriteit, doelstellingen, reikwijdte, het lidmaatschap en de rapportageprocedures. Een charter voor universiteitscentra en onderzoeksinstituten (</w:t>
      </w:r>
      <w:hyperlink w:anchor="ref-16">
        <w:r>
          <w:rPr>
            <w:rStyle w:val="Hyperlink"/>
          </w:rPr>
          <w:t xml:space="preserve">Ad Ministerie, z.d.</w:t>
        </w:r>
      </w:hyperlink>
      <w:r>
        <w:t xml:space="preserve">) richt zich op het doel, de achtergrond, de verantwoordelijkheden, de samenstelling en de werking van een commissie die beleid herziet. Het charter van een life research institute (</w:t>
      </w:r>
      <w:hyperlink w:anchor="ref-17">
        <w:r>
          <w:rPr>
            <w:rStyle w:val="Hyperlink"/>
          </w:rPr>
          <w:t xml:space="preserve">Personio, z.d.</w:t>
        </w:r>
      </w:hyperlink>
      <w:r>
        <w:t xml:space="preserve">) presenteert de doelstellingen, leidende principes, organisatiestructuur (met stuurgroep en adviescommissies) en de rollen van verschillende commissies.</w:t>
      </w:r>
    </w:p>
    <w:p>
      <w:pPr>
        <w:pStyle w:val="BodyText"/>
      </w:pPr>
      <w:r>
        <w:t xml:space="preserve">Hoewel er geen specifieke voorbeelden van statuten van datalabs in het beschikbare materiaal zijn gevonden, bieden de structuren van statuten voor onderzoekscentra, verenigingen en onderzoeksinstituten waardevolle inzichten in de essentiële componenten van een formeel bestuursdocument. Deze voorbeelden suggereren het belang van een duidelijke definitie van het doel van het datalab, de organisatiestructuur, de rollen en verantwoordelijkheden van de bestuursorganen en gebruikers, en de procedures voor de werking.</w:t>
      </w:r>
    </w:p>
    <w:p>
      <w:pPr>
        <w:pStyle w:val="BodyText"/>
      </w:pPr>
    </w:p>
    <w:bookmarkEnd w:id="12"/>
    <w:bookmarkStart w:id="13" w:name="Xaabfb03cfb0223718267701152b2eefae6b6f4f"/>
    <w:p>
      <w:pPr>
        <w:pStyle w:val="Heading3"/>
      </w:pPr>
      <w:r>
        <w:t xml:space="preserve">2.2. Fundamentele structuur geschikt voor dit datalab</w:t>
      </w:r>
    </w:p>
    <w:p>
      <w:pPr>
        <w:pStyle w:val="FirstParagraph"/>
      </w:pPr>
      <w:r>
        <w:t xml:space="preserve">Op basis van de analyse van de genoemde voorbeelden, zou het HR Healthcare datalab statuut de volgende artikelen moeten overwegen om een alomvattend bestuur en operationele duidelijkheid te waarborgen:</w:t>
      </w:r>
    </w:p>
    <w:p>
      <w:pPr>
        <w:numPr>
          <w:ilvl w:val="0"/>
          <w:numId w:val="1010"/>
        </w:numPr>
      </w:pPr>
      <w:r>
        <w:rPr>
          <w:b/>
          <w:bCs/>
        </w:rPr>
        <w:t xml:space="preserve">Artikel 1: Naam en Doel:</w:t>
      </w:r>
      <w:r>
        <w:t xml:space="preserve"> </w:t>
      </w:r>
      <w:r>
        <w:t xml:space="preserve">Hierin wordt de officiële naam van het datalab gedefinieerd en worden de doelstellingen helder geformuleerd, in lijn met de strategische agenda van Hogeschool Rotterdam en het doel om data science oplossingen in HR en de gezondheidszorg te ondersteunen.</w:t>
      </w:r>
    </w:p>
    <w:p>
      <w:pPr>
        <w:numPr>
          <w:ilvl w:val="0"/>
          <w:numId w:val="1010"/>
        </w:numPr>
      </w:pPr>
      <w:r>
        <w:rPr>
          <w:b/>
          <w:bCs/>
        </w:rPr>
        <w:t xml:space="preserve">Artikel 2: Governance en Management:</w:t>
      </w:r>
      <w:r>
        <w:t xml:space="preserve"> </w:t>
      </w:r>
      <w:r>
        <w:t xml:space="preserve">Dit artikel beschrijft de organisatiestructuur, inclusief de rollen en verantwoordelijkheden van eventuele bestuursorganen of commissies (bijvoorbeeld een stuurgroep, een adviesraad) en de personen die verantwoordelijk zijn voor het dagelijkse management en de operationele gang van zaken binnen het datalab. Dit kan inspiratie putten uit de structuren van het bestuur en dagelijks bestuur zoals genoemd in (</w:t>
      </w:r>
      <w:hyperlink w:anchor="ref-3">
        <w:r>
          <w:rPr>
            <w:rStyle w:val="Hyperlink"/>
          </w:rPr>
          <w:t xml:space="preserve">Beroepseer, 2023</w:t>
        </w:r>
      </w:hyperlink>
      <w:r>
        <w:t xml:space="preserve">) en de stuurgroepen en adviesraden in. (</w:t>
      </w:r>
      <w:hyperlink w:anchor="ref-17">
        <w:r>
          <w:rPr>
            <w:rStyle w:val="Hyperlink"/>
          </w:rPr>
          <w:t xml:space="preserve">Personio, z.d.</w:t>
        </w:r>
      </w:hyperlink>
      <w:r>
        <w:t xml:space="preserve">)</w:t>
      </w:r>
    </w:p>
    <w:p>
      <w:pPr>
        <w:numPr>
          <w:ilvl w:val="0"/>
          <w:numId w:val="1010"/>
        </w:numPr>
      </w:pPr>
      <w:r>
        <w:rPr>
          <w:b/>
          <w:bCs/>
        </w:rPr>
        <w:t xml:space="preserve">Artikel 3: Lidmaatschap en Gebruikerstoegang:</w:t>
      </w:r>
      <w:r>
        <w:t xml:space="preserve"> </w:t>
      </w:r>
      <w:r>
        <w:t xml:space="preserve">Hierin wordt gedefinieerd wie in aanmerking komt om gebruiker van het datalab te worden (bijvoorbeeld onderzoekers, studenten, docenten, externe partners), worden de procedures voor het aanvragen en verkrijgen van toegang beschreven en worden eventuele voorwaarden of overeenkomsten gespecificeerd waaraan gebruikers zich moeten houden. Dit artikel dient rekening te houden met de toegangsprocedures die in (</w:t>
      </w:r>
      <w:hyperlink w:anchor="ref-18">
        <w:r>
          <w:rPr>
            <w:rStyle w:val="Hyperlink"/>
          </w:rPr>
          <w:t xml:space="preserve">GoNXT, z.d.</w:t>
        </w:r>
      </w:hyperlink>
      <w:r>
        <w:t xml:space="preserve">) en (</w:t>
      </w:r>
      <w:hyperlink w:anchor="ref-19">
        <w:r>
          <w:rPr>
            <w:rStyle w:val="Hyperlink"/>
          </w:rPr>
          <w:t xml:space="preserve">Autoriteit Persoonsgegevens, z.d.</w:t>
        </w:r>
      </w:hyperlink>
      <w:r>
        <w:t xml:space="preserve">) voor universitaire datalabs worden genoemd.</w:t>
      </w:r>
    </w:p>
    <w:p>
      <w:pPr>
        <w:numPr>
          <w:ilvl w:val="0"/>
          <w:numId w:val="1010"/>
        </w:numPr>
      </w:pPr>
      <w:r>
        <w:rPr>
          <w:b/>
          <w:bCs/>
        </w:rPr>
        <w:t xml:space="preserve">Artikel 4: Omgangsregels:</w:t>
      </w:r>
      <w:r>
        <w:t xml:space="preserve"> </w:t>
      </w:r>
      <w:r>
        <w:t xml:space="preserve">Dit artikel bevat de verwachte gedragingen en verantwoordelijkheden van datalab gebruikers, inclusief richtlijnen voor datahantering, samenwerking, ethische overwegingen en naleving van relevante regelgeving. Dit zal verder worden uitgewerkt in Sectie 7.</w:t>
      </w:r>
    </w:p>
    <w:p>
      <w:pPr>
        <w:numPr>
          <w:ilvl w:val="0"/>
          <w:numId w:val="1010"/>
        </w:numPr>
      </w:pPr>
      <w:r>
        <w:rPr>
          <w:b/>
          <w:bCs/>
        </w:rPr>
        <w:t xml:space="preserve">Artikel 5: Databeheer en Beveiliging:</w:t>
      </w:r>
      <w:r>
        <w:t xml:space="preserve"> </w:t>
      </w:r>
      <w:r>
        <w:t xml:space="preserve">Hierin worden de beleidslijnen en procedures beschreven voor het veilige en verantwoorde beheer van HR- en gezondheidsgegevens binnen het datalab, met nadruk op naleving van de AVG/GDPR en andere relevante wettelijke kaders. Dit zal worden geïnformeerd door de ethische overwegingen die in Sectie 3 worden besproken.</w:t>
      </w:r>
    </w:p>
    <w:p>
      <w:pPr>
        <w:numPr>
          <w:ilvl w:val="0"/>
          <w:numId w:val="1010"/>
        </w:numPr>
      </w:pPr>
      <w:r>
        <w:rPr>
          <w:b/>
          <w:bCs/>
        </w:rPr>
        <w:t xml:space="preserve">Artikel 6: Intellectueel Eigendom:</w:t>
      </w:r>
      <w:r>
        <w:t xml:space="preserve"> </w:t>
      </w:r>
      <w:r>
        <w:t xml:space="preserve">Dit artikel schetst de richtlijnen voor het eigendom, beheer en de uitwisseling van intellectueel eigendom dat binnen het datalab wordt gegenereerd, rekening houdend met de gevoeligheid van de data en de collaboratieve aard van projecten. Dit artikel zal gebruikmaken van de informatie in Sectie 8.</w:t>
      </w:r>
    </w:p>
    <w:p>
      <w:pPr>
        <w:numPr>
          <w:ilvl w:val="0"/>
          <w:numId w:val="1010"/>
        </w:numPr>
      </w:pPr>
      <w:r>
        <w:rPr>
          <w:b/>
          <w:bCs/>
        </w:rPr>
        <w:t xml:space="preserve">Artikel 7: Samenwerking en Kennisdeling:</w:t>
      </w:r>
      <w:r>
        <w:t xml:space="preserve"> </w:t>
      </w:r>
      <w:r>
        <w:t xml:space="preserve">Hierin worden de principes en best practices gespecificeerd voor het bevorderen van effectieve samenwerking en kennisuitwisseling tussen gebruikers met diverse disciplinaire achtergronden, zoals gedetailleerd in Sectie 4.</w:t>
      </w:r>
    </w:p>
    <w:p>
      <w:pPr>
        <w:numPr>
          <w:ilvl w:val="0"/>
          <w:numId w:val="1010"/>
        </w:numPr>
      </w:pPr>
      <w:r>
        <w:rPr>
          <w:b/>
          <w:bCs/>
        </w:rPr>
        <w:t xml:space="preserve">Artikel 8: DS-Stack en Infrastructuurgebruik:</w:t>
      </w:r>
      <w:r>
        <w:t xml:space="preserve"> </w:t>
      </w:r>
      <w:r>
        <w:t xml:space="preserve">Dit artikel beschrijft de beschikbare ICT-infrastructuur, inclusief de DS-stack, en stelt de regels en richtlijnen vast voor het gepaste en efficiënte gebruik ervan door datalab gebruikers, zoals besproken in Sectie 5.</w:t>
      </w:r>
    </w:p>
    <w:p>
      <w:pPr>
        <w:numPr>
          <w:ilvl w:val="0"/>
          <w:numId w:val="1010"/>
        </w:numPr>
      </w:pPr>
      <w:r>
        <w:rPr>
          <w:b/>
          <w:bCs/>
        </w:rPr>
        <w:t xml:space="preserve">Artikel 9: Risicomanagement en Compliance:</w:t>
      </w:r>
      <w:r>
        <w:t xml:space="preserve"> </w:t>
      </w:r>
      <w:r>
        <w:t xml:space="preserve">Hierin worden potentiële risico's en uitdagingen geïdentificeerd die samenhangen met de werking van het datalab en worden de maatregelen beschreven die zullen worden geïmplementeerd om deze risico's te mitigeren en voortdurende naleving van relevante regelgeving en ethische normen te waarborgen, zoals geïnformeerd door Sectie 6.</w:t>
      </w:r>
    </w:p>
    <w:p>
      <w:pPr>
        <w:numPr>
          <w:ilvl w:val="0"/>
          <w:numId w:val="1010"/>
        </w:numPr>
      </w:pPr>
      <w:r>
        <w:rPr>
          <w:b/>
          <w:bCs/>
        </w:rPr>
        <w:t xml:space="preserve">Artikel 10: Wijzigingsprocedures:</w:t>
      </w:r>
      <w:r>
        <w:t xml:space="preserve"> </w:t>
      </w:r>
      <w:r>
        <w:t xml:space="preserve">Dit artikel definieert het proces voor het aanbrengen van wijzigingen of updates in het statuut in de toekomst, mogelijk verwijzend naar de wijzigingsprocedures voor interne reglementen in (</w:t>
      </w:r>
      <w:hyperlink w:anchor="ref-3">
        <w:r>
          <w:rPr>
            <w:rStyle w:val="Hyperlink"/>
          </w:rPr>
          <w:t xml:space="preserve">Beroepseer, 2023</w:t>
        </w:r>
      </w:hyperlink>
      <w:r>
        <w:t xml:space="preserve">) en. (</w:t>
      </w:r>
      <w:hyperlink w:anchor="ref-6">
        <w:r>
          <w:rPr>
            <w:rStyle w:val="Hyperlink"/>
          </w:rPr>
          <w:t xml:space="preserve">Vereniging van Rekenkamers, z.d.</w:t>
        </w:r>
      </w:hyperlink>
      <w:r>
        <w:t xml:space="preserve">)</w:t>
      </w:r>
    </w:p>
    <w:p>
      <w:pPr>
        <w:numPr>
          <w:ilvl w:val="0"/>
          <w:numId w:val="1010"/>
        </w:numPr>
      </w:pPr>
      <w:r>
        <w:rPr>
          <w:b/>
          <w:bCs/>
        </w:rPr>
        <w:t xml:space="preserve">Artikel 11: Ontbindingsclausule:</w:t>
      </w:r>
      <w:r>
        <w:t xml:space="preserve"> </w:t>
      </w:r>
      <w:r>
        <w:t xml:space="preserve">Dit artikel specificeert de procedures die moeten worden gevolgd in geval van beëindiging of ontbinding van het datalab, op basis van voorbeelden in statuten voor verenigingen en stichtingen. (</w:t>
      </w:r>
      <w:hyperlink w:anchor="ref-8">
        <w:r>
          <w:rPr>
            <w:rStyle w:val="Hyperlink"/>
          </w:rPr>
          <w:t xml:space="preserve">KVK, z.d.</w:t>
        </w:r>
      </w:hyperlink>
      <w:r>
        <w:t xml:space="preserve">)</w:t>
      </w:r>
    </w:p>
    <w:p>
      <w:pPr>
        <w:pStyle w:val="FirstParagraph"/>
      </w:pPr>
    </w:p>
    <w:bookmarkEnd w:id="13"/>
    <w:bookmarkEnd w:id="14"/>
    <w:bookmarkStart w:id="17" w:name="X69cfbfd55c3e73626391bb0183a200a707f9de4"/>
    <w:p>
      <w:pPr>
        <w:pStyle w:val="Heading2"/>
      </w:pPr>
      <w:r>
        <w:t xml:space="preserve">3. Ethisch Kader voor Datahantering</w:t>
      </w:r>
    </w:p>
    <w:p>
      <w:pPr>
        <w:pStyle w:val="FirstParagraph"/>
      </w:pPr>
    </w:p>
    <w:bookmarkStart w:id="15" w:name="X4e7b524b9623df16968a08e4f14fce859581c9b"/>
    <w:p>
      <w:pPr>
        <w:pStyle w:val="Heading3"/>
      </w:pPr>
      <w:r>
        <w:t xml:space="preserve">3.1. Belangrijke ethische overwegingen bij het werken met HR- en gezondheidsgegevens</w:t>
      </w:r>
    </w:p>
    <w:p>
      <w:pPr>
        <w:pStyle w:val="FirstParagraph"/>
      </w:pPr>
      <w:r>
        <w:t xml:space="preserve">Zowel HR- als gezondheidsgegevens worden geclassificeerd als gevoelig en vereisen zorgvuldige ethische overwegingen vanwege het potentieel voor privacyschendingen, discriminatie en andere vormen van schade bij onjuiste behandeling. (</w:t>
      </w:r>
      <w:hyperlink w:anchor="ref-20">
        <w:r>
          <w:rPr>
            <w:rStyle w:val="Hyperlink"/>
          </w:rPr>
          <w:t xml:space="preserve">Zuci Systems, z.d.</w:t>
        </w:r>
      </w:hyperlink>
      <w:r>
        <w:t xml:space="preserve">) Gezondheidsgegevens worden expliciet gedefinieerd als "bijzondere persoonsgegevens" onder de AVG, wat extra bescherming vereist. (</w:t>
      </w:r>
      <w:hyperlink w:anchor="ref-20">
        <w:r>
          <w:rPr>
            <w:rStyle w:val="Hyperlink"/>
          </w:rPr>
          <w:t xml:space="preserve">Zuci Systems, z.d.</w:t>
        </w:r>
      </w:hyperlink>
      <w:r>
        <w:t xml:space="preserve">) Ook werknemersgegevens in HR-contexten verdienen een zorgvuldige ethische behandeling om het vertrouwen te behouden en oneerlijke praktijken te vermijden. (</w:t>
      </w:r>
      <w:hyperlink w:anchor="ref-21">
        <w:r>
          <w:rPr>
            <w:rStyle w:val="Hyperlink"/>
          </w:rPr>
          <w:t xml:space="preserve">Autoriteit Persoonsgegevens, z.d.</w:t>
        </w:r>
      </w:hyperlink>
      <w:r>
        <w:t xml:space="preserve">)</w:t>
      </w:r>
    </w:p>
    <w:p>
      <w:pPr>
        <w:pStyle w:val="BodyText"/>
      </w:pPr>
      <w:r>
        <w:t xml:space="preserve">De toenemende toepassing van data science en AI in deze domeinen introduceert ethische dilemma's met betrekking tot eerlijkheid, transparantie, verantwoordelijkheid en potentiële biases in algoritmen. (</w:t>
      </w:r>
      <w:hyperlink w:anchor="ref-23">
        <w:r>
          <w:rPr>
            <w:rStyle w:val="Hyperlink"/>
          </w:rPr>
          <w:t xml:space="preserve">Autoriteit Persoonsgegevens, z.d.</w:t>
        </w:r>
      </w:hyperlink>
      <w:r>
        <w:t xml:space="preserve">) AI die in HR wordt gebruikt voor werving of prestatie-evaluatie kan bijvoorbeeld bestaande biases versterken als deze niet zorgvuldig wordt ontworpen en gemonitord. (</w:t>
      </w:r>
      <w:hyperlink w:anchor="ref-24">
        <w:r>
          <w:rPr>
            <w:rStyle w:val="Hyperlink"/>
          </w:rPr>
          <w:t xml:space="preserve">Avg Support, z.d.</w:t>
        </w:r>
      </w:hyperlink>
      <w:r>
        <w:t xml:space="preserve">) In de gezondheidszorg roept AI voor diagnose of behandelingsvoorspellingen zorgen op over nauwkeurigheid, verklaarbaarheid en het potentieel voor algoritmische bias die de patiëntresultaten beïnvloedt. (</w:t>
      </w:r>
      <w:hyperlink w:anchor="ref-1">
        <w:r>
          <w:rPr>
            <w:rStyle w:val="Hyperlink"/>
          </w:rPr>
          <w:t xml:space="preserve">Datalab, z.d.</w:t>
        </w:r>
      </w:hyperlink>
      <w:r>
        <w:t xml:space="preserve">)</w:t>
      </w:r>
    </w:p>
    <w:p>
      <w:pPr>
        <w:pStyle w:val="BodyText"/>
      </w:pPr>
      <w:r>
        <w:t xml:space="preserve">In de gezondheidszorg zijn ethische overwegingen van het grootste belang bij het afwegen van de voordelen van data-analyse voor verbeterde patiëntenzorg tegen de noodzaak om de privacy en vertrouwelijkheid van patiënten te beschermen. (</w:t>
      </w:r>
      <w:hyperlink w:anchor="ref-1">
        <w:r>
          <w:rPr>
            <w:rStyle w:val="Hyperlink"/>
          </w:rPr>
          <w:t xml:space="preserve">Datalab, z.d.</w:t>
        </w:r>
      </w:hyperlink>
      <w:r>
        <w:t xml:space="preserve">) De aanpak van de Hartwig Medical Foundation om genomische en klinische data ethisch te delen met behoud van de privacy van patiënten (</w:t>
      </w:r>
      <w:hyperlink w:anchor="ref-30">
        <w:r>
          <w:rPr>
            <w:rStyle w:val="Hyperlink"/>
          </w:rPr>
          <w:t xml:space="preserve">Quickscan IPT, 2019</w:t>
        </w:r>
      </w:hyperlink>
      <w:r>
        <w:t xml:space="preserve">) is een relevant voorbeeld. Het concept van "begeleidingsethiek" in de digitale gezondheidszorg benadrukt de ethische implementatie in plaats van alleen de beoordeling van technologiegebruik. (</w:t>
      </w:r>
      <w:hyperlink w:anchor="ref-31">
        <w:r>
          <w:rPr>
            <w:rStyle w:val="Hyperlink"/>
          </w:rPr>
          <w:t xml:space="preserve">TvPO, z.d.</w:t>
        </w:r>
      </w:hyperlink>
      <w:r>
        <w:t xml:space="preserve">)</w:t>
      </w:r>
    </w:p>
    <w:p>
      <w:pPr>
        <w:pStyle w:val="BodyText"/>
      </w:pPr>
      <w:r>
        <w:t xml:space="preserve">Ook in HR is het ethisch gebruik van werknemersgegevens cruciaal voor het behouden van vertrouwen en het vermijden van discriminerende praktijken op gebieden als werving, prestatie-evaluatie en talentmanagement. (</w:t>
      </w:r>
      <w:hyperlink w:anchor="ref-21">
        <w:r>
          <w:rPr>
            <w:rStyle w:val="Hyperlink"/>
          </w:rPr>
          <w:t xml:space="preserve">Autoriteit Persoonsgegevens, z.d.</w:t>
        </w:r>
      </w:hyperlink>
      <w:r>
        <w:t xml:space="preserve">) Transparantie naar werknemers over dataverzameling en -gebruik is een belangrijk ethisch principe in HR-analyse. (</w:t>
      </w:r>
      <w:hyperlink w:anchor="ref-21">
        <w:r>
          <w:rPr>
            <w:rStyle w:val="Hyperlink"/>
          </w:rPr>
          <w:t xml:space="preserve">Autoriteit Persoonsgegevens, z.d.</w:t>
        </w:r>
      </w:hyperlink>
      <w:r>
        <w:t xml:space="preserve">) De noodzaak van een "moreel datakompas" in people analytics benadrukt de ethische complexiteiten in dit domein. (</w:t>
      </w:r>
      <w:hyperlink w:anchor="ref-32">
        <w:r>
          <w:rPr>
            <w:rStyle w:val="Hyperlink"/>
          </w:rPr>
          <w:t xml:space="preserve">Amsterdam UMC, z.d.</w:t>
        </w:r>
      </w:hyperlink>
      <w:r>
        <w:t xml:space="preserve">)</w:t>
      </w:r>
    </w:p>
    <w:p>
      <w:pPr>
        <w:pStyle w:val="BodyText"/>
      </w:pPr>
    </w:p>
    <w:bookmarkEnd w:id="15"/>
    <w:bookmarkStart w:id="16" w:name="X929253acdd3a6e18a0ef50dc3ee7ce9268906c3"/>
    <w:p>
      <w:pPr>
        <w:pStyle w:val="Heading3"/>
      </w:pPr>
      <w:r>
        <w:t xml:space="preserve">3.2. Nadruk op dataprivacy, beveiliging en naleving van AVG/GDPR in Nederland</w:t>
      </w:r>
    </w:p>
    <w:p>
      <w:pPr>
        <w:pStyle w:val="FirstParagraph"/>
      </w:pPr>
      <w:r>
        <w:t xml:space="preserve">De verwerking van persoonsgegevens, waaronder gezondheidsgegevens, is strikt gereguleerd door de AVG/GDPR, die van toepassing is in de gehele Europese Unie en dus ook in Nederland. (</w:t>
      </w:r>
      <w:hyperlink w:anchor="ref-33">
        <w:r>
          <w:rPr>
            <w:rStyle w:val="Hyperlink"/>
          </w:rPr>
          <w:t xml:space="preserve">AIHR, z.d.</w:t>
        </w:r>
      </w:hyperlink>
      <w:r>
        <w:t xml:space="preserve">) De Autoriteit Persoonsgegevens (AP) is de nationale toezichthoudende autoriteit die verantwoordelijk is voor de handhaving van de AVG in Nederland. (</w:t>
      </w:r>
      <w:hyperlink w:anchor="ref-20">
        <w:r>
          <w:rPr>
            <w:rStyle w:val="Hyperlink"/>
          </w:rPr>
          <w:t xml:space="preserve">Zuci Systems, z.d.</w:t>
        </w:r>
      </w:hyperlink>
      <w:r>
        <w:t xml:space="preserve">)</w:t>
      </w:r>
    </w:p>
    <w:p>
      <w:pPr>
        <w:pStyle w:val="BodyText"/>
      </w:pPr>
      <w:r>
        <w:t xml:space="preserve">De AVG verbiedt de verwerking van gezondheidsgegevens tenzij specifieke uitzonderingen van toepassing zijn, zoals wanneer de verwerking noodzakelijk is voor de verlening van gezondheidszorg in het kader van een behandelovereenkomst of op basis van een wettelijke verplichting. (</w:t>
      </w:r>
      <w:hyperlink w:anchor="ref-33">
        <w:r>
          <w:rPr>
            <w:rStyle w:val="Hyperlink"/>
          </w:rPr>
          <w:t xml:space="preserve">AIHR, z.d.</w:t>
        </w:r>
      </w:hyperlink>
      <w:r>
        <w:t xml:space="preserve">) De Wet op de geneeskundige behandelingsovereenkomst (WGBO) biedt een wettelijke grondslag voor de verwerking van patiëntgegevens voor zorgdoeleinden. (</w:t>
      </w:r>
      <w:hyperlink w:anchor="ref-33">
        <w:r>
          <w:rPr>
            <w:rStyle w:val="Hyperlink"/>
          </w:rPr>
          <w:t xml:space="preserve">AIHR, z.d.</w:t>
        </w:r>
      </w:hyperlink>
      <w:r>
        <w:t xml:space="preserve">)</w:t>
      </w:r>
    </w:p>
    <w:p>
      <w:pPr>
        <w:pStyle w:val="BodyText"/>
      </w:pPr>
      <w:r>
        <w:t xml:space="preserve">Andere grondslagen voor de verwerking van gezondheidsgegevens zijn de uitdrukkelijke toestemming van de patiënt of wanneer de verwerking noodzakelijk is voor een taak van algemeen belang, zoals voor wetenschappelijk onderzoek, onder strikte voorwaarden. (</w:t>
      </w:r>
      <w:hyperlink w:anchor="ref-33">
        <w:r>
          <w:rPr>
            <w:rStyle w:val="Hyperlink"/>
          </w:rPr>
          <w:t xml:space="preserve">AIHR, z.d.</w:t>
        </w:r>
      </w:hyperlink>
      <w:r>
        <w:t xml:space="preserve">) Artikel 24 van de Uitvoeringswet AVG biedt onder voorwaarden een uitzondering op het verbod tot verwerken van gegevens over de gezondheid voor wetenschappelijk onderzoek dat een algemeen belang dient. (</w:t>
      </w:r>
      <w:hyperlink w:anchor="ref-37">
        <w:r>
          <w:rPr>
            <w:rStyle w:val="Hyperlink"/>
          </w:rPr>
          <w:t xml:space="preserve">Universiteit Gent, 2020</w:t>
        </w:r>
      </w:hyperlink>
      <w:r>
        <w:t xml:space="preserve">)</w:t>
      </w:r>
    </w:p>
    <w:p>
      <w:pPr>
        <w:pStyle w:val="BodyText"/>
      </w:pPr>
      <w:r>
        <w:t xml:space="preserve">De AVG benadrukt principes als doelbinding (data mag alleen worden verzameld voor gespecificeerde, expliciete en legitieme doeleinden), dataminimalisatie (alleen noodzakelijke data mag worden verwerkt) en opslagbeperking (data mag niet langer worden bewaard dan noodzakelijk). (</w:t>
      </w:r>
      <w:hyperlink w:anchor="ref-33">
        <w:r>
          <w:rPr>
            <w:rStyle w:val="Hyperlink"/>
          </w:rPr>
          <w:t xml:space="preserve">AIHR, z.d.</w:t>
        </w:r>
      </w:hyperlink>
      <w:r>
        <w:t xml:space="preserve">)</w:t>
      </w:r>
    </w:p>
    <w:p>
      <w:pPr>
        <w:pStyle w:val="BodyText"/>
      </w:pPr>
      <w:r>
        <w:t xml:space="preserve">Organisaties moeten passende technische en organisatorische maatregelen implementeren om de veiligheid en vertrouwelijkheid van persoonsgegevens te waarborgen, inclusief bescherming tegen ongeautoriseerde toegang, onrechtmatige verwerking en onopzettelijk verlies, vernietiging of beschadiging. (</w:t>
      </w:r>
      <w:hyperlink w:anchor="ref-20">
        <w:r>
          <w:rPr>
            <w:rStyle w:val="Hyperlink"/>
          </w:rPr>
          <w:t xml:space="preserve">Zuci Systems, z.d.</w:t>
        </w:r>
      </w:hyperlink>
      <w:r>
        <w:t xml:space="preserve">) Dit omvat het opslaan van gegevens in beveiligde omgevingen zoals Elektronische Patiëntendossiers (EPD's) en het melden van datalekken binnen 72 uur. (</w:t>
      </w:r>
      <w:hyperlink w:anchor="ref-39">
        <w:r>
          <w:rPr>
            <w:rStyle w:val="Hyperlink"/>
          </w:rPr>
          <w:t xml:space="preserve">Data voor gezondheid, 2021</w:t>
        </w:r>
      </w:hyperlink>
      <w:r>
        <w:t xml:space="preserve">)</w:t>
      </w:r>
    </w:p>
    <w:p>
      <w:pPr>
        <w:pStyle w:val="BodyText"/>
      </w:pPr>
      <w:r>
        <w:t xml:space="preserve">Datalekken moeten binnen 72 uur worden gemeld aan de Autoriteit Persoonsgegevens (AP) als ze waarschijnlijk een risico vormen voor de rechten en vrijheden van individuen. (</w:t>
      </w:r>
      <w:hyperlink w:anchor="ref-35">
        <w:r>
          <w:rPr>
            <w:rStyle w:val="Hyperlink"/>
          </w:rPr>
          <w:t xml:space="preserve">Hrpraktijk, z.d.</w:t>
        </w:r>
      </w:hyperlink>
      <w:r>
        <w:t xml:space="preserve">)</w:t>
      </w:r>
    </w:p>
    <w:p>
      <w:pPr>
        <w:pStyle w:val="BodyText"/>
      </w:pPr>
      <w:r>
        <w:t xml:space="preserve">Individuen hebben verschillende rechten onder de AVG, waaronder het recht op inzage in hun persoonsgegevens, rectificatie van onjuiste gegevens, wissing van gegevens in bepaalde omstandigheden, beperking van de verwerking, dataportabiliteit en het recht om bezwaar te maken tegen de verwerking. (</w:t>
      </w:r>
      <w:hyperlink w:anchor="ref-33">
        <w:r>
          <w:rPr>
            <w:rStyle w:val="Hyperlink"/>
          </w:rPr>
          <w:t xml:space="preserve">AIHR, z.d.</w:t>
        </w:r>
      </w:hyperlink>
      <w:r>
        <w:t xml:space="preserve">)</w:t>
      </w:r>
    </w:p>
    <w:p>
      <w:pPr>
        <w:pStyle w:val="BodyText"/>
      </w:pPr>
      <w:r>
        <w:t xml:space="preserve">Voor grootschalige verwerking van gezondheidsgegevens zijn organisaties vaak verplicht een Data Protection Impact Assessment (DPIA) uit te voeren om privacyrisico's te identificeren en te mitigeren. (</w:t>
      </w:r>
      <w:hyperlink w:anchor="ref-20">
        <w:r>
          <w:rPr>
            <w:rStyle w:val="Hyperlink"/>
          </w:rPr>
          <w:t xml:space="preserve">Zuci Systems, z.d.</w:t>
        </w:r>
      </w:hyperlink>
      <w:r>
        <w:t xml:space="preserve">)</w:t>
      </w:r>
    </w:p>
    <w:p>
      <w:pPr>
        <w:pStyle w:val="BodyText"/>
      </w:pPr>
      <w:r>
        <w:t xml:space="preserve">Organisaties die regelmatig en systematisch op grote schaal bijzondere categorieën van persoonsgegevens, zoals gezondheidsgegevens, verwerken, kunnen verplicht zijn een Functionaris voor de Gegevensbescherming (FG) aan te stellen. (</w:t>
      </w:r>
      <w:hyperlink w:anchor="ref-20">
        <w:r>
          <w:rPr>
            <w:rStyle w:val="Hyperlink"/>
          </w:rPr>
          <w:t xml:space="preserve">Zuci Systems, z.d.</w:t>
        </w:r>
      </w:hyperlink>
      <w:r>
        <w:t xml:space="preserve">)</w:t>
      </w:r>
    </w:p>
    <w:p>
      <w:pPr>
        <w:pStyle w:val="BodyText"/>
      </w:pPr>
      <w:r>
        <w:t xml:space="preserve">De COREON Gedragscode Gezondheidsonderzoek biedt verdere richtlijnen voor de toepassing van de AVG/UAVG op gezondheidsonderzoek in Nederland. (</w:t>
      </w:r>
      <w:hyperlink w:anchor="ref-41">
        <w:r>
          <w:rPr>
            <w:rStyle w:val="Hyperlink"/>
          </w:rPr>
          <w:t xml:space="preserve">DAMA NL, 2023</w:t>
        </w:r>
      </w:hyperlink>
      <w:r>
        <w:t xml:space="preserve">) Het Health Data Access Body (HDAB) wordt in Nederland opgericht om de veilige en verantwoorde toegang tot elektronische gezondheidsgegevens voor onderzoek, innovatie en beleid te reguleren, in samenwerking met de AP. (</w:t>
      </w:r>
      <w:hyperlink w:anchor="ref-43">
        <w:r>
          <w:rPr>
            <w:rStyle w:val="Hyperlink"/>
          </w:rPr>
          <w:t xml:space="preserve">Data voor gezondheid, 2024</w:t>
        </w:r>
      </w:hyperlink>
      <w:r>
        <w:t xml:space="preserve">)</w:t>
      </w:r>
    </w:p>
    <w:p>
      <w:pPr>
        <w:pStyle w:val="BodyText"/>
      </w:pPr>
      <w:r>
        <w:t xml:space="preserve">Naleving van de AVG/GDPR zal een fundamentele vereiste zijn voor het HR Healthcare datalab, met name wat betreft de verwerking van patiëntgezondheidsgegevens. Het statuut moet gedetailleerd beschrijven hoe het datalab de principes en verplichtingen van de AVG zal naleven, inclusief het vaststellen van wettelijke grondslagen voor verwerking, het implementeren van beveiligingsmaatregelen, het respecteren van de rechten van betrokkenen en het samenwerken met de Autoriteit Persoonsgegevens. Het statuut dient ook te verwijzen naar relevante nationale richtlijnen zoals de COREON Code en de rol van het HDAB. Het niet naleven van de AVG kan leiden tot aanzienlijke boetes en reputatieschade. Een duidelijk kader voor compliance is essentieel voor de legitimiteit en duurzaamheid van het datalab.</w:t>
      </w:r>
    </w:p>
    <w:p>
      <w:pPr>
        <w:pStyle w:val="BodyText"/>
      </w:pPr>
      <w:r>
        <w:t xml:space="preserve">Om een helder overzicht te bieden van de AVG-principes en hun implicaties voor het HR Healthcare Datalab, is de volgende tabel opgesteld:</w:t>
      </w:r>
    </w:p>
    <w:p>
      <w:pPr>
        <w:pStyle w:val="BodyText"/>
      </w:pPr>
      <w:r>
        <w:rPr>
          <w:b/>
          <w:bCs/>
        </w:rPr>
        <w:t xml:space="preserve">Tabel 1: AVG-principes en implicaties voor het HR Healthcare Datalab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Principe</w:t>
            </w:r>
          </w:p>
        </w:tc>
        <w:tc>
          <w:tcPr/>
          <w:p>
            <w:pPr>
              <w:pStyle w:val="Compact"/>
            </w:pPr>
            <w:r>
              <w:rPr>
                <w:b/>
                <w:bCs/>
              </w:rPr>
              <w:t xml:space="preserve">Uitleg</w:t>
            </w:r>
          </w:p>
        </w:tc>
        <w:tc>
          <w:tcPr/>
          <w:p>
            <w:pPr>
              <w:pStyle w:val="Compact"/>
            </w:pPr>
            <w:r>
              <w:rPr>
                <w:b/>
                <w:bCs/>
              </w:rPr>
              <w:t xml:space="preserve">Implicaties voor het Datalab</w:t>
            </w:r>
          </w:p>
        </w:tc>
      </w:tr>
      <w:tr>
        <w:tc>
          <w:tcPr/>
          <w:p>
            <w:pPr>
              <w:pStyle w:val="Compact"/>
            </w:pPr>
            <w:r>
              <w:t xml:space="preserve">Rechtmatigheid, eerlijkheid en transparantie</w:t>
            </w:r>
          </w:p>
        </w:tc>
        <w:tc>
          <w:tcPr/>
          <w:p>
            <w:pPr>
              <w:pStyle w:val="Compact"/>
            </w:pPr>
            <w:r>
              <w:t xml:space="preserve">Persoonsgegevens moeten rechtmatig, eerlijk en op transparante wijze worden verwerkt ten opzichte van de betrokkene.</w:t>
            </w:r>
          </w:p>
        </w:tc>
        <w:tc>
          <w:tcPr/>
          <w:p>
            <w:pPr>
              <w:pStyle w:val="Compact"/>
            </w:pPr>
            <w:r>
              <w:t xml:space="preserve">Vereist een duidelijke wettelijke basis voor elke verwerking van persoonsgegevens. Betrokkenen moeten op duidelijke en begrijpelijke wijze worden geïnformeerd over de verwerking.</w:t>
            </w:r>
          </w:p>
        </w:tc>
      </w:tr>
      <w:tr>
        <w:tc>
          <w:tcPr/>
          <w:p>
            <w:pPr>
              <w:pStyle w:val="Compact"/>
            </w:pPr>
            <w:r>
              <w:t xml:space="preserve">Doelbinding</w:t>
            </w:r>
          </w:p>
        </w:tc>
        <w:tc>
          <w:tcPr/>
          <w:p>
            <w:pPr>
              <w:pStyle w:val="Compact"/>
            </w:pPr>
            <w:r>
              <w:t xml:space="preserve">Persoonsgegevens mogen alleen worden verzameld voor welbepaalde, uitdrukkelijk omschreven en gerechtvaardigde doeleinden en mogen vervolgens niet verder worden verwerkt op een wijze die onverenigbaar is met die doeleinden.</w:t>
            </w:r>
          </w:p>
        </w:tc>
        <w:tc>
          <w:tcPr/>
          <w:p>
            <w:pPr>
              <w:pStyle w:val="Compact"/>
            </w:pPr>
            <w:r>
              <w:t xml:space="preserve">Onderzoeksprojecten binnen het datalab moeten duidelijke en gerechtvaardigde doeleinden hebben. Data die voor een specifiek project is verzameld, mag niet zomaar voor andere, niet-gerelateerde doeleinden worden gebruikt.</w:t>
            </w:r>
          </w:p>
        </w:tc>
      </w:tr>
      <w:tr>
        <w:tc>
          <w:tcPr/>
          <w:p>
            <w:pPr>
              <w:pStyle w:val="Compact"/>
            </w:pPr>
            <w:r>
              <w:t xml:space="preserve">Dataminimalisatie</w:t>
            </w:r>
          </w:p>
        </w:tc>
        <w:tc>
          <w:tcPr/>
          <w:p>
            <w:pPr>
              <w:pStyle w:val="Compact"/>
            </w:pPr>
            <w:r>
              <w:t xml:space="preserve">De verwerking van persoonsgegevens moet toereikend zijn, ter zake dienend en beperkt tot wat noodzakelijk is voor de doeleinden waarvoor zij worden verwerkt.</w:t>
            </w:r>
          </w:p>
        </w:tc>
        <w:tc>
          <w:tcPr/>
          <w:p>
            <w:pPr>
              <w:pStyle w:val="Compact"/>
            </w:pPr>
            <w:r>
              <w:t xml:space="preserve">Het datalab mag alleen de persoonsgegevens verzamelen en verwerken die strikt noodzakelijk zijn voor het beoogde onderzoek. Onnodige dataverzameling moet worden vermeden.</w:t>
            </w:r>
          </w:p>
        </w:tc>
      </w:tr>
      <w:tr>
        <w:tc>
          <w:tcPr/>
          <w:p>
            <w:pPr>
              <w:pStyle w:val="Compact"/>
            </w:pPr>
            <w:r>
              <w:t xml:space="preserve">Juistheid</w:t>
            </w:r>
          </w:p>
        </w:tc>
        <w:tc>
          <w:tcPr/>
          <w:p>
            <w:pPr>
              <w:pStyle w:val="Compact"/>
            </w:pPr>
            <w:r>
              <w:t xml:space="preserve">Persoonsgegevens moeten juist zijn en zo nodig worden geactualiseerd; er moeten alle redelijke maatregelen worden genomen om persoonsgegevens die, gelet op de doeleinden waarvoor zij worden verwerkt, onjuist zijn, onverwijld te wissen of te rectificeren.</w:t>
            </w:r>
          </w:p>
        </w:tc>
        <w:tc>
          <w:tcPr/>
          <w:p>
            <w:pPr>
              <w:pStyle w:val="Compact"/>
            </w:pPr>
            <w:r>
              <w:t xml:space="preserve">Het datalab moet procedures hebben om de juistheid van de gebruikte data te waarborgen en om betrokkenen in staat te stellen onjuiste data te corrigeren.</w:t>
            </w:r>
          </w:p>
        </w:tc>
      </w:tr>
      <w:tr>
        <w:tc>
          <w:tcPr/>
          <w:p>
            <w:pPr>
              <w:pStyle w:val="Compact"/>
            </w:pPr>
            <w:r>
              <w:t xml:space="preserve">Opslagbeperking</w:t>
            </w:r>
          </w:p>
        </w:tc>
        <w:tc>
          <w:tcPr/>
          <w:p>
            <w:pPr>
              <w:pStyle w:val="Compact"/>
            </w:pPr>
            <w:r>
              <w:t xml:space="preserve">Persoonsgegevens mogen niet langer worden bewaard dan noodzakelijk is voor de doeleinden waarvoor zij worden verwerkt.</w:t>
            </w:r>
          </w:p>
        </w:tc>
        <w:tc>
          <w:tcPr/>
          <w:p>
            <w:pPr>
              <w:pStyle w:val="Compact"/>
            </w:pPr>
            <w:r>
              <w:t xml:space="preserve">Het datalab moet duidelijke bewaartermijnen vaststellen voor verschillende categorieën persoonsgegevens en procedures hebben voor de veilige verwijdering van data wanneer deze niet langer nodig zijn.</w:t>
            </w:r>
          </w:p>
        </w:tc>
      </w:tr>
      <w:tr>
        <w:tc>
          <w:tcPr/>
          <w:p>
            <w:pPr>
              <w:pStyle w:val="Compact"/>
            </w:pPr>
            <w:r>
              <w:t xml:space="preserve">Integriteit en vertrouwelijkheid</w:t>
            </w:r>
          </w:p>
        </w:tc>
        <w:tc>
          <w:tcPr/>
          <w:p>
            <w:pPr>
              <w:pStyle w:val="Compact"/>
            </w:pPr>
            <w:r>
              <w:t xml:space="preserve">Persoonsgegevens moeten op een dusdanige manier worden verwerkt dat een passende beveiliging ervan gewaarborgd is, waaronder bescherming tegen ongeoorloofde of onrechtmatige verwerking en tegen onopzettelijk verlies, vernietiging of beschadiging, door middel van passende technische of organisatorische maatregelen.</w:t>
            </w:r>
          </w:p>
        </w:tc>
        <w:tc>
          <w:tcPr/>
          <w:p>
            <w:pPr>
              <w:pStyle w:val="Compact"/>
            </w:pPr>
            <w:r>
              <w:t xml:space="preserve">Het datalab moet robuuste technische en organisatorische beveiligingsmaatregelen implementeren om de vertrouwelijkheid en integriteit van de data te beschermen. Dit omvat toegangscontrole, encryptie en regelmatige beveiligingsaudits.</w:t>
            </w:r>
          </w:p>
        </w:tc>
      </w:tr>
      <w:tr>
        <w:tc>
          <w:tcPr/>
          <w:p>
            <w:pPr>
              <w:pStyle w:val="Compact"/>
            </w:pPr>
            <w:r>
              <w:t xml:space="preserve">Verantwoordingsplicht</w:t>
            </w:r>
          </w:p>
        </w:tc>
        <w:tc>
          <w:tcPr/>
          <w:p>
            <w:pPr>
              <w:pStyle w:val="Compact"/>
            </w:pPr>
            <w:r>
              <w:t xml:space="preserve">De verwerkingsverantwoordelijke is verantwoordelijk voor de naleving van de voorgaande principes en moet kunnen aantonen dat deze worden nageleefd.</w:t>
            </w:r>
          </w:p>
        </w:tc>
        <w:tc>
          <w:tcPr/>
          <w:p>
            <w:pPr>
              <w:pStyle w:val="Compact"/>
            </w:pPr>
            <w:r>
              <w:t xml:space="preserve">Hogeschool Rotterdam, als verwerkingsverantwoordelijke, moet kunnen aantonen dat het datalab de AVG-principes naleeft. Dit vereist documentatie van beleid en procedures en regelmatige evaluatie van de naleving.</w:t>
            </w:r>
          </w:p>
        </w:tc>
      </w:tr>
    </w:tbl>
    <w:p>
      <w:pPr>
        <w:pStyle w:val="BodyText"/>
      </w:pPr>
    </w:p>
    <w:bookmarkEnd w:id="16"/>
    <w:bookmarkEnd w:id="17"/>
    <w:bookmarkStart w:id="20" w:name="Xf1102addca9f15b65de279081f6c0a9825d15e5"/>
    <w:p>
      <w:pPr>
        <w:pStyle w:val="Heading2"/>
      </w:pPr>
      <w:r>
        <w:t xml:space="preserve">4. Bevordering van Multidisciplinaire Samenwerking</w:t>
      </w:r>
    </w:p>
    <w:p>
      <w:pPr>
        <w:pStyle w:val="FirstParagraph"/>
      </w:pPr>
    </w:p>
    <w:bookmarkStart w:id="18" w:name="X07818f5990e6b0f9d8afec0a086b774c49ffc86"/>
    <w:p>
      <w:pPr>
        <w:pStyle w:val="Heading3"/>
      </w:pPr>
      <w:r>
        <w:t xml:space="preserve">4.1. Best practices voor effectieve samenwerking en kennisuitwisseling</w:t>
      </w:r>
    </w:p>
    <w:p>
      <w:pPr>
        <w:pStyle w:val="FirstParagraph"/>
      </w:pPr>
      <w:r>
        <w:t xml:space="preserve">Effectieve samenwerking en kennisuitwisseling binnen multidisciplinaire teams zijn essentieel voor het succes van het HR Healthcare datalab. Verschillende best practices kunnen hierbij worden gehanteerd. Het is van belang dat multidisciplinaire teams duidelijke en gedeelde doelen en een gemeenschappelijke visie formuleren voor hun projecten binnen het datalab. (</w:t>
      </w:r>
      <w:hyperlink w:anchor="ref-44">
        <w:r>
          <w:rPr>
            <w:rStyle w:val="Hyperlink"/>
          </w:rPr>
          <w:t xml:space="preserve">HR Magazine, z.d.</w:t>
        </w:r>
      </w:hyperlink>
      <w:r>
        <w:t xml:space="preserve">) Dit zorgt ervoor dat alle teamleden op één lijn zitten en naar dezelfde resultaten toewerken. Zo benadrukt onderzoek (</w:t>
      </w:r>
      <w:hyperlink w:anchor="ref-44">
        <w:r>
          <w:rPr>
            <w:rStyle w:val="Hyperlink"/>
          </w:rPr>
          <w:t xml:space="preserve">HR Magazine, z.d.</w:t>
        </w:r>
      </w:hyperlink>
      <w:r>
        <w:t xml:space="preserve">) het belang van een gezamenlijke visie voor effectieve interprofessionele samenwerking in de gezondheidszorg.</w:t>
      </w:r>
    </w:p>
    <w:p>
      <w:pPr>
        <w:pStyle w:val="BodyText"/>
      </w:pPr>
      <w:r>
        <w:t xml:space="preserve">Daarnaast is het cruciaal om de rollen, verantwoordelijkheden en expertise van elk teamlid helder te definiëren. (</w:t>
      </w:r>
      <w:hyperlink w:anchor="ref-48">
        <w:r>
          <w:rPr>
            <w:rStyle w:val="Hyperlink"/>
          </w:rPr>
          <w:t xml:space="preserve">Autoriteit Persoonsgegevens, z.d.</w:t>
        </w:r>
      </w:hyperlink>
      <w:r>
        <w:t xml:space="preserve">) Een goed begrip van wie waarvoor verantwoordelijk is, helpt dubbel werk te voorkomen en waarborgt de verantwoordelijkheid. Het is belangrijk dat elk teamlid zijn of haar rol begrijpt en de bijdragen van anderen waardeert. (</w:t>
      </w:r>
      <w:hyperlink w:anchor="ref-48">
        <w:r>
          <w:rPr>
            <w:rStyle w:val="Hyperlink"/>
          </w:rPr>
          <w:t xml:space="preserve">Autoriteit Persoonsgegevens, z.d.</w:t>
        </w:r>
      </w:hyperlink>
      <w:r>
        <w:t xml:space="preserve">)</w:t>
      </w:r>
    </w:p>
    <w:p>
      <w:pPr>
        <w:pStyle w:val="BodyText"/>
      </w:pPr>
      <w:r>
        <w:t xml:space="preserve">Een omgeving van open, eerlijke en respectvolle communicatie is essentieel voor kennisuitwisseling en het oplossen van conflicten binnen multidisciplinaire teams. (</w:t>
      </w:r>
      <w:hyperlink w:anchor="ref-48">
        <w:r>
          <w:rPr>
            <w:rStyle w:val="Hyperlink"/>
          </w:rPr>
          <w:t xml:space="preserve">Autoriteit Persoonsgegevens, z.d.</w:t>
        </w:r>
      </w:hyperlink>
      <w:r>
        <w:t xml:space="preserve">) Teamleden moeten zich comfortabel voelen om hun ideeën en perspectieven te delen, ook als deze verschillen. Respect in alle interacties en communicatie is hierbij van groot belang. (</w:t>
      </w:r>
      <w:hyperlink w:anchor="ref-49">
        <w:r>
          <w:rPr>
            <w:rStyle w:val="Hyperlink"/>
          </w:rPr>
          <w:t xml:space="preserve">Data voor gezondheid, z.d.</w:t>
        </w:r>
      </w:hyperlink>
      <w:r>
        <w:t xml:space="preserve">)</w:t>
      </w:r>
    </w:p>
    <w:p>
      <w:pPr>
        <w:pStyle w:val="BodyText"/>
      </w:pPr>
      <w:r>
        <w:t xml:space="preserve">Het instellen van regelmatige bijeenkomsten en heldere communicatiekanalen faciliteert continue interactie en stelt teamleden in staat op de hoogte te blijven van de voortgang van projecten, uitdagingen en inzichten. (</w:t>
      </w:r>
      <w:hyperlink w:anchor="ref-44">
        <w:r>
          <w:rPr>
            <w:rStyle w:val="Hyperlink"/>
          </w:rPr>
          <w:t xml:space="preserve">HR Magazine, z.d.</w:t>
        </w:r>
      </w:hyperlink>
      <w:r>
        <w:t xml:space="preserve">) Het gebruik van online samenwerkingstools en het hanteren van eenvoudige en duidelijke taal kunnen de communicatie verder verbeteren, met name voor teams die geografisch verspreid zijn. (</w:t>
      </w:r>
      <w:hyperlink w:anchor="ref-48">
        <w:r>
          <w:rPr>
            <w:rStyle w:val="Hyperlink"/>
          </w:rPr>
          <w:t xml:space="preserve">Autoriteit Persoonsgegevens, z.d.</w:t>
        </w:r>
      </w:hyperlink>
      <w:r>
        <w:t xml:space="preserve">) Multidisciplinair overleg (MDO) wordt in de gezondheidszorg als essentieel voor samenwerking gezien. (</w:t>
      </w:r>
      <w:hyperlink w:anchor="ref-44">
        <w:r>
          <w:rPr>
            <w:rStyle w:val="Hyperlink"/>
          </w:rPr>
          <w:t xml:space="preserve">HR Magazine, z.d.</w:t>
        </w:r>
      </w:hyperlink>
      <w:r>
        <w:t xml:space="preserve">)</w:t>
      </w:r>
    </w:p>
    <w:p>
      <w:pPr>
        <w:pStyle w:val="BodyText"/>
      </w:pPr>
      <w:r>
        <w:t xml:space="preserve">Multidisciplinaire teams bieden leden de kans om van elkaars diverse achtergronden, vaardigheden en perspectieven te leren. (</w:t>
      </w:r>
      <w:hyperlink w:anchor="ref-48">
        <w:r>
          <w:rPr>
            <w:rStyle w:val="Hyperlink"/>
          </w:rPr>
          <w:t xml:space="preserve">Autoriteit Persoonsgegevens, z.d.</w:t>
        </w:r>
      </w:hyperlink>
      <w:r>
        <w:t xml:space="preserve">) Het aanmoedigen van teamleden om hun kennis en expertise te delen, kan leiden tot meer innovatieve en alomvattende oplossingen. De mogelijkheid om kennis en vaardigheden te verbeteren en te verbreden door samen te werken met collega's met verschillende achtergronden wordt expliciet genoemd. (</w:t>
      </w:r>
      <w:hyperlink w:anchor="ref-48">
        <w:r>
          <w:rPr>
            <w:rStyle w:val="Hyperlink"/>
          </w:rPr>
          <w:t xml:space="preserve">Autoriteit Persoonsgegevens, z.d.</w:t>
        </w:r>
      </w:hyperlink>
      <w:r>
        <w:t xml:space="preserve">)</w:t>
      </w:r>
    </w:p>
    <w:p>
      <w:pPr>
        <w:pStyle w:val="BodyText"/>
      </w:pPr>
      <w:r>
        <w:t xml:space="preserve">Teamleden dienen de verschillende standpunten en benaderingen die individuen uit diverse disciplines inbrengen te respecteren en te waarderen. (</w:t>
      </w:r>
      <w:hyperlink w:anchor="ref-48">
        <w:r>
          <w:rPr>
            <w:rStyle w:val="Hyperlink"/>
          </w:rPr>
          <w:t xml:space="preserve">Autoriteit Persoonsgegevens, z.d.</w:t>
        </w:r>
      </w:hyperlink>
      <w:r>
        <w:t xml:space="preserve">) Het erkennen van de unieke bijdragen van elke discipline kan leiden tot een meer holistisch begrip van het probleem en de mogelijke oplossingen. Het is belangrijk te leren dat elke bijdrage waardevol is. (</w:t>
      </w:r>
      <w:hyperlink w:anchor="ref-48">
        <w:r>
          <w:rPr>
            <w:rStyle w:val="Hyperlink"/>
          </w:rPr>
          <w:t xml:space="preserve">Autoriteit Persoonsgegevens, z.d.</w:t>
        </w:r>
      </w:hyperlink>
      <w:r>
        <w:t xml:space="preserve">)</w:t>
      </w:r>
    </w:p>
    <w:p>
      <w:pPr>
        <w:pStyle w:val="BodyText"/>
      </w:pPr>
      <w:r>
        <w:t xml:space="preserve">Effectief teamleiderschap is essentieel voor het begeleiden van multidisciplinaire teams, het faciliteren van samenwerking en het oplossen van conflicten. (</w:t>
      </w:r>
      <w:hyperlink w:anchor="ref-48">
        <w:r>
          <w:rPr>
            <w:rStyle w:val="Hyperlink"/>
          </w:rPr>
          <w:t xml:space="preserve">Autoriteit Persoonsgegevens, z.d.</w:t>
        </w:r>
      </w:hyperlink>
      <w:r>
        <w:t xml:space="preserve">) Leiders spelen een cruciale rol bij het stellen van verwachtingen, het bevorderen van een positieve teamcultuur en het waarborgen dat alle leden zich gewaardeerd en betrokken voelen. Leiders fungeren als belangrijke moderators om machtsstrijd te voorkomen. (</w:t>
      </w:r>
      <w:hyperlink w:anchor="ref-48">
        <w:r>
          <w:rPr>
            <w:rStyle w:val="Hyperlink"/>
          </w:rPr>
          <w:t xml:space="preserve">Autoriteit Persoonsgegevens, z.d.</w:t>
        </w:r>
      </w:hyperlink>
      <w:r>
        <w:t xml:space="preserve">)</w:t>
      </w:r>
    </w:p>
    <w:p>
      <w:pPr>
        <w:pStyle w:val="BodyText"/>
      </w:pPr>
      <w:r>
        <w:t xml:space="preserve">Ten slotte kan het toestaan dat teams zich organisch vormen en hun werkmethoden bottom-up ontwikkelen, een grotere mate van eigenaarschap en betrokkenheid bevorderen. (</w:t>
      </w:r>
      <w:hyperlink w:anchor="ref-44">
        <w:r>
          <w:rPr>
            <w:rStyle w:val="Hyperlink"/>
          </w:rPr>
          <w:t xml:space="preserve">HR Magazine, z.d.</w:t>
        </w:r>
      </w:hyperlink>
      <w:r>
        <w:t xml:space="preserve">) Succesvolle interprofessionele teams ontstaan vaak door een bottom-up proces. (</w:t>
      </w:r>
      <w:hyperlink w:anchor="ref-44">
        <w:r>
          <w:rPr>
            <w:rStyle w:val="Hyperlink"/>
          </w:rPr>
          <w:t xml:space="preserve">HR Magazine, z.d.</w:t>
        </w:r>
      </w:hyperlink>
      <w:r>
        <w:t xml:space="preserve">)</w:t>
      </w:r>
    </w:p>
    <w:p>
      <w:pPr>
        <w:pStyle w:val="BodyText"/>
      </w:pPr>
    </w:p>
    <w:bookmarkEnd w:id="18"/>
    <w:bookmarkStart w:id="19" w:name="X3d88711dc275d9d0ed3d93333dd6cb4ecf42e41"/>
    <w:p>
      <w:pPr>
        <w:pStyle w:val="Heading3"/>
      </w:pPr>
      <w:r>
        <w:t xml:space="preserve">4.2. Rekening houdend met de diverse expertise uit HR- en gezondheidszorgdomeinen</w:t>
      </w:r>
    </w:p>
    <w:p>
      <w:pPr>
        <w:pStyle w:val="FirstParagraph"/>
      </w:pPr>
      <w:r>
        <w:t xml:space="preserve">Om de samenwerking tussen de HR- en gezondheidszorgdomeinen binnen het datalab te optimaliseren, dienen specifieke strategieën te worden overwogen. Het aanmoedigen van projectteams met expertise in zowel HR als gezondheidszorg, naast data scientists en ICT-professionals, is hierbij van groot belang. Deze multidisciplinaire aanpak waarborgt dat projecten profiteren van een breed begrip van de domeinspecifieke uitdagingen en mogelijkheden. Het streven naar "echte interdisciplinaire teams rond complexe problemen" wordt ook in de context van het Life Research Institute benadrukt. (</w:t>
      </w:r>
      <w:hyperlink w:anchor="ref-17">
        <w:r>
          <w:rPr>
            <w:rStyle w:val="Hyperlink"/>
          </w:rPr>
          <w:t xml:space="preserve">Personio, z.d.</w:t>
        </w:r>
      </w:hyperlink>
      <w:r>
        <w:t xml:space="preserve">)</w:t>
      </w:r>
    </w:p>
    <w:p>
      <w:pPr>
        <w:pStyle w:val="BodyText"/>
      </w:pPr>
      <w:r>
        <w:t xml:space="preserve">Het datalab dient toegang te bieden tot speciale samenwerkingsplatforms en tools die communicatie, het delen van bestanden en gezamenlijke projectwerkzaamheden faciliteren. Deze tools moeten gebruiksvriendelijk zijn en toegankelijk voor personen met verschillende niveaus van technische expertise. Personio wordt genoemd als een tool die HR-teams kan helpen effectief samen te werken. (</w:t>
      </w:r>
      <w:hyperlink w:anchor="ref-48">
        <w:r>
          <w:rPr>
            <w:rStyle w:val="Hyperlink"/>
          </w:rPr>
          <w:t xml:space="preserve">Autoriteit Persoonsgegevens, z.d.</w:t>
        </w:r>
      </w:hyperlink>
      <w:r>
        <w:t xml:space="preserve">)</w:t>
      </w:r>
    </w:p>
    <w:p>
      <w:pPr>
        <w:pStyle w:val="BodyText"/>
      </w:pPr>
      <w:r>
        <w:t xml:space="preserve">Regelmatige trainingssessies en workshops die cross-domain leren bevorderen, zijn eveneens essentieel. HR-professionals zouden bijvoorbeeld kunnen leren over basisconcepten van gezondheidszorgdata en gezondheidsprofessionals inzicht kunnen krijgen in HR-data en -processen. Dit helpt de kennisachterstand tussen de twee domeinen te overbruggen en een beter begrip en samenwerking te bevorderen. Het HR Datalab Healthcare van Hogeschool Rotterdam zelf beoogt domeinspecifieke kennis en vaardigheden te ontwikkelen voor alle gezondheidszorggerelateerde opleidingen. (</w:t>
      </w:r>
      <w:hyperlink w:anchor="ref-51">
        <w:r>
          <w:rPr>
            <w:rStyle w:val="Hyperlink"/>
          </w:rPr>
          <w:t xml:space="preserve">Hogeschool Rotterdam, z.d.</w:t>
        </w:r>
      </w:hyperlink>
      <w:r>
        <w:t xml:space="preserve">)</w:t>
      </w:r>
    </w:p>
    <w:p>
      <w:pPr>
        <w:pStyle w:val="BodyText"/>
      </w:pPr>
      <w:r>
        <w:t xml:space="preserve">De implementatie van mentorschapsprogramma's, waarbij ervaren data scientists of domeinexperts personen uit andere disciplines begeleiden en ondersteunen die nieuw zijn in data science of het specifieke domein, kan waardevol zijn. Peer support netwerken kunnen ook nuttig zijn voor het delen van kennis en best practices.</w:t>
      </w:r>
    </w:p>
    <w:p>
      <w:pPr>
        <w:pStyle w:val="BodyText"/>
      </w:pPr>
      <w:r>
        <w:t xml:space="preserve">Het benadrukken van het belang van het betrekken van experts uit zowel HR als gezondheidszorg in de beginfase van probleemdefiniëring en het ontwerpen van oplossingen is cruciaal. Dit waarborgt dat de data science projecten relevante en betekenisvolle uitdagingen aanpakken en dat de voorgestelde oplossingen praktisch en afgestemd zijn op de behoeften van beide domeinen.</w:t>
      </w:r>
    </w:p>
    <w:p>
      <w:pPr>
        <w:pStyle w:val="BodyText"/>
      </w:pPr>
    </w:p>
    <w:bookmarkEnd w:id="19"/>
    <w:bookmarkEnd w:id="20"/>
    <w:bookmarkStart w:id="23" w:name="Xb0139d3e50313800dc72ee0b8692c95c35a47c8"/>
    <w:p>
      <w:pPr>
        <w:pStyle w:val="Heading2"/>
      </w:pPr>
      <w:r>
        <w:t xml:space="preserve">5. De Data Science Stack in HR en Gezondheidszorg</w:t>
      </w:r>
    </w:p>
    <w:p>
      <w:pPr>
        <w:pStyle w:val="FirstParagraph"/>
      </w:pPr>
    </w:p>
    <w:bookmarkStart w:id="21" w:name="X310171b9803a62a68bf3643747e95ebd42fde5d"/>
    <w:p>
      <w:pPr>
        <w:pStyle w:val="Heading3"/>
      </w:pPr>
      <w:r>
        <w:t xml:space="preserve">5.1. Concept en typische organisatie van een DS-stack</w:t>
      </w:r>
    </w:p>
    <w:p>
      <w:pPr>
        <w:pStyle w:val="FirstParagraph"/>
      </w:pPr>
      <w:r>
        <w:t xml:space="preserve">De DS-stack, oorspronkelijk afkomstig uit de softwareontwikkeling, is een conceptueel hulpmiddel dat is gebaseerd op het principe van "separation of concerns" (SoC) [User Query]. Het bestaat uit verticaal gescheiden lagen, elk gericht op een specifieke taak [User Query].</w:t>
      </w:r>
    </w:p>
    <w:p>
      <w:pPr>
        <w:pStyle w:val="BodyText"/>
      </w:pPr>
      <w:r>
        <w:t xml:space="preserve">De onderste lagen richten zich doorgaans op hardwaregerelateerde taken, zoals het opslaan van datasets en het toewijzen van rekenkracht [User Query]. De hoger gelegen lagen vertegenwoordigen gebruikersgerichte taken, waaronder feature engineering en het toepassen van datagedreven modellen, waarvoor software nodig is [User Query].</w:t>
      </w:r>
    </w:p>
    <w:p>
      <w:pPr>
        <w:pStyle w:val="BodyText"/>
      </w:pPr>
      <w:r>
        <w:t xml:space="preserve">In de context van moderne data science projecten, met name in de gezondheidszorg, omvat een typische data stack verschillende sleutelcomponenten (</w:t>
      </w:r>
      <w:hyperlink w:anchor="ref-52">
        <w:r>
          <w:rPr>
            <w:rStyle w:val="Hyperlink"/>
          </w:rPr>
          <w:t xml:space="preserve">ZonMw, z.d.</w:t>
        </w:r>
      </w:hyperlink>
      <w:r>
        <w:t xml:space="preserve">):</w:t>
      </w:r>
    </w:p>
    <w:p>
      <w:pPr>
        <w:numPr>
          <w:ilvl w:val="0"/>
          <w:numId w:val="1011"/>
        </w:numPr>
      </w:pPr>
      <w:r>
        <w:rPr>
          <w:b/>
          <w:bCs/>
        </w:rPr>
        <w:t xml:space="preserve">Data Sources:</w:t>
      </w:r>
      <w:r>
        <w:t xml:space="preserve"> </w:t>
      </w:r>
      <w:r>
        <w:t xml:space="preserve">Diverse systemen en databases waar ruwe data vandaan komt, zoals Elektronische Patiëntendossiers (EPD's), HRIS-systemen, administratieve gegevens, verzekeringsclaims en sensordata. Het Shakudo blog (</w:t>
      </w:r>
      <w:hyperlink w:anchor="ref-52">
        <w:r>
          <w:rPr>
            <w:rStyle w:val="Hyperlink"/>
          </w:rPr>
          <w:t xml:space="preserve">ZonMw, z.d.</w:t>
        </w:r>
      </w:hyperlink>
      <w:r>
        <w:t xml:space="preserve">) noemt specifiek patiëntregistraties, administratieve gegevens, verzekeringsclaims, beeldvorming en labresultaten als bronnen van gezondheidszorgdata.</w:t>
      </w:r>
    </w:p>
    <w:p>
      <w:pPr>
        <w:numPr>
          <w:ilvl w:val="0"/>
          <w:numId w:val="1011"/>
        </w:numPr>
      </w:pPr>
      <w:r>
        <w:rPr>
          <w:b/>
          <w:bCs/>
        </w:rPr>
        <w:t xml:space="preserve">Data Ingestion:</w:t>
      </w:r>
      <w:r>
        <w:t xml:space="preserve"> </w:t>
      </w:r>
      <w:r>
        <w:t xml:space="preserve">Tools en processen voor het verzamelen en overbrengen van data uit deze verschillende bronnen naar een centrale locatie.</w:t>
      </w:r>
    </w:p>
    <w:p>
      <w:pPr>
        <w:numPr>
          <w:ilvl w:val="0"/>
          <w:numId w:val="1011"/>
        </w:numPr>
      </w:pPr>
      <w:r>
        <w:rPr>
          <w:b/>
          <w:bCs/>
        </w:rPr>
        <w:t xml:space="preserve">Data Storage:</w:t>
      </w:r>
      <w:r>
        <w:t xml:space="preserve"> </w:t>
      </w:r>
      <w:r>
        <w:t xml:space="preserve">Schaalbare en veilige dataoplossingen, waaronder datalakes, datawarehouses en cloudgebaseerde opslag. De Data Fabric die in de gebruikersvraag en door het HR Datalab Healthcare wordt genoemd (</w:t>
      </w:r>
      <w:hyperlink w:anchor="ref-51">
        <w:r>
          <w:rPr>
            <w:rStyle w:val="Hyperlink"/>
          </w:rPr>
          <w:t xml:space="preserve">Hogeschool Rotterdam, z.d.</w:t>
        </w:r>
      </w:hyperlink>
      <w:r>
        <w:t xml:space="preserve">) verwijst naar een cloudomgeving voor data science.</w:t>
      </w:r>
    </w:p>
    <w:p>
      <w:pPr>
        <w:numPr>
          <w:ilvl w:val="0"/>
          <w:numId w:val="1011"/>
        </w:numPr>
      </w:pPr>
      <w:r>
        <w:rPr>
          <w:b/>
          <w:bCs/>
        </w:rPr>
        <w:t xml:space="preserve">Data Processing en Transformation:</w:t>
      </w:r>
      <w:r>
        <w:t xml:space="preserve"> </w:t>
      </w:r>
      <w:r>
        <w:t xml:space="preserve">Tools en technologieën voor het opschonen, transformeren en voorbereiden van data voor analyse, zoals ETL-tools (Extract, Transform, Load) en data engineering platforms.</w:t>
      </w:r>
    </w:p>
    <w:p>
      <w:pPr>
        <w:numPr>
          <w:ilvl w:val="0"/>
          <w:numId w:val="1011"/>
        </w:numPr>
      </w:pPr>
      <w:r>
        <w:rPr>
          <w:b/>
          <w:bCs/>
        </w:rPr>
        <w:t xml:space="preserve">Analytics en Machine Learning:</w:t>
      </w:r>
      <w:r>
        <w:t xml:space="preserve"> </w:t>
      </w:r>
      <w:r>
        <w:t xml:space="preserve">Platforms en libraries voor het uitvoeren van statistische analyses, het bouwen van machine learning modellen en het genereren van inzichten. De gebruikersvraag noemt feature engineering en het toepassen van datagedreven modellen als taken op een hoger niveau.</w:t>
      </w:r>
    </w:p>
    <w:p>
      <w:pPr>
        <w:numPr>
          <w:ilvl w:val="0"/>
          <w:numId w:val="1011"/>
        </w:numPr>
      </w:pPr>
      <w:r>
        <w:rPr>
          <w:b/>
          <w:bCs/>
        </w:rPr>
        <w:t xml:space="preserve">Visualization en Business Intelligence:</w:t>
      </w:r>
      <w:r>
        <w:t xml:space="preserve"> </w:t>
      </w:r>
      <w:r>
        <w:t xml:space="preserve">Tools voor het creëren van dashboards, rapporten en interactieve visualisaties om data-inzichten te communiceren naar eindgebruikers. HR analytics platforms bevatten vaak dashboards voor het visualiseren van belangrijke HR-metrics. (</w:t>
      </w:r>
      <w:hyperlink w:anchor="ref-55">
        <w:r>
          <w:rPr>
            <w:rStyle w:val="Hyperlink"/>
          </w:rPr>
          <w:t xml:space="preserve">Shakudo, z.d.</w:t>
        </w:r>
      </w:hyperlink>
      <w:r>
        <w:t xml:space="preserve">)</w:t>
      </w:r>
    </w:p>
    <w:p>
      <w:pPr>
        <w:numPr>
          <w:ilvl w:val="0"/>
          <w:numId w:val="1011"/>
        </w:numPr>
      </w:pPr>
      <w:r>
        <w:rPr>
          <w:b/>
          <w:bCs/>
        </w:rPr>
        <w:t xml:space="preserve">Orchestration en Governance:</w:t>
      </w:r>
      <w:r>
        <w:t xml:space="preserve"> </w:t>
      </w:r>
      <w:r>
        <w:t xml:space="preserve">Systemen voor het beheren en automatiseren van data pipelines, het waarborgen van datakwaliteit, beveiliging en compliance.</w:t>
      </w:r>
    </w:p>
    <w:p>
      <w:pPr>
        <w:pStyle w:val="FirstParagraph"/>
      </w:pPr>
      <w:r>
        <w:t xml:space="preserve">De DS-stack biedt een gestructureerde aanpak voor het beheren van de data lifecycle, van de acquisitie van ruwe data tot bruikbare inzichten. Het statuut dient de algemene architectuur van de DS-stack die beschikbaar zal zijn in het datalab te schetsen, met nadruk op de scheiding van taken en de verschillende betrokken lagen.</w:t>
      </w:r>
    </w:p>
    <w:p>
      <w:pPr>
        <w:pStyle w:val="BodyText"/>
      </w:pPr>
    </w:p>
    <w:bookmarkEnd w:id="21"/>
    <w:bookmarkStart w:id="22" w:name="X0c6f8056d87f14d13a855795af7cad1f675597f"/>
    <w:p>
      <w:pPr>
        <w:pStyle w:val="Heading3"/>
      </w:pPr>
      <w:r>
        <w:t xml:space="preserve">5.2. Relevantie voor data science projecten binnen de gezondheidszorg- en HR-context</w:t>
      </w:r>
    </w:p>
    <w:p>
      <w:pPr>
        <w:pStyle w:val="FirstParagraph"/>
      </w:pPr>
      <w:r>
        <w:t xml:space="preserve">In de context van HR-projecten omvat de DS-stack relevante componenten zoals HRIS-systemen (Human Resource Information Systems) zoals Personio (</w:t>
      </w:r>
      <w:hyperlink w:anchor="ref-48">
        <w:r>
          <w:rPr>
            <w:rStyle w:val="Hyperlink"/>
          </w:rPr>
          <w:t xml:space="preserve">Autoriteit Persoonsgegevens, z.d.</w:t>
        </w:r>
      </w:hyperlink>
      <w:r>
        <w:t xml:space="preserve">), Cegid HR (</w:t>
      </w:r>
      <w:hyperlink w:anchor="ref-57">
        <w:r>
          <w:rPr>
            <w:rStyle w:val="Hyperlink"/>
          </w:rPr>
          <w:t xml:space="preserve">Movisie, 2019</w:t>
        </w:r>
      </w:hyperlink>
      <w:r>
        <w:t xml:space="preserve">) en HRDataHub (</w:t>
      </w:r>
      <w:hyperlink w:anchor="ref-58">
        <w:r>
          <w:rPr>
            <w:rStyle w:val="Hyperlink"/>
          </w:rPr>
          <w:t xml:space="preserve">Gezond en veilig werken, 2024</w:t>
        </w:r>
      </w:hyperlink>
      <w:r>
        <w:t xml:space="preserve">), applicant tracking systems (ATS), performance management systemen, salarisadministratiegegevens, enquêtes over werknemersbetrokkenheid en learning management systemen (LMS). HRDataHub (</w:t>
      </w:r>
      <w:hyperlink w:anchor="ref-58">
        <w:r>
          <w:rPr>
            <w:rStyle w:val="Hyperlink"/>
          </w:rPr>
          <w:t xml:space="preserve">Gezond en veilig werken, 2024</w:t>
        </w:r>
      </w:hyperlink>
      <w:r>
        <w:t xml:space="preserve">) richt zich op HR-metrics op gebieden als werknemersbetrokkenheid, talentacquisitie en arbeidsverhoudingen. Voor de verwerking en analyse worden tools zoals HRDataHub (</w:t>
      </w:r>
      <w:hyperlink w:anchor="ref-58">
        <w:r>
          <w:rPr>
            <w:rStyle w:val="Hyperlink"/>
          </w:rPr>
          <w:t xml:space="preserve">Gezond en veilig werken, 2024</w:t>
        </w:r>
      </w:hyperlink>
      <w:r>
        <w:t xml:space="preserve">) voor benchmarking en analytics, platforms voor people analytics (</w:t>
      </w:r>
      <w:hyperlink w:anchor="ref-2">
        <w:r>
          <w:rPr>
            <w:rStyle w:val="Hyperlink"/>
          </w:rPr>
          <w:t xml:space="preserve">Cultuurloket, 2021</w:t>
        </w:r>
      </w:hyperlink>
      <w:r>
        <w:t xml:space="preserve">) en algemene data science tools zoals Python met libraries als Pandas en Scikit-learn gebruikt. Cegid HR (</w:t>
      </w:r>
      <w:hyperlink w:anchor="ref-57">
        <w:r>
          <w:rPr>
            <w:rStyle w:val="Hyperlink"/>
          </w:rPr>
          <w:t xml:space="preserve">Movisie, 2019</w:t>
        </w:r>
      </w:hyperlink>
      <w:r>
        <w:t xml:space="preserve">) biedt ook functionaliteiten voor talentacquisitie met ingebouwde statistieken.</w:t>
      </w:r>
    </w:p>
    <w:p>
      <w:pPr>
        <w:pStyle w:val="BodyText"/>
      </w:pPr>
      <w:r>
        <w:t xml:space="preserve">Voor projecten in de gezondheidszorg zijn relevante componenten EHR-systemen (Electronic Health Record), medische beeldvormingssystemen (PACS), laboratoriuminformatiesystemen (LIS), patiëntregistraties, data van verzekeringsclaims en data van draagbare apparaten. Het HR Datalab Healthcare van Hogeschool Rotterdam is betrokken bij projecten die gebruikmaken van diverse gezondheidszorgdatabronnen, waaronder Perined-data over pasgeborenen. (</w:t>
      </w:r>
      <w:hyperlink w:anchor="ref-51">
        <w:r>
          <w:rPr>
            <w:rStyle w:val="Hyperlink"/>
          </w:rPr>
          <w:t xml:space="preserve">Hogeschool Rotterdam, z.d.</w:t>
        </w:r>
      </w:hyperlink>
      <w:r>
        <w:t xml:space="preserve">) Voor de verwerking en analyse worden gespecialiseerde gezondheidszorgdataplatforms, business intelligence tools en statistische software zoals R en Python met libraries als SciPy en TensorFlow gebruikt voor medische beeldanalyse of predictieve modellering in de gezondheidszorg. (</w:t>
      </w:r>
      <w:hyperlink w:anchor="ref-1">
        <w:r>
          <w:rPr>
            <w:rStyle w:val="Hyperlink"/>
          </w:rPr>
          <w:t xml:space="preserve">Datalab, z.d.</w:t>
        </w:r>
      </w:hyperlink>
      <w:r>
        <w:t xml:space="preserve">) Het HR Datalab Healthcare maakt gebruik van machine learning voor projecten zoals ACT4FATIGUE en EDSDETECT. (</w:t>
      </w:r>
      <w:hyperlink w:anchor="ref-51">
        <w:r>
          <w:rPr>
            <w:rStyle w:val="Hyperlink"/>
          </w:rPr>
          <w:t xml:space="preserve">Hogeschool Rotterdam, z.d.</w:t>
        </w:r>
      </w:hyperlink>
      <w:r>
        <w:t xml:space="preserve">)</w:t>
      </w:r>
    </w:p>
    <w:p>
      <w:pPr>
        <w:pStyle w:val="BodyText"/>
      </w:pPr>
      <w:r>
        <w:t xml:space="preserve">De DS-stack van het datalab dient de integratie van data uit zowel HR- als gezondheidszorgdomeinen te faciliteren wanneer projecten dit vereisen, met inachtneming van strikte privacy- en beveiligingsprotocollen. Elke laag van de DS-stack moet zodanig geconfigureerd en beheerd worden dat de beveiliging en privacy van gevoelige HR- en gezondheidsgegevens gewaarborgd zijn, met ingebouwde mechanismen voor naleving van regelgeving zoals de AVG/GDPR. Het HR Datalab Healthcare opereert binnen een cloudomgeving voor data science (SURF Data Fabric), wat impliceert dat er aandacht is voor beveiliging. (</w:t>
      </w:r>
      <w:hyperlink w:anchor="ref-51">
        <w:r>
          <w:rPr>
            <w:rStyle w:val="Hyperlink"/>
          </w:rPr>
          <w:t xml:space="preserve">Hogeschool Rotterdam, z.d.</w:t>
        </w:r>
      </w:hyperlink>
      <w:r>
        <w:t xml:space="preserve">)</w:t>
      </w:r>
    </w:p>
    <w:p>
      <w:pPr>
        <w:pStyle w:val="BodyText"/>
      </w:pPr>
    </w:p>
    <w:bookmarkEnd w:id="22"/>
    <w:bookmarkEnd w:id="23"/>
    <w:bookmarkStart w:id="26" w:name="X7129aef62f19b7d3b7d0bd3c8d667bdbc57da8b"/>
    <w:p>
      <w:pPr>
        <w:pStyle w:val="Heading2"/>
      </w:pPr>
      <w:r>
        <w:t xml:space="preserve">6. Identificeren en Mitigeren van Risico's</w:t>
      </w:r>
    </w:p>
    <w:p>
      <w:pPr>
        <w:pStyle w:val="FirstParagraph"/>
      </w:pPr>
    </w:p>
    <w:bookmarkStart w:id="24" w:name="X0ea77f09da9a0d735ef8f0d25e77d482049ebf2"/>
    <w:p>
      <w:pPr>
        <w:pStyle w:val="Heading3"/>
      </w:pPr>
      <w:r>
        <w:t xml:space="preserve">6.1. Potentiële risico's en uitdagingen specifiek voor het omgaan met HR- en gezondheidsgegevens</w:t>
      </w:r>
    </w:p>
    <w:p>
      <w:pPr>
        <w:pStyle w:val="FirstParagraph"/>
      </w:pPr>
      <w:r>
        <w:t xml:space="preserve">Het omgaan met HR- en gezondheidsgegevens in een datalab brengt specifieke risico's en uitdagingen met zich mee. Vanwege de zeer gevoelige aard van HR- en gezondheidsgegevens is het datalab een potentieel doelwit voor datalekken, die ernstige juridische, financiële en reputatieschade kunnen veroorzaken. (</w:t>
      </w:r>
      <w:hyperlink w:anchor="ref-39">
        <w:r>
          <w:rPr>
            <w:rStyle w:val="Hyperlink"/>
          </w:rPr>
          <w:t xml:space="preserve">Data voor gezondheid, 2021</w:t>
        </w:r>
      </w:hyperlink>
      <w:r>
        <w:t xml:space="preserve">) Onderzoek toont aan dat een aanzienlijk percentage organisaties in het afgelopen jaar te maken heeft gehad met verlies van gevoelige data, waaronder persoonlijke en financiële gegevens, evenals intellectueel eigendom. (</w:t>
      </w:r>
      <w:hyperlink w:anchor="ref-61">
        <w:r>
          <w:rPr>
            <w:rStyle w:val="Hyperlink"/>
          </w:rPr>
          <w:t xml:space="preserve">Open Cultuur Data, 2016</w:t>
        </w:r>
      </w:hyperlink>
      <w:r>
        <w:t xml:space="preserve">)</w:t>
      </w:r>
    </w:p>
    <w:p>
      <w:pPr>
        <w:pStyle w:val="BodyText"/>
      </w:pPr>
      <w:r>
        <w:t xml:space="preserve">Onvoldoende beveiligingsmaatregelen, zoals zwakke toegangscontroles, gebrek aan encryptie of inadequate dataopslagpraktijken, kunnen het risico op ongeautoriseerde toegang en datalekken vergroten. (</w:t>
      </w:r>
      <w:hyperlink w:anchor="ref-62">
        <w:r>
          <w:rPr>
            <w:rStyle w:val="Hyperlink"/>
          </w:rPr>
          <w:t xml:space="preserve">SURF, z.d.</w:t>
        </w:r>
      </w:hyperlink>
      <w:r>
        <w:t xml:space="preserve">) Het is essentieel om robuuste beveiligingsmaatregelen te implementeren, zoals encryptie en toegangscontrole bij het beheer van gezondheidszorgdata. (</w:t>
      </w:r>
      <w:hyperlink w:anchor="ref-62">
        <w:r>
          <w:rPr>
            <w:rStyle w:val="Hyperlink"/>
          </w:rPr>
          <w:t xml:space="preserve">SURF, z.d.</w:t>
        </w:r>
      </w:hyperlink>
      <w:r>
        <w:t xml:space="preserve">)</w:t>
      </w:r>
    </w:p>
    <w:p>
      <w:pPr>
        <w:pStyle w:val="BodyText"/>
      </w:pPr>
      <w:r>
        <w:t xml:space="preserve">Daarnaast kan de kwaliteit van HR- en gezondheidsgegevens variëren; de data kan onvolledig, inconsistent of onjuist zijn, wat kan leiden tot onnauwkeurige analyses en onbetrouwbare resultaten. (</w:t>
      </w:r>
      <w:hyperlink w:anchor="ref-62">
        <w:r>
          <w:rPr>
            <w:rStyle w:val="Hyperlink"/>
          </w:rPr>
          <w:t xml:space="preserve">SURF, z.d.</w:t>
        </w:r>
      </w:hyperlink>
      <w:r>
        <w:t xml:space="preserve">) Het principe "garbage in = garbage out" is hierbij een kritische overweging. (</w:t>
      </w:r>
      <w:hyperlink w:anchor="ref-63">
        <w:r>
          <w:rPr>
            <w:rStyle w:val="Hyperlink"/>
          </w:rPr>
          <w:t xml:space="preserve">ADaSci, z.d.</w:t>
        </w:r>
      </w:hyperlink>
      <w:r>
        <w:t xml:space="preserve">) Slechte datakwaliteit, zoals ontbrekende of inconsistente data, kan de resultaten van analyses verstoren. (</w:t>
      </w:r>
      <w:hyperlink w:anchor="ref-62">
        <w:r>
          <w:rPr>
            <w:rStyle w:val="Hyperlink"/>
          </w:rPr>
          <w:t xml:space="preserve">SURF, z.d.</w:t>
        </w:r>
      </w:hyperlink>
      <w:r>
        <w:t xml:space="preserve">)</w:t>
      </w:r>
    </w:p>
    <w:p>
      <w:pPr>
        <w:pStyle w:val="BodyText"/>
      </w:pPr>
      <w:r>
        <w:t xml:space="preserve">Data science modellen die zijn gebaseerd op biased HR- of gezondheidszorgdata kunnen bestaande ongelijkheden en discriminerende praktijken bestendigen en zelfs versterken. (</w:t>
      </w:r>
      <w:hyperlink w:anchor="ref-23">
        <w:r>
          <w:rPr>
            <w:rStyle w:val="Hyperlink"/>
          </w:rPr>
          <w:t xml:space="preserve">Autoriteit Persoonsgegevens, z.d.</w:t>
        </w:r>
      </w:hyperlink>
      <w:r>
        <w:t xml:space="preserve">) Een voorbeeld illustreert hoe niet-diverse trainingsdata kunnen leiden tot biased AI-uitkomsten. (</w:t>
      </w:r>
      <w:hyperlink w:anchor="ref-28">
        <w:r>
          <w:rPr>
            <w:rStyle w:val="Hyperlink"/>
          </w:rPr>
          <w:t xml:space="preserve">Hartwig Medical Foundation, z.d.</w:t>
        </w:r>
      </w:hyperlink>
      <w:r>
        <w:t xml:space="preserve">)</w:t>
      </w:r>
    </w:p>
    <w:p>
      <w:pPr>
        <w:pStyle w:val="BodyText"/>
      </w:pPr>
      <w:r>
        <w:t xml:space="preserve">Gebruikers van het datalab beschikken mogelijk niet over de noodzakelijke expertise op het gebied van data science, ethiek of de specifieke regelgeving die van toepassing is op HR- en gezondheidszorgdata, wat kan leiden tot onbedoelde onjuiste behandeling of misbruik van data. (</w:t>
      </w:r>
      <w:hyperlink w:anchor="ref-62">
        <w:r>
          <w:rPr>
            <w:rStyle w:val="Hyperlink"/>
          </w:rPr>
          <w:t xml:space="preserve">SURF, z.d.</w:t>
        </w:r>
      </w:hyperlink>
      <w:r>
        <w:t xml:space="preserve">) Data-analyse vereist gespecialiseerde vaardigheden waar veel organisaties in de gezondheidszorg moeite mee hebben. (</w:t>
      </w:r>
      <w:hyperlink w:anchor="ref-62">
        <w:r>
          <w:rPr>
            <w:rStyle w:val="Hyperlink"/>
          </w:rPr>
          <w:t xml:space="preserve">SURF, z.d.</w:t>
        </w:r>
      </w:hyperlink>
      <w:r>
        <w:t xml:space="preserve">)</w:t>
      </w:r>
    </w:p>
    <w:p>
      <w:pPr>
        <w:pStyle w:val="BodyText"/>
      </w:pPr>
      <w:r>
        <w:t xml:space="preserve">Data kan ook opgeslagen zijn in verschillende systemen die niet eenvoudig kunnen worden geïntegreerd, wat een alomvattende analyse en samenwerking belemmert. (</w:t>
      </w:r>
      <w:hyperlink w:anchor="ref-62">
        <w:r>
          <w:rPr>
            <w:rStyle w:val="Hyperlink"/>
          </w:rPr>
          <w:t xml:space="preserve">SURF, z.d.</w:t>
        </w:r>
      </w:hyperlink>
      <w:r>
        <w:t xml:space="preserve">) Data-silo's en een gebrek aan interoperabiliteit zijn veelvoorkomende problemen bij het datamanagement in de gezondheidszorg. (</w:t>
      </w:r>
      <w:hyperlink w:anchor="ref-62">
        <w:r>
          <w:rPr>
            <w:rStyle w:val="Hyperlink"/>
          </w:rPr>
          <w:t xml:space="preserve">SURF, z.d.</w:t>
        </w:r>
      </w:hyperlink>
      <w:r>
        <w:t xml:space="preserve">)</w:t>
      </w:r>
    </w:p>
    <w:p>
      <w:pPr>
        <w:pStyle w:val="BodyText"/>
      </w:pPr>
      <w:r>
        <w:t xml:space="preserve">In de context van HR kan het vertrouwen op AI-tools zoals ChatGPT leiden tot het genereren van ongegronde of onjuiste informatie, wat HR-beslissingen negatief kan beïnvloeden. (</w:t>
      </w:r>
      <w:hyperlink w:anchor="ref-25">
        <w:r>
          <w:rPr>
            <w:rStyle w:val="Hyperlink"/>
          </w:rPr>
          <w:t xml:space="preserve">PwC, z.d.</w:t>
        </w:r>
      </w:hyperlink>
      <w:r>
        <w:t xml:space="preserve">) AI-systemen kunnen soms "hallucineren" of incorrecte informatie genereren. (</w:t>
      </w:r>
      <w:hyperlink w:anchor="ref-25">
        <w:r>
          <w:rPr>
            <w:rStyle w:val="Hyperlink"/>
          </w:rPr>
          <w:t xml:space="preserve">PwC, z.d.</w:t>
        </w:r>
      </w:hyperlink>
      <w:r>
        <w:t xml:space="preserve">)</w:t>
      </w:r>
    </w:p>
    <w:p>
      <w:pPr>
        <w:pStyle w:val="BodyText"/>
      </w:pPr>
      <w:r>
        <w:t xml:space="preserve">Collaborateurs kunnen onbedoeld inbreuk maken op bestaande intellectuele eigendomsrechten met betrekking tot data, algoritmen of onderzoeksresultaten als er geen duidelijke richtlijnen zijn vastgesteld. (</w:t>
      </w:r>
      <w:hyperlink w:anchor="ref-64">
        <w:r>
          <w:rPr>
            <w:rStyle w:val="Hyperlink"/>
          </w:rPr>
          <w:t xml:space="preserve">The University of Arizona, z.d.</w:t>
        </w:r>
      </w:hyperlink>
      <w:r>
        <w:t xml:space="preserve">) Het is belangrijk om de datalicenties te begrijpen en de benodigde toestemmingen te verkrijgen bij het gebruik van data uit andere bronnen. (</w:t>
      </w:r>
      <w:hyperlink w:anchor="ref-64">
        <w:r>
          <w:rPr>
            <w:rStyle w:val="Hyperlink"/>
          </w:rPr>
          <w:t xml:space="preserve">The University of Arizona, z.d.</w:t>
        </w:r>
      </w:hyperlink>
      <w:r>
        <w:t xml:space="preserve">)</w:t>
      </w:r>
    </w:p>
    <w:p>
      <w:pPr>
        <w:pStyle w:val="BodyText"/>
      </w:pPr>
      <w:r>
        <w:t xml:space="preserve">Zelfs met veilige data van hoge kwaliteit bestaat het risico dat deze op ethisch discutabele manieren wordt gebruikt, zoals voor surveillance of discriminerende profilering. (</w:t>
      </w:r>
      <w:hyperlink w:anchor="ref-23">
        <w:r>
          <w:rPr>
            <w:rStyle w:val="Hyperlink"/>
          </w:rPr>
          <w:t xml:space="preserve">Autoriteit Persoonsgegevens, z.d.</w:t>
        </w:r>
      </w:hyperlink>
      <w:r>
        <w:t xml:space="preserve">) Er zijn ethische dilemma's rond eerlijkheid, transparantie en verantwoordelijkheid in het algoritmische tijdperk. (</w:t>
      </w:r>
      <w:hyperlink w:anchor="ref-23">
        <w:r>
          <w:rPr>
            <w:rStyle w:val="Hyperlink"/>
          </w:rPr>
          <w:t xml:space="preserve">Autoriteit Persoonsgegevens, z.d.</w:t>
        </w:r>
      </w:hyperlink>
      <w:r>
        <w:t xml:space="preserve">)</w:t>
      </w:r>
    </w:p>
    <w:p>
      <w:pPr>
        <w:pStyle w:val="BodyText"/>
      </w:pPr>
    </w:p>
    <w:bookmarkEnd w:id="24"/>
    <w:bookmarkStart w:id="25" w:name="Xbeb5ca1ae29962d7632d4ffbed708042b3df2d8"/>
    <w:p>
      <w:pPr>
        <w:pStyle w:val="Heading3"/>
      </w:pPr>
      <w:r>
        <w:t xml:space="preserve">6.2. Aanbevolen maatregelen om deze te mitigeren</w:t>
      </w:r>
    </w:p>
    <w:p>
      <w:pPr>
        <w:pStyle w:val="FirstParagraph"/>
      </w:pPr>
      <w:r>
        <w:t xml:space="preserve">Om de geïdentificeerde risico's en uitdagingen te mitigeren en een verantwoorde en ethische werking van het datalab te waarborgen, dienen verschillende maatregelen te worden geïmplementeerd. Het is essentieel om een robuust data governance framework te implementeren dat duidelijke beleidslijnen en procedures omvat voor dataverzameling, opslag, verwerking, toegang en verwijdering, waarbij verantwoording en compliance worden gewaarborgd. (</w:t>
      </w:r>
      <w:hyperlink w:anchor="ref-62">
        <w:r>
          <w:rPr>
            <w:rStyle w:val="Hyperlink"/>
          </w:rPr>
          <w:t xml:space="preserve">SURF, z.d.</w:t>
        </w:r>
      </w:hyperlink>
      <w:r>
        <w:t xml:space="preserve">) Het DAMA Data Science Governance Framework (</w:t>
      </w:r>
      <w:hyperlink w:anchor="ref-66">
        <w:r>
          <w:rPr>
            <w:rStyle w:val="Hyperlink"/>
          </w:rPr>
          <w:t xml:space="preserve">Bytesnet, z.d.</w:t>
        </w:r>
      </w:hyperlink>
      <w:r>
        <w:t xml:space="preserve">) kan hierbij als nuttig model dienen, met nadruk op ethische overwegingen en datakwaliteit gedurende de gehele data science lifecycle.</w:t>
      </w:r>
    </w:p>
    <w:p>
      <w:pPr>
        <w:pStyle w:val="BodyText"/>
      </w:pPr>
      <w:r>
        <w:t xml:space="preserve">Daarnaast moeten data security maatregelen prioriteit krijgen. Dit omvat de implementatie van sterke authenticatie- en autorisatiemechanismen, encryptie voor data in rust en tijdens transport, regelmatige beveiligingsaudits en inbraakdetectiesystemen om ongeautoriseerde toegang te voorkomen. (</w:t>
      </w:r>
      <w:hyperlink w:anchor="ref-62">
        <w:r>
          <w:rPr>
            <w:rStyle w:val="Hyperlink"/>
          </w:rPr>
          <w:t xml:space="preserve">SURF, z.d.</w:t>
        </w:r>
      </w:hyperlink>
      <w:r>
        <w:t xml:space="preserve">) Het d'ROOT datacenter in Groningen (</w:t>
      </w:r>
      <w:hyperlink w:anchor="ref-67">
        <w:r>
          <w:rPr>
            <w:rStyle w:val="Hyperlink"/>
          </w:rPr>
          <w:t xml:space="preserve">Bytesnet, z.d.</w:t>
        </w:r>
      </w:hyperlink>
      <w:r>
        <w:t xml:space="preserve">) biedt een voorbeeld van geavanceerde beveiligingsmaatregelen, waaronder een BORG 4 certificering en biometrische identificatie.</w:t>
      </w:r>
    </w:p>
    <w:p>
      <w:pPr>
        <w:pStyle w:val="BodyText"/>
      </w:pPr>
      <w:r>
        <w:t xml:space="preserve">Het principe van dataminimalisatie en doelbinding moet worden gehandhaafd. Er mogen alleen data worden verzameld die strikt noodzakelijk zijn voor specifieke, legitieme doeleinden, en data mogen niet langer worden bewaard dan vereist. (</w:t>
      </w:r>
      <w:hyperlink w:anchor="ref-34">
        <w:r>
          <w:rPr>
            <w:rStyle w:val="Hyperlink"/>
          </w:rPr>
          <w:t xml:space="preserve">IBM, z.d.</w:t>
        </w:r>
      </w:hyperlink>
      <w:r>
        <w:t xml:space="preserve">)</w:t>
      </w:r>
    </w:p>
    <w:p>
      <w:pPr>
        <w:pStyle w:val="BodyText"/>
      </w:pPr>
      <w:r>
        <w:t xml:space="preserve">Waar mogelijk moeten anonymisering- en pseudonymiseringstechnieken worden toegepast om de risico's van individuele identificatie te verminderen bij het werken met gevoelige HR- en gezondheidsgegevens. (</w:t>
      </w:r>
      <w:hyperlink w:anchor="ref-33">
        <w:r>
          <w:rPr>
            <w:rStyle w:val="Hyperlink"/>
          </w:rPr>
          <w:t xml:space="preserve">AIHR, z.d.</w:t>
        </w:r>
      </w:hyperlink>
      <w:r>
        <w:t xml:space="preserve">) Genetische data wordt bijvoorbeeld vaak gecodeerd om de privacy te beschermen. (</w:t>
      </w:r>
      <w:hyperlink w:anchor="ref-30">
        <w:r>
          <w:rPr>
            <w:rStyle w:val="Hyperlink"/>
          </w:rPr>
          <w:t xml:space="preserve">Quickscan IPT, 2019</w:t>
        </w:r>
      </w:hyperlink>
      <w:r>
        <w:t xml:space="preserve">)</w:t>
      </w:r>
    </w:p>
    <w:p>
      <w:pPr>
        <w:pStyle w:val="BodyText"/>
      </w:pPr>
      <w:r>
        <w:t xml:space="preserve">Het aanbieden van uitgebreide trainings- en bewustwordingsprogramma's aan alle gebruikers van het datalab is cruciaal. Deze programma's moeten regelmatige trainingen omvatten over wetgeving inzake dataprivacy (AVG/GDPR), ethische overwegingen, best practices voor databeveiliging en procedures voor verantwoorde datahantering. (</w:t>
      </w:r>
      <w:hyperlink w:anchor="ref-21">
        <w:r>
          <w:rPr>
            <w:rStyle w:val="Hyperlink"/>
          </w:rPr>
          <w:t xml:space="preserve">Autoriteit Persoonsgegevens, z.d.</w:t>
        </w:r>
      </w:hyperlink>
      <w:r>
        <w:t xml:space="preserve">) Het is belangrijk om personeel te trainen in de correcte en ethische omgang met data. (</w:t>
      </w:r>
      <w:hyperlink w:anchor="ref-62">
        <w:r>
          <w:rPr>
            <w:rStyle w:val="Hyperlink"/>
          </w:rPr>
          <w:t xml:space="preserve">SURF, z.d.</w:t>
        </w:r>
      </w:hyperlink>
      <w:r>
        <w:t xml:space="preserve">)</w:t>
      </w:r>
    </w:p>
    <w:p>
      <w:pPr>
        <w:pStyle w:val="BodyText"/>
      </w:pPr>
      <w:r>
        <w:t xml:space="preserve">Er moeten duidelijke protocollen worden opgesteld voor data-toegang en -uitwisseling. Dit omvat een goed gedefinieerd proces voor het aanvragen, verlenen en monitoren van toegang tot data binnen het datalab, waarbij gebruikers alleen toegang krijgen tot de data die ze nodig hebben voor hun projecten [User Query]. Er zijn procedures voor het aanvragen en goedkeuren van toegang tot een datalab (</w:t>
      </w:r>
      <w:hyperlink w:anchor="ref-70">
        <w:r>
          <w:rPr>
            <w:rStyle w:val="Hyperlink"/>
          </w:rPr>
          <w:t xml:space="preserve">Tilburg University, z.d.</w:t>
        </w:r>
      </w:hyperlink>
      <w:r>
        <w:t xml:space="preserve">), inclusief het aanvragen van specifieke acties zoals het toevoegen van gebruikers of het vergroten van de labomvang.</w:t>
      </w:r>
    </w:p>
    <w:p>
      <w:pPr>
        <w:pStyle w:val="BodyText"/>
      </w:pPr>
      <w:r>
        <w:t xml:space="preserve">De implementatie van data quality checks en validatieprocessen is noodzakelijk om de nauwkeurigheid, volledigheid en consistentie van de HR- en gezondheidszorgdata die in het datalab worden gebruikt te waarborgen. (</w:t>
      </w:r>
      <w:hyperlink w:anchor="ref-28">
        <w:r>
          <w:rPr>
            <w:rStyle w:val="Hyperlink"/>
          </w:rPr>
          <w:t xml:space="preserve">Hartwig Medical Foundation, z.d.</w:t>
        </w:r>
      </w:hyperlink>
      <w:r>
        <w:t xml:space="preserve">) Het is belangrijk om ervoor te zorgen dat data nauwkeurig, volledig, consistent en actueel is. (</w:t>
      </w:r>
      <w:hyperlink w:anchor="ref-28">
        <w:r>
          <w:rPr>
            <w:rStyle w:val="Hyperlink"/>
          </w:rPr>
          <w:t xml:space="preserve">Hartwig Medical Foundation, z.d.</w:t>
        </w:r>
      </w:hyperlink>
      <w:r>
        <w:t xml:space="preserve">)</w:t>
      </w:r>
    </w:p>
    <w:p>
      <w:pPr>
        <w:pStyle w:val="BodyText"/>
      </w:pPr>
      <w:r>
        <w:t xml:space="preserve">Er moeten strategieën worden geïmplementeerd voor het detecteren en mitigeren van bias in data en algoritmen, om eerlijkheid en gelijkheid in data science projecten te waarborgen. (</w:t>
      </w:r>
      <w:hyperlink w:anchor="ref-26">
        <w:r>
          <w:rPr>
            <w:rStyle w:val="Hyperlink"/>
          </w:rPr>
          <w:t xml:space="preserve">Elsi Servicedesk, z.d.</w:t>
        </w:r>
      </w:hyperlink>
      <w:r>
        <w:t xml:space="preserve">) Equality testing kan worden gebruikt om algoritmeresultaten te vergelijken tussen verschillende demografische groepen. (</w:t>
      </w:r>
      <w:hyperlink w:anchor="ref-26">
        <w:r>
          <w:rPr>
            <w:rStyle w:val="Hyperlink"/>
          </w:rPr>
          <w:t xml:space="preserve">Elsi Servicedesk, z.d.</w:t>
        </w:r>
      </w:hyperlink>
      <w:r>
        <w:t xml:space="preserve">)</w:t>
      </w:r>
    </w:p>
    <w:p>
      <w:pPr>
        <w:pStyle w:val="BodyText"/>
      </w:pPr>
      <w:r>
        <w:t xml:space="preserve">Het ontwikkelen van een duidelijk beleid inzake intellectueel eigendom is essentieel. Dit beleid moet de eigendom, gebruiksrechten en richtlijnen voor het delen van intellectueel eigendom dat binnen het datalab wordt gegenereerd, met name in samenwerkingsprojecten, beschrijven om geschillen te voorkomen en een correcte bronvermelding te waarborgen. (</w:t>
      </w:r>
      <w:hyperlink w:anchor="ref-64">
        <w:r>
          <w:rPr>
            <w:rStyle w:val="Hyperlink"/>
          </w:rPr>
          <w:t xml:space="preserve">The University of Arizona, z.d.</w:t>
        </w:r>
      </w:hyperlink>
      <w:r>
        <w:t xml:space="preserve">) Vroege afspraken over intellectueel eigendom zijn cruciaal in onderzoekssamenwerkingen. (</w:t>
      </w:r>
      <w:hyperlink w:anchor="ref-65">
        <w:r>
          <w:rPr>
            <w:rStyle w:val="Hyperlink"/>
          </w:rPr>
          <w:t xml:space="preserve">Business Management Daily, 2023</w:t>
        </w:r>
      </w:hyperlink>
      <w:r>
        <w:t xml:space="preserve">)</w:t>
      </w:r>
    </w:p>
    <w:p>
      <w:pPr>
        <w:pStyle w:val="BodyText"/>
      </w:pPr>
      <w:r>
        <w:t xml:space="preserve">Het overwegen van een ethisch beoordelingsproces voor data science projecten die gevoelige HR- en gezondheidszorgdata omvatten, kan helpen om potentiële ethische bezwaren te identificeren en aan te pakken voordat ze zich voordoen. (</w:t>
      </w:r>
      <w:hyperlink w:anchor="ref-26">
        <w:r>
          <w:rPr>
            <w:rStyle w:val="Hyperlink"/>
          </w:rPr>
          <w:t xml:space="preserve">Elsi Servicedesk, z.d.</w:t>
        </w:r>
      </w:hyperlink>
      <w:r>
        <w:t xml:space="preserve">) Het gebruik van een ethische commissie in HR AI-projecten wordt genoemd. (</w:t>
      </w:r>
      <w:hyperlink w:anchor="ref-27">
        <w:r>
          <w:rPr>
            <w:rStyle w:val="Hyperlink"/>
          </w:rPr>
          <w:t xml:space="preserve">MST, 2020</w:t>
        </w:r>
      </w:hyperlink>
      <w:r>
        <w:t xml:space="preserve">)</w:t>
      </w:r>
    </w:p>
    <w:p>
      <w:pPr>
        <w:pStyle w:val="BodyText"/>
      </w:pPr>
      <w:r>
        <w:t xml:space="preserve">Ten slotte is het van belang om een gedetailleerd responsplan voor datalekken te ontwikkelen voor het detecteren, reageren op en melden van datalekken in overeenstemming met de vereisten van de AVG/GDPR. (</w:t>
      </w:r>
      <w:hyperlink w:anchor="ref-35">
        <w:r>
          <w:rPr>
            <w:rStyle w:val="Hyperlink"/>
          </w:rPr>
          <w:t xml:space="preserve">Hrpraktijk, z.d.</w:t>
        </w:r>
      </w:hyperlink>
      <w:r>
        <w:t xml:space="preserve">) Dit plan moet procedures omvatten voor het informeren van de Autoriteit Persoonsgegevens en de betrokken individuen.</w:t>
      </w:r>
    </w:p>
    <w:p>
      <w:pPr>
        <w:pStyle w:val="BodyText"/>
      </w:pPr>
    </w:p>
    <w:bookmarkEnd w:id="25"/>
    <w:bookmarkEnd w:id="26"/>
    <w:bookmarkStart w:id="29" w:name="X6d624ce0309bb22368b08a39d46a972312317e4"/>
    <w:p>
      <w:pPr>
        <w:pStyle w:val="Heading2"/>
      </w:pPr>
      <w:r>
        <w:t xml:space="preserve">7. Omgangsregels voor Datalab Gebruikers</w:t>
      </w:r>
    </w:p>
    <w:p>
      <w:pPr>
        <w:pStyle w:val="FirstParagraph"/>
      </w:pPr>
    </w:p>
    <w:bookmarkStart w:id="27" w:name="Xf96e09ede91e1f82523bbcc643562348523f5bb"/>
    <w:p>
      <w:pPr>
        <w:pStyle w:val="Heading3"/>
      </w:pPr>
      <w:r>
        <w:t xml:space="preserve">7.1. Vaststellen van duidelijke "omgangsregels" of een gedragscode</w:t>
      </w:r>
    </w:p>
    <w:p>
      <w:pPr>
        <w:pStyle w:val="FirstParagraph"/>
      </w:pPr>
      <w:r>
        <w:t xml:space="preserve">Het statuut dient een alomvattende gedragscode te bevatten die het verwachte gedrag en de verantwoordelijkheden van alle gebruikers van het HR Healthcare datalab beschrijft. Deze code dient gebaseerd te zijn op principes van respect, ethisch handelen, verantwoorde datahantering en samenwerking.</w:t>
      </w:r>
    </w:p>
    <w:p>
      <w:pPr>
        <w:pStyle w:val="BodyText"/>
      </w:pPr>
      <w:r>
        <w:t xml:space="preserve">Voorbeelden van algemene omgangsregels die van toepassing zijn op het datalab zijn:</w:t>
      </w:r>
    </w:p>
    <w:p>
      <w:pPr>
        <w:numPr>
          <w:ilvl w:val="0"/>
          <w:numId w:val="1012"/>
        </w:numPr>
      </w:pPr>
      <w:r>
        <w:t xml:space="preserve">Behandel alle datalab gebruikers en medewerkers met respect en hoffelijkheid. (</w:t>
      </w:r>
      <w:hyperlink w:anchor="ref-49">
        <w:r>
          <w:rPr>
            <w:rStyle w:val="Hyperlink"/>
          </w:rPr>
          <w:t xml:space="preserve">Data voor gezondheid, z.d.</w:t>
        </w:r>
      </w:hyperlink>
      <w:r>
        <w:t xml:space="preserve">) Voorbeelden van algemene gedragsregels die respect en non-discriminatie benadrukken zijn beschikbaar. (</w:t>
      </w:r>
      <w:hyperlink w:anchor="ref-72">
        <w:r>
          <w:rPr>
            <w:rStyle w:val="Hyperlink"/>
          </w:rPr>
          <w:t xml:space="preserve">Rijksuniversiteit Groningen, z.d.</w:t>
        </w:r>
      </w:hyperlink>
      <w:r>
        <w:t xml:space="preserve">) Ook de Stanford Data Science gedragscode (</w:t>
      </w:r>
      <w:hyperlink w:anchor="ref-49">
        <w:r>
          <w:rPr>
            <w:rStyle w:val="Hyperlink"/>
          </w:rPr>
          <w:t xml:space="preserve">Data voor gezondheid, z.d.</w:t>
        </w:r>
      </w:hyperlink>
      <w:r>
        <w:t xml:space="preserve">) benadrukt het waarderen van elkaars ideeën en respectvolle interacties.</w:t>
      </w:r>
    </w:p>
    <w:p>
      <w:pPr>
        <w:numPr>
          <w:ilvl w:val="0"/>
          <w:numId w:val="1012"/>
        </w:numPr>
      </w:pPr>
      <w:r>
        <w:t xml:space="preserve">Waardeer diverse ideeën, stijlen en standpunten. (</w:t>
      </w:r>
      <w:hyperlink w:anchor="ref-49">
        <w:r>
          <w:rPr>
            <w:rStyle w:val="Hyperlink"/>
          </w:rPr>
          <w:t xml:space="preserve">Data voor gezondheid, z.d.</w:t>
        </w:r>
      </w:hyperlink>
      <w:r>
        <w:t xml:space="preserve">)</w:t>
      </w:r>
    </w:p>
    <w:p>
      <w:pPr>
        <w:numPr>
          <w:ilvl w:val="0"/>
          <w:numId w:val="1012"/>
        </w:numPr>
      </w:pPr>
      <w:r>
        <w:t xml:space="preserve">Communiceer open en professioneel, vermijd waar mogelijk technisch jargon. (</w:t>
      </w:r>
      <w:hyperlink w:anchor="ref-48">
        <w:r>
          <w:rPr>
            <w:rStyle w:val="Hyperlink"/>
          </w:rPr>
          <w:t xml:space="preserve">Autoriteit Persoonsgegevens, z.d.</w:t>
        </w:r>
      </w:hyperlink>
      <w:r>
        <w:t xml:space="preserve">) Het gebruik van eenvoudige en duidelijke taal om uitsluiting te voorkomen wordt geadviseerd. (</w:t>
      </w:r>
      <w:hyperlink w:anchor="ref-48">
        <w:r>
          <w:rPr>
            <w:rStyle w:val="Hyperlink"/>
          </w:rPr>
          <w:t xml:space="preserve">Autoriteit Persoonsgegevens, z.d.</w:t>
        </w:r>
      </w:hyperlink>
      <w:r>
        <w:t xml:space="preserve">)</w:t>
      </w:r>
    </w:p>
    <w:p>
      <w:pPr>
        <w:numPr>
          <w:ilvl w:val="0"/>
          <w:numId w:val="1012"/>
        </w:numPr>
      </w:pPr>
      <w:r>
        <w:t xml:space="preserve">Wees inclusief en moedig deelname van alle teamleden aan. (</w:t>
      </w:r>
      <w:hyperlink w:anchor="ref-49">
        <w:r>
          <w:rPr>
            <w:rStyle w:val="Hyperlink"/>
          </w:rPr>
          <w:t xml:space="preserve">Data voor gezondheid, z.d.</w:t>
        </w:r>
      </w:hyperlink>
      <w:r>
        <w:t xml:space="preserve">) Het is belangrijk om alle stemmen te horen en nieuwe perspectieven te betrekken. (</w:t>
      </w:r>
      <w:hyperlink w:anchor="ref-49">
        <w:r>
          <w:rPr>
            <w:rStyle w:val="Hyperlink"/>
          </w:rPr>
          <w:t xml:space="preserve">Data voor gezondheid, z.d.</w:t>
        </w:r>
      </w:hyperlink>
      <w:r>
        <w:t xml:space="preserve">)</w:t>
      </w:r>
    </w:p>
    <w:p>
      <w:pPr>
        <w:numPr>
          <w:ilvl w:val="0"/>
          <w:numId w:val="1012"/>
        </w:numPr>
      </w:pPr>
      <w:r>
        <w:t xml:space="preserve">Respecteer de privacy en vertrouwelijkheid van alle data en informatie die binnen het datalab wordt geraadpleegd. (</w:t>
      </w:r>
      <w:hyperlink w:anchor="ref-72">
        <w:r>
          <w:rPr>
            <w:rStyle w:val="Hyperlink"/>
          </w:rPr>
          <w:t xml:space="preserve">Rijksuniversiteit Groningen, z.d.</w:t>
        </w:r>
      </w:hyperlink>
      <w:r>
        <w:t xml:space="preserve">) Het respecteren van de privacy en grenzen van anderen wordt benadrukt. (</w:t>
      </w:r>
      <w:hyperlink w:anchor="ref-72">
        <w:r>
          <w:rPr>
            <w:rStyle w:val="Hyperlink"/>
          </w:rPr>
          <w:t xml:space="preserve">Rijksuniversiteit Groningen, z.d.</w:t>
        </w:r>
      </w:hyperlink>
      <w:r>
        <w:t xml:space="preserve">)</w:t>
      </w:r>
    </w:p>
    <w:p>
      <w:pPr>
        <w:numPr>
          <w:ilvl w:val="0"/>
          <w:numId w:val="1012"/>
        </w:numPr>
      </w:pPr>
      <w:r>
        <w:t xml:space="preserve">Houd u aan alle beleidslijnen en procedures inzake dataprivacy en -beveiliging. (</w:t>
      </w:r>
      <w:hyperlink w:anchor="ref-75">
        <w:r>
          <w:rPr>
            <w:rStyle w:val="Hyperlink"/>
          </w:rPr>
          <w:t xml:space="preserve">ALLEA, 2018</w:t>
        </w:r>
      </w:hyperlink>
      <w:r>
        <w:t xml:space="preserve">)</w:t>
      </w:r>
    </w:p>
    <w:p>
      <w:pPr>
        <w:numPr>
          <w:ilvl w:val="0"/>
          <w:numId w:val="1012"/>
        </w:numPr>
      </w:pPr>
      <w:r>
        <w:t xml:space="preserve">Gebruik de middelen van het datalab op verantwoorde en ethische wijze. (</w:t>
      </w:r>
      <w:hyperlink w:anchor="ref-75">
        <w:r>
          <w:rPr>
            <w:rStyle w:val="Hyperlink"/>
          </w:rPr>
          <w:t xml:space="preserve">ALLEA, 2018</w:t>
        </w:r>
      </w:hyperlink>
      <w:r>
        <w:t xml:space="preserve">) Data scientists dienen hun professionele activiteiten verantwoordelijk uit te voeren. (</w:t>
      </w:r>
      <w:hyperlink w:anchor="ref-76">
        <w:r>
          <w:rPr>
            <w:rStyle w:val="Hyperlink"/>
          </w:rPr>
          <w:t xml:space="preserve">ALLEA, 2023</w:t>
        </w:r>
      </w:hyperlink>
      <w:r>
        <w:t xml:space="preserve">)</w:t>
      </w:r>
    </w:p>
    <w:p>
      <w:pPr>
        <w:numPr>
          <w:ilvl w:val="0"/>
          <w:numId w:val="1012"/>
        </w:numPr>
      </w:pPr>
      <w:r>
        <w:t xml:space="preserve">Meld vermoedelijke beveiligingsinbreuken of ethische schendingen onmiddellijk. (</w:t>
      </w:r>
      <w:hyperlink w:anchor="ref-75">
        <w:r>
          <w:rPr>
            <w:rStyle w:val="Hyperlink"/>
          </w:rPr>
          <w:t xml:space="preserve">ALLEA, 2018</w:t>
        </w:r>
      </w:hyperlink>
      <w:r>
        <w:t xml:space="preserve">)</w:t>
      </w:r>
    </w:p>
    <w:p>
      <w:pPr>
        <w:numPr>
          <w:ilvl w:val="0"/>
          <w:numId w:val="1012"/>
        </w:numPr>
      </w:pPr>
      <w:r>
        <w:t xml:space="preserve">Erken de bijdragen en het intellectueel eigendom van anderen. (</w:t>
      </w:r>
      <w:hyperlink w:anchor="ref-74">
        <w:r>
          <w:rPr>
            <w:rStyle w:val="Hyperlink"/>
          </w:rPr>
          <w:t xml:space="preserve">Emerce, z.d.</w:t>
        </w:r>
      </w:hyperlink>
      <w:r>
        <w:t xml:space="preserve">) Het is de verantwoordelijkheid om de ethische verplichtingen van leden van andere disciplines te respecteren en hun bijdragen te erkennen. (</w:t>
      </w:r>
      <w:hyperlink w:anchor="ref-76">
        <w:r>
          <w:rPr>
            <w:rStyle w:val="Hyperlink"/>
          </w:rPr>
          <w:t xml:space="preserve">ALLEA, 2023</w:t>
        </w:r>
      </w:hyperlink>
      <w:r>
        <w:t xml:space="preserve">)</w:t>
      </w:r>
    </w:p>
    <w:p>
      <w:pPr>
        <w:numPr>
          <w:ilvl w:val="0"/>
          <w:numId w:val="1012"/>
        </w:numPr>
      </w:pPr>
      <w:r>
        <w:t xml:space="preserve">Geef het goede voorbeeld door een positieve en professionele omgeving te bevorderen. (</w:t>
      </w:r>
      <w:hyperlink w:anchor="ref-49">
        <w:r>
          <w:rPr>
            <w:rStyle w:val="Hyperlink"/>
          </w:rPr>
          <w:t xml:space="preserve">Data voor gezondheid, z.d.</w:t>
        </w:r>
      </w:hyperlink>
      <w:r>
        <w:t xml:space="preserve">)</w:t>
      </w:r>
    </w:p>
    <w:p>
      <w:pPr>
        <w:pStyle w:val="FirstParagraph"/>
      </w:pPr>
    </w:p>
    <w:bookmarkEnd w:id="27"/>
    <w:bookmarkStart w:id="28" w:name="X06e967553b1a4a2918c487465eec16d269d11e9"/>
    <w:p>
      <w:pPr>
        <w:pStyle w:val="Heading3"/>
      </w:pPr>
      <w:r>
        <w:t xml:space="preserve">7.2. Gebaseerd op voorbeelden gebruikt in professionele samenwerkingsverbanden met gevoelige data</w:t>
      </w:r>
    </w:p>
    <w:p>
      <w:pPr>
        <w:pStyle w:val="FirstParagraph"/>
      </w:pPr>
      <w:r>
        <w:t xml:space="preserve">Specifieke omgangsregels die zijn afgestemd op de context van gevoelige HR- en gezondheidsgegevens zijn essentieel om de risico's te beperken en een verantwoorde datahantering binnen het datalab te waarborgen. Deze regels kunnen de volgende aspecten omvatten:</w:t>
      </w:r>
    </w:p>
    <w:p>
      <w:pPr>
        <w:numPr>
          <w:ilvl w:val="0"/>
          <w:numId w:val="1013"/>
        </w:numPr>
      </w:pPr>
      <w:r>
        <w:rPr>
          <w:b/>
          <w:bCs/>
        </w:rPr>
        <w:t xml:space="preserve">Data-toegang en -gebruik:</w:t>
      </w:r>
      <w:r>
        <w:t xml:space="preserve"> </w:t>
      </w:r>
      <w:r>
        <w:t xml:space="preserve">Gebruikers mogen alleen toegang hebben tot de data die noodzakelijk is voor hun goedgekeurde projecten. Data mag uitsluitend worden gebruikt voor de doeleinden die in het projectvoorstel zijn beschreven en goedgekeurd door het bestuur van het datalab. (</w:t>
      </w:r>
      <w:hyperlink w:anchor="ref-74">
        <w:r>
          <w:rPr>
            <w:rStyle w:val="Hyperlink"/>
          </w:rPr>
          <w:t xml:space="preserve">Emerce, z.d.</w:t>
        </w:r>
      </w:hyperlink>
      <w:r>
        <w:t xml:space="preserve">) Pogingen om individuen te identificeren uit geanonimiseerde of gepseudonimiseerde data zijn niet toegestaan. Data mogen niet buiten de beveiligde omgeving van het datalab worden gekopieerd, overgedragen of gedeeld zonder expliciete toestemming.</w:t>
      </w:r>
    </w:p>
    <w:p>
      <w:pPr>
        <w:numPr>
          <w:ilvl w:val="0"/>
          <w:numId w:val="1013"/>
        </w:numPr>
      </w:pPr>
      <w:r>
        <w:rPr>
          <w:b/>
          <w:bCs/>
        </w:rPr>
        <w:t xml:space="preserve">Samenwerking en Communicatie:</w:t>
      </w:r>
      <w:r>
        <w:t xml:space="preserve"> </w:t>
      </w:r>
      <w:r>
        <w:t xml:space="preserve">Werk respectvol en constructief samen met teamleden van diverse achtergronden. (</w:t>
      </w:r>
      <w:hyperlink w:anchor="ref-74">
        <w:r>
          <w:rPr>
            <w:rStyle w:val="Hyperlink"/>
          </w:rPr>
          <w:t xml:space="preserve">Emerce, z.d.</w:t>
        </w:r>
      </w:hyperlink>
      <w:r>
        <w:t xml:space="preserve">) Deel kennis en inzichten openlijk binnen het projectteam, met respect voor vertrouwelijkheidsovereenkomsten. (</w:t>
      </w:r>
      <w:hyperlink w:anchor="ref-74">
        <w:r>
          <w:rPr>
            <w:rStyle w:val="Hyperlink"/>
          </w:rPr>
          <w:t xml:space="preserve">Emerce, z.d.</w:t>
        </w:r>
      </w:hyperlink>
      <w:r>
        <w:t xml:space="preserve">) Vermijd elke vorm van intimidatie of discriminatie op basis van irrelevante persoonlijke kenmerken. (</w:t>
      </w:r>
      <w:hyperlink w:anchor="ref-74">
        <w:r>
          <w:rPr>
            <w:rStyle w:val="Hyperlink"/>
          </w:rPr>
          <w:t xml:space="preserve">Emerce, z.d.</w:t>
        </w:r>
      </w:hyperlink>
      <w:r>
        <w:t xml:space="preserve">)</w:t>
      </w:r>
    </w:p>
    <w:p>
      <w:pPr>
        <w:numPr>
          <w:ilvl w:val="0"/>
          <w:numId w:val="1013"/>
        </w:numPr>
      </w:pPr>
      <w:r>
        <w:rPr>
          <w:b/>
          <w:bCs/>
        </w:rPr>
        <w:t xml:space="preserve">Ethische Bedenkingen en Schendingen:</w:t>
      </w:r>
      <w:r>
        <w:t xml:space="preserve"> </w:t>
      </w:r>
      <w:r>
        <w:t xml:space="preserve">Gebruikers zijn verplicht om vermoedelijke ethische bedenkingen, datalekken of beveiligingsincidenten onmiddellijk te melden aan de aangewezen contactpersoon binnen het datalab. Klokkenluiders die te goeder trouw melding maken van bezorgdheden, worden beschermd tegen represailles. (</w:t>
      </w:r>
      <w:hyperlink w:anchor="ref-73">
        <w:r>
          <w:rPr>
            <w:rStyle w:val="Hyperlink"/>
          </w:rPr>
          <w:t xml:space="preserve">De Haagse Hogeschool, z.d.</w:t>
        </w:r>
      </w:hyperlink>
      <w:r>
        <w:t xml:space="preserve">)</w:t>
      </w:r>
    </w:p>
    <w:p>
      <w:pPr>
        <w:numPr>
          <w:ilvl w:val="0"/>
          <w:numId w:val="1013"/>
        </w:numPr>
      </w:pPr>
      <w:r>
        <w:rPr>
          <w:b/>
          <w:bCs/>
        </w:rPr>
        <w:t xml:space="preserve">Gevolgen van Overtredingen:</w:t>
      </w:r>
      <w:r>
        <w:t xml:space="preserve"> </w:t>
      </w:r>
      <w:r>
        <w:t xml:space="preserve">Overtredingen van de gedragscode kunnen leiden tot tijdelijke of permanente schorsing van de toegang tot de middelen van het datalab. Ernstige overtredingen, zoals opzettelijke datalekken of onethisch gebruik van data, kunnen leiden tot verdere disciplinaire maatregelen conform het beleid van Hogeschool Rotterdam.</w:t>
      </w:r>
    </w:p>
    <w:p>
      <w:pPr>
        <w:numPr>
          <w:ilvl w:val="0"/>
          <w:numId w:val="1013"/>
        </w:numPr>
      </w:pPr>
      <w:r>
        <w:rPr>
          <w:b/>
          <w:bCs/>
        </w:rPr>
        <w:t xml:space="preserve">Vertrouwelijkheid en Beveiliging:</w:t>
      </w:r>
      <w:r>
        <w:t xml:space="preserve"> </w:t>
      </w:r>
      <w:r>
        <w:t xml:space="preserve">Gebruikers moeten de vertrouwelijkheid van alle gevoelige data en projectgerelateerde informatie die binnen het datalab wordt geraadpleegd, waarborgen. (</w:t>
      </w:r>
      <w:hyperlink w:anchor="ref-74">
        <w:r>
          <w:rPr>
            <w:rStyle w:val="Hyperlink"/>
          </w:rPr>
          <w:t xml:space="preserve">Emerce, z.d.</w:t>
        </w:r>
      </w:hyperlink>
      <w:r>
        <w:t xml:space="preserve">) Gebruikers zijn verantwoordelijk voor de beveiliging van hun inloggegevens en voor het naleven van alle beveiligingsprotocollen voor toegang tot en gebruik van de infrastructuur van het datalab.</w:t>
      </w:r>
    </w:p>
    <w:p>
      <w:pPr>
        <w:numPr>
          <w:ilvl w:val="0"/>
          <w:numId w:val="1013"/>
        </w:numPr>
      </w:pPr>
      <w:r>
        <w:rPr>
          <w:b/>
          <w:bCs/>
        </w:rPr>
        <w:t xml:space="preserve">Intellectueel Eigendom:</w:t>
      </w:r>
      <w:r>
        <w:t xml:space="preserve"> </w:t>
      </w:r>
      <w:r>
        <w:t xml:space="preserve">Respecteer de rechten op intellectueel eigendom en houd u aan de richtlijnen voor data-gebruik en -uitwisseling zoals beschreven in samenwerkingsovereenkomsten. (</w:t>
      </w:r>
      <w:hyperlink w:anchor="ref-74">
        <w:r>
          <w:rPr>
            <w:rStyle w:val="Hyperlink"/>
          </w:rPr>
          <w:t xml:space="preserve">Emerce, z.d.</w:t>
        </w:r>
      </w:hyperlink>
      <w:r>
        <w:t xml:space="preserve">) Citeer alle databronnen, tools en methodologieën die in projecten worden gebruikt op de juiste wijze.</w:t>
      </w:r>
    </w:p>
    <w:p>
      <w:pPr>
        <w:pStyle w:val="FirstParagraph"/>
      </w:pPr>
      <w:r>
        <w:t xml:space="preserve">Om de verwachte gedragingen binnen het datalab te verduidelijken, is de volgende tabel met omgangsregels opgesteld:</w:t>
      </w:r>
    </w:p>
    <w:p>
      <w:pPr>
        <w:pStyle w:val="BodyText"/>
      </w:pPr>
      <w:r>
        <w:rPr>
          <w:b/>
          <w:bCs/>
        </w:rPr>
        <w:t xml:space="preserve">Tabel 2: Omgangsregels voor Datalab Gebruikers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Regelcategorie</w:t>
            </w:r>
          </w:p>
        </w:tc>
        <w:tc>
          <w:tcPr/>
          <w:p>
            <w:pPr>
              <w:pStyle w:val="Compact"/>
            </w:pPr>
            <w:r>
              <w:rPr>
                <w:b/>
                <w:bCs/>
              </w:rPr>
              <w:t xml:space="preserve">Specifieke Regel</w:t>
            </w:r>
          </w:p>
        </w:tc>
      </w:tr>
      <w:tr>
        <w:tc>
          <w:tcPr/>
          <w:p>
            <w:pPr>
              <w:pStyle w:val="Compact"/>
            </w:pPr>
            <w:r>
              <w:t xml:space="preserve">Data Privacy</w:t>
            </w:r>
          </w:p>
        </w:tc>
        <w:tc>
          <w:tcPr/>
          <w:p>
            <w:pPr>
              <w:pStyle w:val="Compact"/>
            </w:pPr>
            <w:r>
              <w:t xml:space="preserve">Alleen toegang tot noodzakelijke data.</w:t>
            </w:r>
          </w:p>
        </w:tc>
      </w:tr>
      <w:tr>
        <w:tc>
          <w:tcPr/>
          <w:p>
            <w:pPr>
              <w:pStyle w:val="Compact"/>
            </w:pPr>
          </w:p>
        </w:tc>
        <w:tc>
          <w:tcPr/>
          <w:p>
            <w:pPr>
              <w:pStyle w:val="Compact"/>
            </w:pPr>
            <w:r>
              <w:t xml:space="preserve">Geen pogingen tot re-identificatie van geanonimiseerde data.</w:t>
            </w:r>
          </w:p>
        </w:tc>
      </w:tr>
      <w:tr>
        <w:tc>
          <w:tcPr/>
          <w:p>
            <w:pPr>
              <w:pStyle w:val="Compact"/>
            </w:pPr>
          </w:p>
        </w:tc>
        <w:tc>
          <w:tcPr/>
          <w:p>
            <w:pPr>
              <w:pStyle w:val="Compact"/>
            </w:pPr>
            <w:r>
              <w:t xml:space="preserve">Data niet kopiëren of delen buiten de beveiligde omgeving zonder toestemming.</w:t>
            </w:r>
          </w:p>
        </w:tc>
      </w:tr>
      <w:tr>
        <w:tc>
          <w:tcPr/>
          <w:p>
            <w:pPr>
              <w:pStyle w:val="Compact"/>
            </w:pPr>
            <w:r>
              <w:t xml:space="preserve">Samenwerking</w:t>
            </w:r>
          </w:p>
        </w:tc>
        <w:tc>
          <w:tcPr/>
          <w:p>
            <w:pPr>
              <w:pStyle w:val="Compact"/>
            </w:pPr>
            <w:r>
              <w:t xml:space="preserve">Respectvolle en constructieve communicatie.</w:t>
            </w:r>
          </w:p>
        </w:tc>
      </w:tr>
      <w:tr>
        <w:tc>
          <w:tcPr/>
          <w:p>
            <w:pPr>
              <w:pStyle w:val="Compact"/>
            </w:pPr>
          </w:p>
        </w:tc>
        <w:tc>
          <w:tcPr/>
          <w:p>
            <w:pPr>
              <w:pStyle w:val="Compact"/>
            </w:pPr>
            <w:r>
              <w:t xml:space="preserve">Open kennisdeling binnen het projectteam.</w:t>
            </w:r>
          </w:p>
        </w:tc>
      </w:tr>
      <w:tr>
        <w:tc>
          <w:tcPr/>
          <w:p>
            <w:pPr>
              <w:pStyle w:val="Compact"/>
            </w:pPr>
          </w:p>
        </w:tc>
        <w:tc>
          <w:tcPr/>
          <w:p>
            <w:pPr>
              <w:pStyle w:val="Compact"/>
            </w:pPr>
            <w:r>
              <w:t xml:space="preserve">Vermijd intimidatie en discriminatie.</w:t>
            </w:r>
          </w:p>
        </w:tc>
      </w:tr>
      <w:tr>
        <w:tc>
          <w:tcPr/>
          <w:p>
            <w:pPr>
              <w:pStyle w:val="Compact"/>
            </w:pPr>
            <w:r>
              <w:t xml:space="preserve">Beveiliging</w:t>
            </w:r>
          </w:p>
        </w:tc>
        <w:tc>
          <w:tcPr/>
          <w:p>
            <w:pPr>
              <w:pStyle w:val="Compact"/>
            </w:pPr>
            <w:r>
              <w:t xml:space="preserve">Meld vermoedelijke beveiligingsinbreuken direct.</w:t>
            </w:r>
          </w:p>
        </w:tc>
      </w:tr>
      <w:tr>
        <w:tc>
          <w:tcPr/>
          <w:p>
            <w:pPr>
              <w:pStyle w:val="Compact"/>
            </w:pPr>
          </w:p>
        </w:tc>
        <w:tc>
          <w:tcPr/>
          <w:p>
            <w:pPr>
              <w:pStyle w:val="Compact"/>
            </w:pPr>
            <w:r>
              <w:t xml:space="preserve">Bescherm inloggegevens en volg beveiligingsprotocollen.</w:t>
            </w:r>
          </w:p>
        </w:tc>
      </w:tr>
      <w:tr>
        <w:tc>
          <w:tcPr/>
          <w:p>
            <w:pPr>
              <w:pStyle w:val="Compact"/>
            </w:pPr>
            <w:r>
              <w:t xml:space="preserve">Intellectueel Eigendom</w:t>
            </w:r>
          </w:p>
        </w:tc>
        <w:tc>
          <w:tcPr/>
          <w:p>
            <w:pPr>
              <w:pStyle w:val="Compact"/>
            </w:pPr>
            <w:r>
              <w:t xml:space="preserve">Respecteer IP-rechten en citeer bronnen correct.</w:t>
            </w:r>
          </w:p>
        </w:tc>
      </w:tr>
      <w:tr>
        <w:tc>
          <w:tcPr/>
          <w:p>
            <w:pPr>
              <w:pStyle w:val="Compact"/>
            </w:pPr>
          </w:p>
        </w:tc>
        <w:tc>
          <w:tcPr/>
          <w:p>
            <w:pPr>
              <w:pStyle w:val="Compact"/>
            </w:pPr>
            <w:r>
              <w:t xml:space="preserve">Houd u aan richtlijnen voor data-gebruik en -uitwisseling.</w:t>
            </w:r>
          </w:p>
        </w:tc>
      </w:tr>
      <w:tr>
        <w:tc>
          <w:tcPr/>
          <w:p>
            <w:pPr>
              <w:pStyle w:val="Compact"/>
            </w:pPr>
            <w:r>
              <w:t xml:space="preserve">Algemeen Gedrag</w:t>
            </w:r>
          </w:p>
        </w:tc>
        <w:tc>
          <w:tcPr/>
          <w:p>
            <w:pPr>
              <w:pStyle w:val="Compact"/>
            </w:pPr>
            <w:r>
              <w:t xml:space="preserve">Behandel alle gebruikers en medewerkers met respect.</w:t>
            </w:r>
          </w:p>
        </w:tc>
      </w:tr>
      <w:tr>
        <w:tc>
          <w:tcPr/>
          <w:p>
            <w:pPr>
              <w:pStyle w:val="Compact"/>
            </w:pPr>
          </w:p>
        </w:tc>
        <w:tc>
          <w:tcPr/>
          <w:p>
            <w:pPr>
              <w:pStyle w:val="Compact"/>
            </w:pPr>
            <w:r>
              <w:t xml:space="preserve">Meld ethische bezwaren onmiddellijk.</w:t>
            </w:r>
          </w:p>
        </w:tc>
      </w:tr>
      <w:tr>
        <w:tc>
          <w:tcPr/>
          <w:p>
            <w:pPr>
              <w:pStyle w:val="Compact"/>
            </w:pPr>
          </w:p>
        </w:tc>
        <w:tc>
          <w:tcPr/>
          <w:p>
            <w:pPr>
              <w:pStyle w:val="Compact"/>
            </w:pPr>
            <w:r>
              <w:t xml:space="preserve">Gebruik datalab middelen ethisch en verantwoordelijk.</w:t>
            </w:r>
          </w:p>
        </w:tc>
      </w:tr>
    </w:tbl>
    <w:p>
      <w:pPr>
        <w:pStyle w:val="BodyText"/>
      </w:pPr>
    </w:p>
    <w:bookmarkEnd w:id="28"/>
    <w:bookmarkEnd w:id="29"/>
    <w:bookmarkStart w:id="32" w:name="X8cf0485debc32456d1d7499558bbc0cffbf9f2f"/>
    <w:p>
      <w:pPr>
        <w:pStyle w:val="Heading2"/>
      </w:pPr>
      <w:r>
        <w:t xml:space="preserve">8. Beheer van Intellectueel Eigendom</w:t>
      </w:r>
    </w:p>
    <w:p>
      <w:pPr>
        <w:pStyle w:val="FirstParagraph"/>
      </w:pPr>
    </w:p>
    <w:bookmarkStart w:id="30" w:name="X7e41cea66618db7c1bde4afaf0314f298c4ee31"/>
    <w:p>
      <w:pPr>
        <w:pStyle w:val="Heading3"/>
      </w:pPr>
      <w:r>
        <w:t xml:space="preserve">8.1. Richtlijnen voor het beheer en de uitwisseling van intellectueel eigendom</w:t>
      </w:r>
    </w:p>
    <w:p>
      <w:pPr>
        <w:pStyle w:val="FirstParagraph"/>
      </w:pPr>
      <w:r>
        <w:t xml:space="preserve">Intellectueel eigendom (IE) dat binnen het HR Healthcare datalab wordt gegenereerd, kan bestaan uit data-analysemethoden, algoritmen, softwarecode, onderzoeksresultaten en rapporten. (</w:t>
      </w:r>
      <w:hyperlink w:anchor="ref-78">
        <w:r>
          <w:rPr>
            <w:rStyle w:val="Hyperlink"/>
          </w:rPr>
          <w:t xml:space="preserve">Data Science Collective, z.d.</w:t>
        </w:r>
      </w:hyperlink>
      <w:r>
        <w:t xml:space="preserve">) De eigendom van IE die voortkomt uit projecten binnen het datalab dient aan het begin van elk project duidelijk te worden vastgelegd middels samenwerkingsovereenkomsten of andere formele documentatie. (</w:t>
      </w:r>
      <w:hyperlink w:anchor="ref-65">
        <w:r>
          <w:rPr>
            <w:rStyle w:val="Hyperlink"/>
          </w:rPr>
          <w:t xml:space="preserve">Business Management Daily, 2023</w:t>
        </w:r>
      </w:hyperlink>
      <w:r>
        <w:t xml:space="preserve">) Deze overeenkomsten dienen de rechten en verantwoordelijkheden van alle betrokken partijen te specificeren, waaronder onderzoekers, Hogeschool Rotterdam en eventuele externe samenwerkingspartners.</w:t>
      </w:r>
    </w:p>
    <w:p>
      <w:pPr>
        <w:pStyle w:val="BodyText"/>
      </w:pPr>
      <w:r>
        <w:t xml:space="preserve">In het algemeen blijven ruwe HR- en gezondheidsgegevens die door externe entiteiten worden verstrekt, het intellectueel eigendom van die entiteiten. (</w:t>
      </w:r>
      <w:hyperlink w:anchor="ref-64">
        <w:r>
          <w:rPr>
            <w:rStyle w:val="Hyperlink"/>
          </w:rPr>
          <w:t xml:space="preserve">The University of Arizona, z.d.</w:t>
        </w:r>
      </w:hyperlink>
      <w:r>
        <w:t xml:space="preserve">) Onderzoekers en projectteams worden aangemoedigd om open access principes te overwegen voor de verspreiding van hun onderzoeksresultaten, waar dit passend is, met inachtneming van de vertrouwelijkheid van gevoelige data en eventuele reeds bestaande IE-rechten. (</w:t>
      </w:r>
      <w:hyperlink w:anchor="ref-64">
        <w:r>
          <w:rPr>
            <w:rStyle w:val="Hyperlink"/>
          </w:rPr>
          <w:t xml:space="preserve">The University of Arizona, z.d.</w:t>
        </w:r>
      </w:hyperlink>
      <w:r>
        <w:t xml:space="preserve">)</w:t>
      </w:r>
    </w:p>
    <w:p>
      <w:pPr>
        <w:pStyle w:val="BodyText"/>
      </w:pPr>
      <w:r>
        <w:t xml:space="preserve">Het statuut dient procedures te beschrijven voor het documenteren en mogelijk beschermen van IE dat binnen het datalab wordt gegenereerd, bijvoorbeeld door middel van copyrightregistratie of patenten, waar dit van toepassing is en in overeenstemming met het IE-beleid van Hogeschool Rotterdam. (</w:t>
      </w:r>
      <w:hyperlink w:anchor="ref-64">
        <w:r>
          <w:rPr>
            <w:rStyle w:val="Hyperlink"/>
          </w:rPr>
          <w:t xml:space="preserve">The University of Arizona, z.d.</w:t>
        </w:r>
      </w:hyperlink>
      <w:r>
        <w:t xml:space="preserve">) Er dienen richtlijnen te worden opgesteld voor het gebruik van data, software of algoritmen van derden binnen het datalab, waarbij naleving van licentieovereenkomsten en correcte bronvermelding worden gewaarborgd. (</w:t>
      </w:r>
      <w:hyperlink w:anchor="ref-64">
        <w:r>
          <w:rPr>
            <w:rStyle w:val="Hyperlink"/>
          </w:rPr>
          <w:t xml:space="preserve">The University of Arizona, z.d.</w:t>
        </w:r>
      </w:hyperlink>
      <w:r>
        <w:t xml:space="preserve">)</w:t>
      </w:r>
    </w:p>
    <w:p>
      <w:pPr>
        <w:pStyle w:val="BodyText"/>
      </w:pPr>
    </w:p>
    <w:bookmarkEnd w:id="30"/>
    <w:bookmarkStart w:id="31" w:name="X998b63685bf6e88461063bbd86d72add5fafe3e"/>
    <w:p>
      <w:pPr>
        <w:pStyle w:val="Heading3"/>
      </w:pPr>
      <w:r>
        <w:t xml:space="preserve">8.2. Rekening houdend met de vertrouwelijke aard van HR- en gezondheidsgegevens</w:t>
      </w:r>
    </w:p>
    <w:p>
      <w:pPr>
        <w:pStyle w:val="FirstParagraph"/>
      </w:pPr>
      <w:r>
        <w:t xml:space="preserve">Elke publicatie of uitwisseling van onderzoeksresultaten die zijn afgeleid van gevoelige HR- of gezondheidsgegevens dient een beoordelingsproces te ondergaan om te waarborgen dat de vertrouwelijkheid wordt gehandhaafd en dat geen persoonlijke of bedrijfseigen informatie zonder de juiste toestemming wordt vrijgegeven. Data-gebruiksovereenkomsten dienen de beperkingen op het gebruik en de uitwisseling van de data te specificeren, inclusief beperkingen op commerciële exploitatie of overdracht aan onbevoegde derden. Projectteams die met gevoelige data werken, kunnen worden verplicht tot het ondertekenen van geheimhoudingsovereenkomsten (NDA's) om de vertrouwelijkheid van de data en de projectresultaten te beschermen. (</w:t>
      </w:r>
      <w:hyperlink w:anchor="ref-78">
        <w:r>
          <w:rPr>
            <w:rStyle w:val="Hyperlink"/>
          </w:rPr>
          <w:t xml:space="preserve">Data Science Collective, z.d.</w:t>
        </w:r>
      </w:hyperlink>
      <w:r>
        <w:t xml:space="preserve">) Bij het delen van onderzoeksresultaten, zoals publicaties of presentaties, dienen onderzoekers passende maatregelen te nemen om de data te anonimiseren of te aggregeren om de identificatie van individuen of de openbaarmaking van gevoelige informatie te voorkomen. (</w:t>
      </w:r>
      <w:hyperlink w:anchor="ref-69">
        <w:r>
          <w:rPr>
            <w:rStyle w:val="Hyperlink"/>
          </w:rPr>
          <w:t xml:space="preserve">Teradata, 2018</w:t>
        </w:r>
      </w:hyperlink>
      <w:r>
        <w:t xml:space="preserve">) Het statuut dient het belang te benadrukken van het balanceren van open science principes met de noodzaak om de vertrouwelijkheid van HR- en gezondheidsgegevens en het bijbehorende intellectueel eigendom te beschermen. De FAIR-principes (Findable, Accessible, Interoperable, Re-usable) dienen te worden overwogen in de context van datagevoeligheid. (</w:t>
      </w:r>
      <w:hyperlink w:anchor="ref-69">
        <w:r>
          <w:rPr>
            <w:rStyle w:val="Hyperlink"/>
          </w:rPr>
          <w:t xml:space="preserve">Teradata, 2018</w:t>
        </w:r>
      </w:hyperlink>
      <w:r>
        <w:t xml:space="preserve">)</w:t>
      </w:r>
    </w:p>
    <w:p>
      <w:pPr>
        <w:pStyle w:val="BodyText"/>
      </w:pPr>
    </w:p>
    <w:bookmarkEnd w:id="31"/>
    <w:bookmarkEnd w:id="32"/>
    <w:bookmarkStart w:id="34" w:name="X5fa7ed727ae827c26969ba5ebee5f6798f6f7db"/>
    <w:p>
      <w:pPr>
        <w:pStyle w:val="Heading2"/>
      </w:pPr>
      <w:r>
        <w:t xml:space="preserve">9. Procedures voor Toegang tot het Datalab</w:t>
      </w:r>
    </w:p>
    <w:p>
      <w:pPr>
        <w:pStyle w:val="FirstParagraph"/>
      </w:pPr>
    </w:p>
    <w:bookmarkStart w:id="33" w:name="Xff0abf1c4de8e56e87f7f59266f1bb23b5c34df"/>
    <w:p>
      <w:pPr>
        <w:pStyle w:val="Heading3"/>
      </w:pPr>
      <w:r>
        <w:t xml:space="preserve">9.1. Beschrijving van de typische procedures voor het aanvragen en verkrijgen van toegang</w:t>
      </w:r>
    </w:p>
    <w:p>
      <w:pPr>
        <w:pStyle w:val="FirstParagraph"/>
      </w:pPr>
      <w:r>
        <w:t xml:space="preserve">Toegang tot het HR Healthcare datalab dient te worden verleend op basis van een formele aanvraagprocedure om te waarborgen dat gebruikers een legitieme behoefte hebben aan de middelen en hun verantwoordelijkheden met betrekking tot dataprivacy en -beveiliging begrijpen. (</w:t>
      </w:r>
      <w:hyperlink w:anchor="ref-18">
        <w:r>
          <w:rPr>
            <w:rStyle w:val="Hyperlink"/>
          </w:rPr>
          <w:t xml:space="preserve">GoNXT, z.d.</w:t>
        </w:r>
      </w:hyperlink>
      <w:r>
        <w:t xml:space="preserve">) De aanvraagprocedure kan de volgende stappen omvatten:</w:t>
      </w:r>
    </w:p>
    <w:p>
      <w:pPr>
        <w:numPr>
          <w:ilvl w:val="0"/>
          <w:numId w:val="1014"/>
        </w:numPr>
      </w:pPr>
      <w:r>
        <w:rPr>
          <w:b/>
          <w:bCs/>
        </w:rPr>
        <w:t xml:space="preserve">Indienen van een aanvraag:</w:t>
      </w:r>
      <w:r>
        <w:t xml:space="preserve"> </w:t>
      </w:r>
      <w:r>
        <w:t xml:space="preserve">Geïnteresseerden dienen een formeel aanvraagformulier in, online of fysiek, met vermelding van hun affiliatie (bijv. student, docent, onderzoeker), hun projectvoorstel, de specifieke HR- en gezondheidszorgdatasets waartoe ze toegang nodig hebben en een motivatie voor hun behoefte. (</w:t>
      </w:r>
      <w:hyperlink w:anchor="ref-18">
        <w:r>
          <w:rPr>
            <w:rStyle w:val="Hyperlink"/>
          </w:rPr>
          <w:t xml:space="preserve">GoNXT, z.d.</w:t>
        </w:r>
      </w:hyperlink>
      <w:r>
        <w:t xml:space="preserve">)</w:t>
      </w:r>
    </w:p>
    <w:p>
      <w:pPr>
        <w:numPr>
          <w:ilvl w:val="0"/>
          <w:numId w:val="1014"/>
        </w:numPr>
      </w:pPr>
      <w:r>
        <w:rPr>
          <w:b/>
          <w:bCs/>
        </w:rPr>
        <w:t xml:space="preserve">Beoordeling en goedkeuring:</w:t>
      </w:r>
      <w:r>
        <w:t xml:space="preserve"> </w:t>
      </w:r>
      <w:r>
        <w:t xml:space="preserve">Een aangewezen bestuursorgaan of toegangscommissie beoordeelt de aanvraag op doelbinding, proportionaliteit, ethische aanvaardbaarheid, juridische grondslag en de beschikbaarheid van passende beveiligingsmaatregelen. Alleen aanvragen die passen binnen het doel van het datalab en voldoen aan de geldende privacy- en governancekaders worden goedgekeurd. (</w:t>
      </w:r>
      <w:hyperlink w:anchor="ref-18">
        <w:r>
          <w:rPr>
            <w:rStyle w:val="Hyperlink"/>
          </w:rPr>
          <w:t xml:space="preserve">GoNXT, z.d.</w:t>
        </w:r>
      </w:hyperlink>
      <w:r>
        <w:t xml:space="preserve">)</w:t>
      </w:r>
    </w:p>
    <w:p>
      <w:pPr>
        <w:numPr>
          <w:ilvl w:val="0"/>
          <w:numId w:val="1014"/>
        </w:numPr>
      </w:pPr>
      <w:r>
        <w:rPr>
          <w:b/>
          <w:bCs/>
        </w:rPr>
        <w:t xml:space="preserve">Onboarding en voorwaarden voor gebruik:</w:t>
      </w:r>
      <w:r>
        <w:t xml:space="preserve"> </w:t>
      </w:r>
      <w:r>
        <w:t xml:space="preserve">Voorafgaand aan toegang bevestigen gebruikers dat zij de omgangsregels, privacy- en beveiligingsvoorschriften en eventuele project- of data-gebruiksovereenkomsten kennen en naleven. Waar relevant volgen zij eerst een instructie of training over verantwoord datagebruik binnen het datalab.</w:t>
      </w:r>
    </w:p>
    <w:p>
      <w:pPr>
        <w:numPr>
          <w:ilvl w:val="0"/>
          <w:numId w:val="1014"/>
        </w:numPr>
      </w:pPr>
      <w:r>
        <w:rPr>
          <w:b/>
          <w:bCs/>
        </w:rPr>
        <w:t xml:space="preserve">Technische inrichting van toegang:</w:t>
      </w:r>
      <w:r>
        <w:t xml:space="preserve"> </w:t>
      </w:r>
      <w:r>
        <w:t xml:space="preserve">Na goedkeuring worden accounts, rollen en rechten ingericht volgens het need-to-know- en least-privilege-principe. Toegang wordt beperkt tot de datasets, tools en duur die voor het goedgekeurde project noodzakelijk zijn.</w:t>
      </w:r>
    </w:p>
    <w:p>
      <w:pPr>
        <w:numPr>
          <w:ilvl w:val="0"/>
          <w:numId w:val="1014"/>
        </w:numPr>
      </w:pPr>
      <w:r>
        <w:rPr>
          <w:b/>
          <w:bCs/>
        </w:rPr>
        <w:t xml:space="preserve">Monitoring, evaluatie en intrekking:</w:t>
      </w:r>
      <w:r>
        <w:t xml:space="preserve"> </w:t>
      </w:r>
      <w:r>
        <w:t xml:space="preserve">Toegang wordt periodiek geevalueerd en vervalt of wordt ingetrokken zodra het project is afgerond, de noodzaak vervalt of afspraken niet worden nageleefd. Bij wijzigingen in projectscope of datagebruik is een herbeoordeling vereist.</w:t>
      </w:r>
    </w:p>
    <w:p>
      <w:pPr>
        <w:pStyle w:val="FirstParagraph"/>
      </w:pPr>
      <w:r>
        <w:t xml:space="preserve">Deze werkwijze maakt duidelijk dat toegang tot het datalab niet alleen een technische voorziening is, maar een governanceproces waarin projectdoel, rechtsgrond, dataminimalisatie, beveiliging en gebruikersverantwoordelijkheid samen worden beoordeeld.</w:t>
      </w:r>
    </w:p>
    <w:bookmarkEnd w:id="33"/>
    <w:bookmarkEnd w:id="34"/>
    <w:bookmarkStart w:id="95" w:name="bronnenlijst"/>
    <w:p>
      <w:pPr>
        <w:pStyle w:val="Heading2"/>
      </w:pPr>
      <w:r>
        <w:t xml:space="preserve">Bronnenlijst</w:t>
      </w:r>
    </w:p>
    <w:p>
      <w:pPr>
        <w:pStyle w:val="FirstParagraph"/>
      </w:pPr>
      <w:r>
        <w:t xml:space="preserve">Onderstaande referenties zijn afgeleid uit de oorspronkelijke bronvermelding en geformatteerd in een APA-achtige webreferentiestijl.</w:t>
      </w:r>
    </w:p>
    <w:p>
      <w:pPr>
        <w:pStyle w:val="BodyText"/>
      </w:pPr>
    </w:p>
    <w:p>
      <w:pPr>
        <w:pStyle w:val="BodyText"/>
      </w:pPr>
      <w:r>
        <w:t xml:space="preserve">Ad Ministerie. (z.d.).</w:t>
      </w:r>
      <w:r>
        <w:t xml:space="preserve"> </w:t>
      </w:r>
      <w:r>
        <w:rPr>
          <w:i/>
          <w:iCs/>
        </w:rPr>
        <w:t xml:space="preserve">Statuten van de vereniging - Ad-Ministerie.</w:t>
      </w:r>
      <w:r>
        <w:t xml:space="preserve"> </w:t>
      </w:r>
      <w:hyperlink r:id="rId35">
        <w:r>
          <w:rPr>
            <w:rStyle w:val="Hyperlink"/>
          </w:rPr>
          <w:t xml:space="preserve">https://ad-ministerie.be/zakelijk/verenigingen/statuten-van-de-vereniging/</w:t>
        </w:r>
      </w:hyperlink>
    </w:p>
    <w:p>
      <w:pPr>
        <w:pStyle w:val="BodyText"/>
      </w:pPr>
    </w:p>
    <w:p>
      <w:pPr>
        <w:pStyle w:val="BodyText"/>
      </w:pPr>
      <w:r>
        <w:t xml:space="preserve">ADaSci. (z.d.).</w:t>
      </w:r>
      <w:r>
        <w:t xml:space="preserve"> </w:t>
      </w:r>
      <w:r>
        <w:rPr>
          <w:i/>
          <w:iCs/>
        </w:rPr>
        <w:t xml:space="preserve">Ethical &amp; Standards for Chartered Data Scientists (CDS).</w:t>
      </w:r>
      <w:r>
        <w:t xml:space="preserve"> </w:t>
      </w:r>
      <w:hyperlink r:id="rId36">
        <w:r>
          <w:rPr>
            <w:rStyle w:val="Hyperlink"/>
          </w:rPr>
          <w:t xml:space="preserve">https://adasci.org/cds/ethical-standards-for-chartered-data-scientists-cds/</w:t>
        </w:r>
      </w:hyperlink>
    </w:p>
    <w:p>
      <w:pPr>
        <w:pStyle w:val="BodyText"/>
      </w:pPr>
    </w:p>
    <w:p>
      <w:pPr>
        <w:pStyle w:val="BodyText"/>
      </w:pPr>
      <w:r>
        <w:t xml:space="preserve">AIHR. (z.d.).</w:t>
      </w:r>
      <w:r>
        <w:t xml:space="preserve"> </w:t>
      </w:r>
      <w:r>
        <w:rPr>
          <w:i/>
          <w:iCs/>
        </w:rPr>
        <w:t xml:space="preserve">Data Ethics in People Analytics: 4 Fundamentals To Follow.</w:t>
      </w:r>
      <w:r>
        <w:t xml:space="preserve"> </w:t>
      </w:r>
      <w:hyperlink r:id="rId37">
        <w:r>
          <w:rPr>
            <w:rStyle w:val="Hyperlink"/>
          </w:rPr>
          <w:t xml:space="preserve">https://www.aihr.com/blog/data-ethics/</w:t>
        </w:r>
      </w:hyperlink>
    </w:p>
    <w:p>
      <w:pPr>
        <w:pStyle w:val="BodyText"/>
      </w:pPr>
    </w:p>
    <w:p>
      <w:pPr>
        <w:pStyle w:val="BodyText"/>
      </w:pPr>
      <w:r>
        <w:t xml:space="preserve">ALLEA. (2018).</w:t>
      </w:r>
      <w:r>
        <w:t xml:space="preserve"> </w:t>
      </w:r>
      <w:r>
        <w:rPr>
          <w:i/>
          <w:iCs/>
        </w:rPr>
        <w:t xml:space="preserve">Europese gedragscode voor wetenschappelijke integriteit.</w:t>
      </w:r>
      <w:r>
        <w:t xml:space="preserve"> </w:t>
      </w:r>
      <w:hyperlink r:id="rId38">
        <w:r>
          <w:rPr>
            <w:rStyle w:val="Hyperlink"/>
          </w:rPr>
          <w:t xml:space="preserve">https://www.allea.org/wp-content/uploads/2018/01/DU_ALLEA_Europese_gedragscode_voor_wetenschappelijke_integriteit.pdf</w:t>
        </w:r>
      </w:hyperlink>
    </w:p>
    <w:p>
      <w:pPr>
        <w:pStyle w:val="BodyText"/>
      </w:pPr>
    </w:p>
    <w:p>
      <w:pPr>
        <w:pStyle w:val="BodyText"/>
      </w:pPr>
      <w:r>
        <w:t xml:space="preserve">ALLEA. (2023).</w:t>
      </w:r>
      <w:r>
        <w:t xml:space="preserve"> </w:t>
      </w:r>
      <w:r>
        <w:rPr>
          <w:i/>
          <w:iCs/>
        </w:rPr>
        <w:t xml:space="preserve">The European Code of Conduct for Research Integrity.</w:t>
      </w:r>
      <w:r>
        <w:t xml:space="preserve"> </w:t>
      </w:r>
      <w:hyperlink r:id="rId39">
        <w:r>
          <w:rPr>
            <w:rStyle w:val="Hyperlink"/>
          </w:rPr>
          <w:t xml:space="preserve">https://allea.org/wp-content/uploads/2023/12/The-European-Code-of-Conduct-2023-NL.pdf</w:t>
        </w:r>
      </w:hyperlink>
    </w:p>
    <w:p>
      <w:pPr>
        <w:pStyle w:val="BodyText"/>
      </w:pPr>
    </w:p>
    <w:p>
      <w:pPr>
        <w:pStyle w:val="BodyText"/>
      </w:pPr>
      <w:r>
        <w:t xml:space="preserve">Amsterdam UMC. (z.d.).</w:t>
      </w:r>
      <w:r>
        <w:t xml:space="preserve"> </w:t>
      </w:r>
      <w:r>
        <w:rPr>
          <w:i/>
          <w:iCs/>
        </w:rPr>
        <w:t xml:space="preserve">Data Science en AI in de gezondheidszorg (start: maart).</w:t>
      </w:r>
      <w:r>
        <w:t xml:space="preserve"> </w:t>
      </w:r>
      <w:hyperlink r:id="rId40">
        <w:r>
          <w:rPr>
            <w:rStyle w:val="Hyperlink"/>
          </w:rPr>
          <w:t xml:space="preserve">https://www.amc.nl/web/leren/master-health-informatics-1/health-informatics/data-science-en-ai-in-de-gezondheidszorg-start-maart.htm</w:t>
        </w:r>
      </w:hyperlink>
    </w:p>
    <w:p>
      <w:pPr>
        <w:pStyle w:val="BodyText"/>
      </w:pPr>
    </w:p>
    <w:p>
      <w:pPr>
        <w:pStyle w:val="BodyText"/>
      </w:pPr>
      <w:r>
        <w:t xml:space="preserve">Autoriteit Persoonsgegevens. (z.d.).</w:t>
      </w:r>
      <w:r>
        <w:t xml:space="preserve"> </w:t>
      </w:r>
      <w:r>
        <w:rPr>
          <w:i/>
          <w:iCs/>
        </w:rPr>
        <w:t xml:space="preserve">Autoriteit Persoonsgegevens.</w:t>
      </w:r>
      <w:r>
        <w:t xml:space="preserve"> </w:t>
      </w:r>
      <w:hyperlink r:id="rId41">
        <w:r>
          <w:rPr>
            <w:rStyle w:val="Hyperlink"/>
          </w:rPr>
          <w:t xml:space="preserve">https://www.autoriteitpersoonsgegevens.nl/</w:t>
        </w:r>
      </w:hyperlink>
    </w:p>
    <w:p>
      <w:pPr>
        <w:pStyle w:val="BodyText"/>
      </w:pPr>
    </w:p>
    <w:p>
      <w:pPr>
        <w:pStyle w:val="BodyText"/>
      </w:pPr>
      <w:r>
        <w:t xml:space="preserve">Autoriteit Persoonsgegevens. (z.d.).</w:t>
      </w:r>
      <w:r>
        <w:t xml:space="preserve"> </w:t>
      </w:r>
      <w:r>
        <w:rPr>
          <w:i/>
          <w:iCs/>
        </w:rPr>
        <w:t xml:space="preserve">De AVG in het kort.</w:t>
      </w:r>
      <w:r>
        <w:t xml:space="preserve"> </w:t>
      </w:r>
      <w:hyperlink r:id="rId42">
        <w:r>
          <w:rPr>
            <w:rStyle w:val="Hyperlink"/>
          </w:rPr>
          <w:t xml:space="preserve">https://www.autoriteitpersoonsgegevens.nl/themas/basis-avg/avg-algemeen/de-avg-in-het-kort</w:t>
        </w:r>
      </w:hyperlink>
    </w:p>
    <w:p>
      <w:pPr>
        <w:pStyle w:val="BodyText"/>
      </w:pPr>
    </w:p>
    <w:p>
      <w:pPr>
        <w:pStyle w:val="BodyText"/>
      </w:pPr>
      <w:r>
        <w:t xml:space="preserve">Autoriteit Persoonsgegevens. (z.d.).</w:t>
      </w:r>
      <w:r>
        <w:t xml:space="preserve"> </w:t>
      </w:r>
      <w:r>
        <w:rPr>
          <w:i/>
          <w:iCs/>
        </w:rPr>
        <w:t xml:space="preserve">Gezondheidsgegevens gebruiken en delen.</w:t>
      </w:r>
      <w:r>
        <w:t xml:space="preserve"> </w:t>
      </w:r>
      <w:hyperlink r:id="rId43">
        <w:r>
          <w:rPr>
            <w:rStyle w:val="Hyperlink"/>
          </w:rPr>
          <w:t xml:space="preserve">https://www.autoriteitpersoonsgegevens.nl/themas/gezondheid/gezondheidsgegevens-gebruiken-en-delen</w:t>
        </w:r>
      </w:hyperlink>
    </w:p>
    <w:p>
      <w:pPr>
        <w:pStyle w:val="BodyText"/>
      </w:pPr>
    </w:p>
    <w:p>
      <w:pPr>
        <w:pStyle w:val="BodyText"/>
      </w:pPr>
      <w:r>
        <w:t xml:space="preserve">Autoriteit Persoonsgegevens. (z.d.).</w:t>
      </w:r>
      <w:r>
        <w:t xml:space="preserve"> </w:t>
      </w:r>
      <w:r>
        <w:rPr>
          <w:i/>
          <w:iCs/>
        </w:rPr>
        <w:t xml:space="preserve">Gezondheidsgegevens verwerken.</w:t>
      </w:r>
      <w:r>
        <w:t xml:space="preserve"> </w:t>
      </w:r>
      <w:hyperlink r:id="rId44">
        <w:r>
          <w:rPr>
            <w:rStyle w:val="Hyperlink"/>
          </w:rPr>
          <w:t xml:space="preserve">https://www.autoriteitpersoonsgegevens.nl/themas/gezondheid/gezondheidsgegevens-gebruiken-en-delen/gezondheidsgegevens-verwerken</w:t>
        </w:r>
      </w:hyperlink>
    </w:p>
    <w:p>
      <w:pPr>
        <w:pStyle w:val="BodyText"/>
      </w:pPr>
    </w:p>
    <w:p>
      <w:pPr>
        <w:pStyle w:val="BodyText"/>
      </w:pPr>
      <w:r>
        <w:t xml:space="preserve">Avg Support. (z.d.).</w:t>
      </w:r>
      <w:r>
        <w:t xml:space="preserve"> </w:t>
      </w:r>
      <w:r>
        <w:rPr>
          <w:i/>
          <w:iCs/>
        </w:rPr>
        <w:t xml:space="preserve">GDPR: aan welke regels moet je voldoen? - AVG-Programma.</w:t>
      </w:r>
      <w:r>
        <w:t xml:space="preserve"> </w:t>
      </w:r>
      <w:hyperlink r:id="rId45">
        <w:r>
          <w:rPr>
            <w:rStyle w:val="Hyperlink"/>
          </w:rPr>
          <w:t xml:space="preserve">https://www.avg-support.nl/nieuws/gdpr-aan-welke-regels-moet-je-voldoen/</w:t>
        </w:r>
      </w:hyperlink>
    </w:p>
    <w:p>
      <w:pPr>
        <w:pStyle w:val="BodyText"/>
      </w:pPr>
    </w:p>
    <w:p>
      <w:pPr>
        <w:pStyle w:val="BodyText"/>
      </w:pPr>
      <w:r>
        <w:t xml:space="preserve">Beroepseer. (2023).</w:t>
      </w:r>
      <w:r>
        <w:t xml:space="preserve"> </w:t>
      </w:r>
      <w:r>
        <w:rPr>
          <w:i/>
          <w:iCs/>
        </w:rPr>
        <w:t xml:space="preserve">Reglement Algemene Rekenkamerscriptieprijs.</w:t>
      </w:r>
      <w:r>
        <w:t xml:space="preserve"> </w:t>
      </w:r>
      <w:hyperlink r:id="rId46">
        <w:r>
          <w:rPr>
            <w:rStyle w:val="Hyperlink"/>
          </w:rPr>
          <w:t xml:space="preserve">https://beroepseer.nl/wp-content/uploads/2023/08/reglement_scriptieprijs_algemene_rekenkamer.pdf</w:t>
        </w:r>
      </w:hyperlink>
    </w:p>
    <w:p>
      <w:pPr>
        <w:pStyle w:val="BodyText"/>
      </w:pPr>
    </w:p>
    <w:p>
      <w:pPr>
        <w:pStyle w:val="BodyText"/>
      </w:pPr>
      <w:r>
        <w:t xml:space="preserve">Business Management Daily. (2023).</w:t>
      </w:r>
      <w:r>
        <w:t xml:space="preserve"> </w:t>
      </w:r>
      <w:r>
        <w:rPr>
          <w:i/>
          <w:iCs/>
        </w:rPr>
        <w:t xml:space="preserve">The top 10 HR analytics tools to use in 2023.</w:t>
      </w:r>
      <w:r>
        <w:t xml:space="preserve"> </w:t>
      </w:r>
      <w:hyperlink r:id="rId47">
        <w:r>
          <w:rPr>
            <w:rStyle w:val="Hyperlink"/>
          </w:rPr>
          <w:t xml:space="preserve">https://www.businessmanagementdaily.com/69750/the-top-10-hr-analytics-tools-to-use-in-2023/</w:t>
        </w:r>
      </w:hyperlink>
    </w:p>
    <w:p>
      <w:pPr>
        <w:pStyle w:val="BodyText"/>
      </w:pPr>
    </w:p>
    <w:p>
      <w:pPr>
        <w:pStyle w:val="BodyText"/>
      </w:pPr>
      <w:r>
        <w:t xml:space="preserve">Bytesnet. (z.d.).</w:t>
      </w:r>
      <w:r>
        <w:t xml:space="preserve"> </w:t>
      </w:r>
      <w:r>
        <w:rPr>
          <w:i/>
          <w:iCs/>
        </w:rPr>
        <w:t xml:space="preserve">Groningen.</w:t>
      </w:r>
      <w:r>
        <w:t xml:space="preserve"> </w:t>
      </w:r>
      <w:hyperlink r:id="rId48">
        <w:r>
          <w:rPr>
            <w:rStyle w:val="Hyperlink"/>
          </w:rPr>
          <w:t xml:space="preserve">https://www.bytesnet.nl/locatie/groningen-droot/</w:t>
        </w:r>
      </w:hyperlink>
    </w:p>
    <w:p>
      <w:pPr>
        <w:pStyle w:val="BodyText"/>
      </w:pPr>
    </w:p>
    <w:p>
      <w:pPr>
        <w:pStyle w:val="BodyText"/>
      </w:pPr>
      <w:r>
        <w:t xml:space="preserve">Bytesnet. (z.d.).</w:t>
      </w:r>
      <w:r>
        <w:t xml:space="preserve"> </w:t>
      </w:r>
      <w:r>
        <w:rPr>
          <w:i/>
          <w:iCs/>
        </w:rPr>
        <w:t xml:space="preserve">Groningen - d'ROOT.</w:t>
      </w:r>
      <w:r>
        <w:t xml:space="preserve"> </w:t>
      </w:r>
      <w:hyperlink r:id="rId49">
        <w:r>
          <w:rPr>
            <w:rStyle w:val="Hyperlink"/>
          </w:rPr>
          <w:t xml:space="preserve">https://www.bytesnet.nl/groningen-droot/</w:t>
        </w:r>
      </w:hyperlink>
    </w:p>
    <w:p>
      <w:pPr>
        <w:pStyle w:val="BodyText"/>
      </w:pPr>
    </w:p>
    <w:p>
      <w:pPr>
        <w:pStyle w:val="BodyText"/>
      </w:pPr>
      <w:r>
        <w:t xml:space="preserve">Cultuurloket. (2021).</w:t>
      </w:r>
      <w:r>
        <w:t xml:space="preserve"> </w:t>
      </w:r>
      <w:r>
        <w:rPr>
          <w:i/>
          <w:iCs/>
        </w:rPr>
        <w:t xml:space="preserve">Intern Reglement.</w:t>
      </w:r>
      <w:r>
        <w:t xml:space="preserve"> </w:t>
      </w:r>
      <w:hyperlink r:id="rId50">
        <w:r>
          <w:rPr>
            <w:rStyle w:val="Hyperlink"/>
          </w:rPr>
          <w:t xml:space="preserve">https://www.cultuurloket.be/sites/default/files/2021-07/Voorbeeld%20intern%20reglement.docx</w:t>
        </w:r>
      </w:hyperlink>
    </w:p>
    <w:p>
      <w:pPr>
        <w:pStyle w:val="BodyText"/>
      </w:pPr>
    </w:p>
    <w:p>
      <w:pPr>
        <w:pStyle w:val="BodyText"/>
      </w:pPr>
      <w:r>
        <w:t xml:space="preserve">DAMA NL. (2023).</w:t>
      </w:r>
      <w:r>
        <w:t xml:space="preserve"> </w:t>
      </w:r>
      <w:r>
        <w:rPr>
          <w:i/>
          <w:iCs/>
        </w:rPr>
        <w:t xml:space="preserve">Data Science Governance Framework.</w:t>
      </w:r>
      <w:r>
        <w:t xml:space="preserve"> </w:t>
      </w:r>
      <w:hyperlink r:id="rId51">
        <w:r>
          <w:rPr>
            <w:rStyle w:val="Hyperlink"/>
          </w:rPr>
          <w:t xml:space="preserve">https://dama-nl.org/wp-content/uploads/2023/03/DAMA-NL-Data-Science-Governance-Framework-2023.2.pdf</w:t>
        </w:r>
      </w:hyperlink>
    </w:p>
    <w:p>
      <w:pPr>
        <w:pStyle w:val="BodyText"/>
      </w:pPr>
    </w:p>
    <w:p>
      <w:pPr>
        <w:pStyle w:val="BodyText"/>
      </w:pPr>
      <w:r>
        <w:t xml:space="preserve">Data Science Collective. (z.d.).</w:t>
      </w:r>
      <w:r>
        <w:t xml:space="preserve"> </w:t>
      </w:r>
      <w:r>
        <w:rPr>
          <w:i/>
          <w:iCs/>
        </w:rPr>
        <w:t xml:space="preserve">The Three Layers of the Modern Data Stack: A Practical Guide for the Uninitiated.</w:t>
      </w:r>
      <w:r>
        <w:t xml:space="preserve"> </w:t>
      </w:r>
      <w:hyperlink r:id="rId52">
        <w:r>
          <w:rPr>
            <w:rStyle w:val="Hyperlink"/>
          </w:rPr>
          <w:t xml:space="preserve">https://medium.com/data-science-collective/the-three-layers-of-the-modern-data-stack-a-practical-guide-an-intro-for-the-uninitiated-3f06a8ba0aeb</w:t>
        </w:r>
      </w:hyperlink>
    </w:p>
    <w:p>
      <w:pPr>
        <w:pStyle w:val="BodyText"/>
      </w:pPr>
    </w:p>
    <w:p>
      <w:pPr>
        <w:pStyle w:val="BodyText"/>
      </w:pPr>
      <w:r>
        <w:t xml:space="preserve">Data voor gezondheid. (2021).</w:t>
      </w:r>
      <w:r>
        <w:t xml:space="preserve"> </w:t>
      </w:r>
      <w:r>
        <w:rPr>
          <w:i/>
          <w:iCs/>
        </w:rPr>
        <w:t xml:space="preserve">ECP | Handleiding - Aanpak begeleidingsethiek voor AI in de zorg.</w:t>
      </w:r>
      <w:r>
        <w:t xml:space="preserve"> </w:t>
      </w:r>
      <w:hyperlink r:id="rId53">
        <w:r>
          <w:rPr>
            <w:rStyle w:val="Hyperlink"/>
          </w:rPr>
          <w:t xml:space="preserve">https://www.datavoorgezondheid.nl/binaries/datavoorgezondheid/documenten/publicaties/2021/01/15/handleiding-aanpak-begeleidingsethiek-voor-ai--digitale-zorg/Handleiding+Aanpak+begeleidingsethiek+voor+AI+in+de+zorg.pdf</w:t>
        </w:r>
      </w:hyperlink>
    </w:p>
    <w:p>
      <w:pPr>
        <w:pStyle w:val="BodyText"/>
      </w:pPr>
    </w:p>
    <w:p>
      <w:pPr>
        <w:pStyle w:val="BodyText"/>
      </w:pPr>
      <w:r>
        <w:t xml:space="preserve">Data voor gezondheid. (2024).</w:t>
      </w:r>
      <w:r>
        <w:t xml:space="preserve"> </w:t>
      </w:r>
      <w:r>
        <w:rPr>
          <w:i/>
          <w:iCs/>
        </w:rPr>
        <w:t xml:space="preserve">TNO2024 R10662 Generatieve AI in de Nederlandse zorg.</w:t>
      </w:r>
      <w:r>
        <w:t xml:space="preserve"> </w:t>
      </w:r>
      <w:hyperlink r:id="rId54">
        <w:r>
          <w:rPr>
            <w:rStyle w:val="Hyperlink"/>
          </w:rPr>
          <w:t xml:space="preserve">https://www.datavoorgezondheid.nl/binaries/datavoorgezondheid/documenten/publicaties/2024/04/04/tno2024-r10662-generatieve-ai-in-de-nederlandse-zorg-getekend/TNO2024+R10662+Generatieve+AI+in+de+Nederlandse+zorg+getekend.pdf</w:t>
        </w:r>
      </w:hyperlink>
    </w:p>
    <w:p>
      <w:pPr>
        <w:pStyle w:val="BodyText"/>
      </w:pPr>
    </w:p>
    <w:p>
      <w:pPr>
        <w:pStyle w:val="BodyText"/>
      </w:pPr>
      <w:r>
        <w:t xml:space="preserve">Data voor gezondheid. (z.d.).</w:t>
      </w:r>
      <w:r>
        <w:t xml:space="preserve"> </w:t>
      </w:r>
      <w:r>
        <w:rPr>
          <w:i/>
          <w:iCs/>
        </w:rPr>
        <w:t xml:space="preserve">Health Data Access Body (HDAB).</w:t>
      </w:r>
      <w:r>
        <w:t xml:space="preserve"> </w:t>
      </w:r>
      <w:hyperlink r:id="rId55">
        <w:r>
          <w:rPr>
            <w:rStyle w:val="Hyperlink"/>
          </w:rPr>
          <w:t xml:space="preserve">https://www.datavoorgezondheid.nl/health-data-acces-body</w:t>
        </w:r>
      </w:hyperlink>
    </w:p>
    <w:p>
      <w:pPr>
        <w:pStyle w:val="BodyText"/>
      </w:pPr>
    </w:p>
    <w:p>
      <w:pPr>
        <w:pStyle w:val="BodyText"/>
      </w:pPr>
      <w:r>
        <w:t xml:space="preserve">Datalab. (z.d.).</w:t>
      </w:r>
      <w:r>
        <w:t xml:space="preserve"> </w:t>
      </w:r>
      <w:r>
        <w:rPr>
          <w:i/>
          <w:iCs/>
        </w:rPr>
        <w:t xml:space="preserve">BI, Business Analytics, of Data Science?.</w:t>
      </w:r>
      <w:r>
        <w:t xml:space="preserve"> </w:t>
      </w:r>
      <w:hyperlink r:id="rId56">
        <w:r>
          <w:rPr>
            <w:rStyle w:val="Hyperlink"/>
          </w:rPr>
          <w:t xml:space="preserve">https://www.datalab.nl/business-intelligence-business-analytics-of-data-science/</w:t>
        </w:r>
      </w:hyperlink>
    </w:p>
    <w:p>
      <w:pPr>
        <w:pStyle w:val="BodyText"/>
      </w:pPr>
    </w:p>
    <w:p>
      <w:pPr>
        <w:pStyle w:val="BodyText"/>
      </w:pPr>
      <w:r>
        <w:t xml:space="preserve">De Haagse Hogeschool. (z.d.).</w:t>
      </w:r>
      <w:r>
        <w:t xml:space="preserve"> </w:t>
      </w:r>
      <w:r>
        <w:rPr>
          <w:i/>
          <w:iCs/>
        </w:rPr>
        <w:t xml:space="preserve">Wetgeving.</w:t>
      </w:r>
      <w:r>
        <w:t xml:space="preserve"> </w:t>
      </w:r>
      <w:hyperlink r:id="rId57">
        <w:r>
          <w:rPr>
            <w:rStyle w:val="Hyperlink"/>
          </w:rPr>
          <w:t xml:space="preserve">https://www.dehaagsehogeschool.nl/onderzoek/onderzoeksondersteuning/wetgeving</w:t>
        </w:r>
      </w:hyperlink>
    </w:p>
    <w:p>
      <w:pPr>
        <w:pStyle w:val="BodyText"/>
      </w:pPr>
    </w:p>
    <w:p>
      <w:pPr>
        <w:pStyle w:val="BodyText"/>
      </w:pPr>
      <w:r>
        <w:t xml:space="preserve">Elsi Servicedesk. (z.d.).</w:t>
      </w:r>
      <w:r>
        <w:t xml:space="preserve"> </w:t>
      </w:r>
      <w:r>
        <w:rPr>
          <w:i/>
          <w:iCs/>
        </w:rPr>
        <w:t xml:space="preserve">Waar vind ik meer informatie over de betekenis van de GDPR / AVG / Uitvoeringswet AVG voor observationeel medisch-wetenschappelijk onderzoek?.</w:t>
      </w:r>
      <w:r>
        <w:t xml:space="preserve"> </w:t>
      </w:r>
      <w:hyperlink r:id="rId58">
        <w:r>
          <w:rPr>
            <w:rStyle w:val="Hyperlink"/>
          </w:rPr>
          <w:t xml:space="preserve">https://elsi.health-ri.nl/categorieen/gegevensbescherming/waar-vind-ik-meer-informatie-over-de-betekenis-van-de-gdpr-avg</w:t>
        </w:r>
      </w:hyperlink>
    </w:p>
    <w:p>
      <w:pPr>
        <w:pStyle w:val="BodyText"/>
      </w:pPr>
    </w:p>
    <w:p>
      <w:pPr>
        <w:pStyle w:val="BodyText"/>
      </w:pPr>
      <w:r>
        <w:t xml:space="preserve">Emerce. (z.d.).</w:t>
      </w:r>
      <w:r>
        <w:t xml:space="preserve"> </w:t>
      </w:r>
      <w:r>
        <w:rPr>
          <w:i/>
          <w:iCs/>
        </w:rPr>
        <w:t xml:space="preserve">Onderzoek: Helft Nederlandse bedrijven is gevoelige data kwijtgeraakt in het afgelopen jaar.</w:t>
      </w:r>
      <w:r>
        <w:t xml:space="preserve"> </w:t>
      </w:r>
      <w:hyperlink r:id="rId59">
        <w:r>
          <w:rPr>
            <w:rStyle w:val="Hyperlink"/>
          </w:rPr>
          <w:t xml:space="preserve">https://www.emerce.nl/wire/onderzoek-helft-nederlandse-bedrijven-gevoelige-data-kwijtgeraakt-afgelopen-jaar</w:t>
        </w:r>
      </w:hyperlink>
    </w:p>
    <w:p>
      <w:pPr>
        <w:pStyle w:val="BodyText"/>
      </w:pPr>
    </w:p>
    <w:p>
      <w:pPr>
        <w:pStyle w:val="BodyText"/>
      </w:pPr>
      <w:r>
        <w:t xml:space="preserve">Federale overheidsdienst Justitie. (z.d.).</w:t>
      </w:r>
      <w:r>
        <w:t xml:space="preserve"> </w:t>
      </w:r>
      <w:r>
        <w:rPr>
          <w:i/>
          <w:iCs/>
        </w:rPr>
        <w:t xml:space="preserve">Statuten.</w:t>
      </w:r>
      <w:r>
        <w:t xml:space="preserve"> </w:t>
      </w:r>
      <w:hyperlink r:id="rId60">
        <w:r>
          <w:rPr>
            <w:rStyle w:val="Hyperlink"/>
          </w:rPr>
          <w:t xml:space="preserve">https://justitie.belgium.be/nl/themas_en_dossiers/vennootschappen_verenigingen_en_stichtingen/verenigingen/vzw/statuten</w:t>
        </w:r>
      </w:hyperlink>
    </w:p>
    <w:p>
      <w:pPr>
        <w:pStyle w:val="BodyText"/>
      </w:pPr>
    </w:p>
    <w:p>
      <w:pPr>
        <w:pStyle w:val="BodyText"/>
      </w:pPr>
      <w:r>
        <w:t xml:space="preserve">Fwo. (z.d.).</w:t>
      </w:r>
      <w:r>
        <w:t xml:space="preserve"> </w:t>
      </w:r>
      <w:r>
        <w:rPr>
          <w:i/>
          <w:iCs/>
        </w:rPr>
        <w:t xml:space="preserve">Zware onderzoeksinfrastructuur.</w:t>
      </w:r>
      <w:r>
        <w:t xml:space="preserve"> </w:t>
      </w:r>
      <w:hyperlink r:id="rId61">
        <w:r>
          <w:rPr>
            <w:rStyle w:val="Hyperlink"/>
          </w:rPr>
          <w:t xml:space="preserve">https://www.fwo.be/nl/ondersteuningsprogramma-s/alle-oproepen/gevestigde-onderzoekers-onderzoeksteams/zware-onderzoeksinfrastructuur/</w:t>
        </w:r>
      </w:hyperlink>
    </w:p>
    <w:p>
      <w:pPr>
        <w:pStyle w:val="BodyText"/>
      </w:pPr>
    </w:p>
    <w:p>
      <w:pPr>
        <w:pStyle w:val="BodyText"/>
      </w:pPr>
      <w:r>
        <w:t xml:space="preserve">Gezond en veilig werken. (2024).</w:t>
      </w:r>
      <w:r>
        <w:t xml:space="preserve"> </w:t>
      </w:r>
      <w:r>
        <w:rPr>
          <w:i/>
          <w:iCs/>
        </w:rPr>
        <w:t xml:space="preserve">Voorbeeld gedragsregels ongewenst gedrag.</w:t>
      </w:r>
      <w:r>
        <w:t xml:space="preserve"> </w:t>
      </w:r>
      <w:hyperlink r:id="rId62">
        <w:r>
          <w:rPr>
            <w:rStyle w:val="Hyperlink"/>
          </w:rPr>
          <w:t xml:space="preserve">https://gezondenveiligwerken.nl/wp-content/uploads/2024/12/voorbeeld-gedragsregels.pdf</w:t>
        </w:r>
      </w:hyperlink>
    </w:p>
    <w:p>
      <w:pPr>
        <w:pStyle w:val="BodyText"/>
      </w:pPr>
    </w:p>
    <w:p>
      <w:pPr>
        <w:pStyle w:val="BodyText"/>
      </w:pPr>
      <w:r>
        <w:t xml:space="preserve">GoNXT. (z.d.).</w:t>
      </w:r>
      <w:r>
        <w:t xml:space="preserve"> </w:t>
      </w:r>
      <w:r>
        <w:rPr>
          <w:i/>
          <w:iCs/>
        </w:rPr>
        <w:t xml:space="preserve">De voor- en nadelen van een multidisciplinair team.</w:t>
      </w:r>
      <w:r>
        <w:t xml:space="preserve"> </w:t>
      </w:r>
      <w:hyperlink r:id="rId63">
        <w:r>
          <w:rPr>
            <w:rStyle w:val="Hyperlink"/>
          </w:rPr>
          <w:t xml:space="preserve">https://gonxt.nl/blog/de-voor-en-nadelen-van-een-multidisciplinair-team</w:t>
        </w:r>
      </w:hyperlink>
    </w:p>
    <w:p>
      <w:pPr>
        <w:pStyle w:val="BodyText"/>
      </w:pPr>
    </w:p>
    <w:p>
      <w:pPr>
        <w:pStyle w:val="BodyText"/>
      </w:pPr>
      <w:r>
        <w:t xml:space="preserve">Hartwig Medical Foundation. (z.d.).</w:t>
      </w:r>
      <w:r>
        <w:t xml:space="preserve"> </w:t>
      </w:r>
      <w:r>
        <w:rPr>
          <w:i/>
          <w:iCs/>
        </w:rPr>
        <w:t xml:space="preserve">Oog voor de ethische aspecten van het delen van data.</w:t>
      </w:r>
      <w:r>
        <w:t xml:space="preserve"> </w:t>
      </w:r>
      <w:hyperlink r:id="rId64">
        <w:r>
          <w:rPr>
            <w:rStyle w:val="Hyperlink"/>
          </w:rPr>
          <w:t xml:space="preserve">https://www.hartwigmedicalfoundation.nl/oog-voor-de-ethische-aspecten-van-het-delen-van-data/</w:t>
        </w:r>
      </w:hyperlink>
    </w:p>
    <w:p>
      <w:pPr>
        <w:pStyle w:val="BodyText"/>
      </w:pPr>
    </w:p>
    <w:p>
      <w:pPr>
        <w:pStyle w:val="BodyText"/>
      </w:pPr>
      <w:r>
        <w:t xml:space="preserve">Hhrinstitute. (z.d.).</w:t>
      </w:r>
      <w:r>
        <w:t xml:space="preserve"> </w:t>
      </w:r>
      <w:r>
        <w:rPr>
          <w:i/>
          <w:iCs/>
        </w:rPr>
        <w:t xml:space="preserve">HHRI Operations Management Committee Charter.</w:t>
      </w:r>
      <w:r>
        <w:t xml:space="preserve"> </w:t>
      </w:r>
      <w:hyperlink r:id="rId65">
        <w:r>
          <w:rPr>
            <w:rStyle w:val="Hyperlink"/>
          </w:rPr>
          <w:t xml:space="preserve">https://www.hhrinstitute.org/researcher-resources/hhri-operations-management-committee-charter/</w:t>
        </w:r>
      </w:hyperlink>
    </w:p>
    <w:p>
      <w:pPr>
        <w:pStyle w:val="BodyText"/>
      </w:pPr>
    </w:p>
    <w:p>
      <w:pPr>
        <w:pStyle w:val="BodyText"/>
      </w:pPr>
      <w:r>
        <w:t xml:space="preserve">Hogeschool Rotterdam. (z.d.).</w:t>
      </w:r>
      <w:r>
        <w:t xml:space="preserve"> </w:t>
      </w:r>
      <w:r>
        <w:rPr>
          <w:i/>
          <w:iCs/>
        </w:rPr>
        <w:t xml:space="preserve">HR Datalab Healthcare.</w:t>
      </w:r>
      <w:r>
        <w:t xml:space="preserve"> </w:t>
      </w:r>
      <w:hyperlink r:id="rId66">
        <w:r>
          <w:rPr>
            <w:rStyle w:val="Hyperlink"/>
          </w:rPr>
          <w:t xml:space="preserve">https://www.hogeschoolrotterdam.nl/onderzoek/projecten-en-publicaties/zorginnovatie/zorginnovatie-met-technologie/hr-datalab-healthcare/</w:t>
        </w:r>
      </w:hyperlink>
    </w:p>
    <w:p>
      <w:pPr>
        <w:pStyle w:val="BodyText"/>
      </w:pPr>
    </w:p>
    <w:p>
      <w:pPr>
        <w:pStyle w:val="BodyText"/>
      </w:pPr>
      <w:r>
        <w:t xml:space="preserve">HR Magazine. (z.d.).</w:t>
      </w:r>
      <w:r>
        <w:t xml:space="preserve"> </w:t>
      </w:r>
      <w:r>
        <w:rPr>
          <w:i/>
          <w:iCs/>
        </w:rPr>
        <w:t xml:space="preserve">Ethische vragen bij hr-voorspellende AI.</w:t>
      </w:r>
      <w:r>
        <w:t xml:space="preserve"> </w:t>
      </w:r>
      <w:hyperlink r:id="rId67">
        <w:r>
          <w:rPr>
            <w:rStyle w:val="Hyperlink"/>
          </w:rPr>
          <w:t xml:space="preserve">https://hrmagazine.be/nl/posts/ethische-vragen-bij-hr-voorspellende-ai</w:t>
        </w:r>
      </w:hyperlink>
    </w:p>
    <w:p>
      <w:pPr>
        <w:pStyle w:val="BodyText"/>
      </w:pPr>
    </w:p>
    <w:p>
      <w:pPr>
        <w:pStyle w:val="BodyText"/>
      </w:pPr>
      <w:r>
        <w:t xml:space="preserve">Hrpraktijk. (z.d.).</w:t>
      </w:r>
      <w:r>
        <w:t xml:space="preserve"> </w:t>
      </w:r>
      <w:r>
        <w:rPr>
          <w:i/>
          <w:iCs/>
        </w:rPr>
        <w:t xml:space="preserve">ChatGPT &amp; AI: ethische dilemma's voor HR-professionals.</w:t>
      </w:r>
      <w:r>
        <w:t xml:space="preserve"> </w:t>
      </w:r>
      <w:hyperlink r:id="rId68">
        <w:r>
          <w:rPr>
            <w:rStyle w:val="Hyperlink"/>
          </w:rPr>
          <w:t xml:space="preserve">https://www.hrpraktijk.nl/hr-tech/digitalisering/chatgpt-ai-ethische-dilemmas-voor-hr-professionals/</w:t>
        </w:r>
      </w:hyperlink>
    </w:p>
    <w:p>
      <w:pPr>
        <w:pStyle w:val="BodyText"/>
      </w:pPr>
    </w:p>
    <w:p>
      <w:pPr>
        <w:pStyle w:val="BodyText"/>
      </w:pPr>
      <w:r>
        <w:t xml:space="preserve">IBM. (z.d.).</w:t>
      </w:r>
      <w:r>
        <w:t xml:space="preserve"> </w:t>
      </w:r>
      <w:r>
        <w:rPr>
          <w:i/>
          <w:iCs/>
        </w:rPr>
        <w:t xml:space="preserve">What is AI Ethics?.</w:t>
      </w:r>
      <w:r>
        <w:t xml:space="preserve"> </w:t>
      </w:r>
      <w:hyperlink r:id="rId69">
        <w:r>
          <w:rPr>
            <w:rStyle w:val="Hyperlink"/>
          </w:rPr>
          <w:t xml:space="preserve">https://www.ibm.com/think/topics/ai-ethics</w:t>
        </w:r>
      </w:hyperlink>
    </w:p>
    <w:p>
      <w:pPr>
        <w:pStyle w:val="BodyText"/>
      </w:pPr>
    </w:p>
    <w:p>
      <w:pPr>
        <w:pStyle w:val="BodyText"/>
      </w:pPr>
      <w:r>
        <w:t xml:space="preserve">Katholiek Onderwijs Vlaanderen. (2023).</w:t>
      </w:r>
      <w:r>
        <w:t xml:space="preserve"> </w:t>
      </w:r>
      <w:r>
        <w:rPr>
          <w:i/>
          <w:iCs/>
        </w:rPr>
        <w:t xml:space="preserve">Model intern reglement vzw-leersteuncentrumbestuur.</w:t>
      </w:r>
      <w:r>
        <w:t xml:space="preserve"> </w:t>
      </w:r>
      <w:hyperlink r:id="rId70">
        <w:r>
          <w:rPr>
            <w:rStyle w:val="Hyperlink"/>
          </w:rPr>
          <w:t xml:space="preserve">https://pro.katholiekonderwijs.vlaanderen/download/content/4d6496cb-6cf3-4f82-ad40-45005fc55f6b/attachments/2023_02_01_VoorbeeldInternReglementLeersteuncentrumbestuur.docx</w:t>
        </w:r>
      </w:hyperlink>
    </w:p>
    <w:p>
      <w:pPr>
        <w:pStyle w:val="BodyText"/>
      </w:pPr>
    </w:p>
    <w:p>
      <w:pPr>
        <w:pStyle w:val="BodyText"/>
      </w:pPr>
      <w:r>
        <w:t xml:space="preserve">KVK. (z.d.).</w:t>
      </w:r>
      <w:r>
        <w:t xml:space="preserve"> </w:t>
      </w:r>
      <w:r>
        <w:rPr>
          <w:i/>
          <w:iCs/>
        </w:rPr>
        <w:t xml:space="preserve">De vereniging: rechtsvorm met leden.</w:t>
      </w:r>
      <w:r>
        <w:t xml:space="preserve"> </w:t>
      </w:r>
      <w:hyperlink r:id="rId71">
        <w:r>
          <w:rPr>
            <w:rStyle w:val="Hyperlink"/>
          </w:rPr>
          <w:t xml:space="preserve">https://www.kvk.nl/starten/de-vereniging/</w:t>
        </w:r>
      </w:hyperlink>
    </w:p>
    <w:p>
      <w:pPr>
        <w:pStyle w:val="BodyText"/>
      </w:pPr>
    </w:p>
    <w:p>
      <w:pPr>
        <w:pStyle w:val="BodyText"/>
      </w:pPr>
      <w:r>
        <w:t xml:space="preserve">KVK. (z.d.).</w:t>
      </w:r>
      <w:r>
        <w:t xml:space="preserve"> </w:t>
      </w:r>
      <w:r>
        <w:rPr>
          <w:i/>
          <w:iCs/>
        </w:rPr>
        <w:t xml:space="preserve">Statuten opstellen (rechtspersonen) - Ondernemersplein.</w:t>
      </w:r>
      <w:r>
        <w:t xml:space="preserve"> </w:t>
      </w:r>
      <w:hyperlink r:id="rId72">
        <w:r>
          <w:rPr>
            <w:rStyle w:val="Hyperlink"/>
          </w:rPr>
          <w:t xml:space="preserve">https://ondernemersplein.kvk.nl/bedrijfsvoering/rechtsvormen-en-organisatie/statuten-opstellen-wijzigen-en-opvragen/</w:t>
        </w:r>
      </w:hyperlink>
    </w:p>
    <w:p>
      <w:pPr>
        <w:pStyle w:val="BodyText"/>
      </w:pPr>
    </w:p>
    <w:p>
      <w:pPr>
        <w:pStyle w:val="BodyText"/>
      </w:pPr>
      <w:r>
        <w:t xml:space="preserve">Michigan Tech. (z.d.).</w:t>
      </w:r>
      <w:r>
        <w:t xml:space="preserve"> </w:t>
      </w:r>
      <w:r>
        <w:rPr>
          <w:i/>
          <w:iCs/>
        </w:rPr>
        <w:t xml:space="preserve">Procedures for Establishment and Review of Centers &amp; Institutes | Research.</w:t>
      </w:r>
      <w:r>
        <w:t xml:space="preserve"> </w:t>
      </w:r>
      <w:hyperlink r:id="rId73">
        <w:r>
          <w:rPr>
            <w:rStyle w:val="Hyperlink"/>
          </w:rPr>
          <w:t xml:space="preserve">https://www.mtu.edu/research/about/centers-institutes/establishment-review.html</w:t>
        </w:r>
      </w:hyperlink>
    </w:p>
    <w:p>
      <w:pPr>
        <w:pStyle w:val="BodyText"/>
      </w:pPr>
    </w:p>
    <w:p>
      <w:pPr>
        <w:pStyle w:val="BodyText"/>
      </w:pPr>
      <w:r>
        <w:t xml:space="preserve">Movisie. (2019).</w:t>
      </w:r>
      <w:r>
        <w:t xml:space="preserve"> </w:t>
      </w:r>
      <w:r>
        <w:rPr>
          <w:i/>
          <w:iCs/>
        </w:rPr>
        <w:t xml:space="preserve">Bijlage 1: Voorbeeld omgangsregels.</w:t>
      </w:r>
      <w:r>
        <w:t xml:space="preserve"> </w:t>
      </w:r>
      <w:hyperlink r:id="rId74">
        <w:r>
          <w:rPr>
            <w:rStyle w:val="Hyperlink"/>
          </w:rPr>
          <w:t xml:space="preserve">https://www.movisie.nl/sites/movisie.nl/files/2019-12/Toolkit-Werken-aan-sociale-veiligheid-bijlage-1.pdf</w:t>
        </w:r>
      </w:hyperlink>
    </w:p>
    <w:p>
      <w:pPr>
        <w:pStyle w:val="BodyText"/>
      </w:pPr>
    </w:p>
    <w:p>
      <w:pPr>
        <w:pStyle w:val="BodyText"/>
      </w:pPr>
      <w:r>
        <w:t xml:space="preserve">MST. (2020).</w:t>
      </w:r>
      <w:r>
        <w:t xml:space="preserve"> </w:t>
      </w:r>
      <w:r>
        <w:rPr>
          <w:i/>
          <w:iCs/>
        </w:rPr>
        <w:t xml:space="preserve">Privacyrichtlijnen voor wetenschappelijk onderzoek met patientgegevens in de STZ-huizen.</w:t>
      </w:r>
      <w:r>
        <w:t xml:space="preserve"> </w:t>
      </w:r>
      <w:hyperlink r:id="rId75">
        <w:r>
          <w:rPr>
            <w:rStyle w:val="Hyperlink"/>
          </w:rPr>
          <w:t xml:space="preserve">https://www.mst.nl/storage_static/2020/05/WETENSCHAP-EN-DE-AVG-IN-DE-STZ_document-in-beweging_16oktober2018_changes-1.pdf</w:t>
        </w:r>
      </w:hyperlink>
    </w:p>
    <w:p>
      <w:pPr>
        <w:pStyle w:val="BodyText"/>
      </w:pPr>
    </w:p>
    <w:p>
      <w:pPr>
        <w:pStyle w:val="BodyText"/>
      </w:pPr>
      <w:r>
        <w:t xml:space="preserve">National Institutes of Health (NIH). (z.d.).</w:t>
      </w:r>
      <w:r>
        <w:t xml:space="preserve"> </w:t>
      </w:r>
      <w:r>
        <w:rPr>
          <w:i/>
          <w:iCs/>
        </w:rPr>
        <w:t xml:space="preserve">Charter.</w:t>
      </w:r>
      <w:r>
        <w:t xml:space="preserve"> </w:t>
      </w:r>
      <w:hyperlink r:id="rId76">
        <w:r>
          <w:rPr>
            <w:rStyle w:val="Hyperlink"/>
          </w:rPr>
          <w:t xml:space="preserve">https://www.nih.gov/scientific-management-review-board/charter</w:t>
        </w:r>
      </w:hyperlink>
    </w:p>
    <w:p>
      <w:pPr>
        <w:pStyle w:val="BodyText"/>
      </w:pPr>
    </w:p>
    <w:p>
      <w:pPr>
        <w:pStyle w:val="BodyText"/>
      </w:pPr>
      <w:r>
        <w:t xml:space="preserve">Open Cultuur Data. (2016).</w:t>
      </w:r>
      <w:r>
        <w:t xml:space="preserve"> </w:t>
      </w:r>
      <w:r>
        <w:rPr>
          <w:i/>
          <w:iCs/>
        </w:rPr>
        <w:t xml:space="preserve">Open Cultuur Data Lab sessie: Juridische kaders.</w:t>
      </w:r>
      <w:r>
        <w:t xml:space="preserve"> </w:t>
      </w:r>
      <w:hyperlink r:id="rId77">
        <w:r>
          <w:rPr>
            <w:rStyle w:val="Hyperlink"/>
          </w:rPr>
          <w:t xml:space="preserve">https://www.opencultuurdata.nl/2016/05/open-cultuur-data-lab-sessie-juridische-kaders/</w:t>
        </w:r>
      </w:hyperlink>
    </w:p>
    <w:p>
      <w:pPr>
        <w:pStyle w:val="BodyText"/>
      </w:pPr>
    </w:p>
    <w:p>
      <w:pPr>
        <w:pStyle w:val="BodyText"/>
      </w:pPr>
      <w:r>
        <w:t xml:space="preserve">Personio. (z.d.).</w:t>
      </w:r>
      <w:r>
        <w:t xml:space="preserve"> </w:t>
      </w:r>
      <w:r>
        <w:rPr>
          <w:i/>
          <w:iCs/>
        </w:rPr>
        <w:t xml:space="preserve">Multidisciplinair Team: Samenstelling en voordelen.</w:t>
      </w:r>
      <w:r>
        <w:t xml:space="preserve"> </w:t>
      </w:r>
      <w:hyperlink r:id="rId78">
        <w:r>
          <w:rPr>
            <w:rStyle w:val="Hyperlink"/>
          </w:rPr>
          <w:t xml:space="preserve">https://www.personio.nl/hr-woordenboek/multidisciplinair-team/</w:t>
        </w:r>
      </w:hyperlink>
    </w:p>
    <w:p>
      <w:pPr>
        <w:pStyle w:val="BodyText"/>
      </w:pPr>
    </w:p>
    <w:p>
      <w:pPr>
        <w:pStyle w:val="BodyText"/>
      </w:pPr>
      <w:r>
        <w:t xml:space="preserve">Pitt. (z.d.).</w:t>
      </w:r>
      <w:r>
        <w:t xml:space="preserve"> </w:t>
      </w:r>
      <w:r>
        <w:rPr>
          <w:i/>
          <w:iCs/>
        </w:rPr>
        <w:t xml:space="preserve">University Centers and Research Institutes Policy Committee.</w:t>
      </w:r>
      <w:r>
        <w:t xml:space="preserve"> </w:t>
      </w:r>
      <w:hyperlink r:id="rId79">
        <w:r>
          <w:rPr>
            <w:rStyle w:val="Hyperlink"/>
          </w:rPr>
          <w:t xml:space="preserve">https://www.policy.pitt.edu/sites/default/files/Charters/Charter_Centers-and-Institutes.pdf</w:t>
        </w:r>
      </w:hyperlink>
    </w:p>
    <w:p>
      <w:pPr>
        <w:pStyle w:val="BodyText"/>
      </w:pPr>
    </w:p>
    <w:p>
      <w:pPr>
        <w:pStyle w:val="BodyText"/>
      </w:pPr>
      <w:r>
        <w:t xml:space="preserve">PwC. (z.d.).</w:t>
      </w:r>
      <w:r>
        <w:t xml:space="preserve"> </w:t>
      </w:r>
      <w:r>
        <w:rPr>
          <w:i/>
          <w:iCs/>
        </w:rPr>
        <w:t xml:space="preserve">Algemene Verordening Gegevensbescherming (AVG) in de zorg - Publieke sector.</w:t>
      </w:r>
      <w:r>
        <w:t xml:space="preserve"> </w:t>
      </w:r>
      <w:hyperlink r:id="rId80">
        <w:r>
          <w:rPr>
            <w:rStyle w:val="Hyperlink"/>
          </w:rPr>
          <w:t xml:space="preserve">https://www.pwc.nl/nl/actueel-en-publicaties/diensten-en-sectoren/publieke-sector/algemene-verordening-gegevensbescherming-in-de-zorg.html</w:t>
        </w:r>
      </w:hyperlink>
    </w:p>
    <w:p>
      <w:pPr>
        <w:pStyle w:val="BodyText"/>
      </w:pPr>
    </w:p>
    <w:p>
      <w:pPr>
        <w:pStyle w:val="BodyText"/>
      </w:pPr>
      <w:r>
        <w:t xml:space="preserve">Quickscan IPT. (2019).</w:t>
      </w:r>
      <w:r>
        <w:t xml:space="preserve"> </w:t>
      </w:r>
      <w:r>
        <w:rPr>
          <w:i/>
          <w:iCs/>
        </w:rPr>
        <w:t xml:space="preserve">Best practices inter- professionele samenwerking.</w:t>
      </w:r>
      <w:r>
        <w:t xml:space="preserve"> </w:t>
      </w:r>
      <w:hyperlink r:id="rId81">
        <w:r>
          <w:rPr>
            <w:rStyle w:val="Hyperlink"/>
          </w:rPr>
          <w:t xml:space="preserve">https://quickscan-ipt.nl/wp-content/uploads/2019/09/Best-practives-interprofessionele-samenwerking.pdf</w:t>
        </w:r>
      </w:hyperlink>
    </w:p>
    <w:p>
      <w:pPr>
        <w:pStyle w:val="BodyText"/>
      </w:pPr>
    </w:p>
    <w:p>
      <w:pPr>
        <w:pStyle w:val="BodyText"/>
      </w:pPr>
      <w:r>
        <w:t xml:space="preserve">Rijksuniversiteit Groningen. (z.d.).</w:t>
      </w:r>
      <w:r>
        <w:t xml:space="preserve"> </w:t>
      </w:r>
      <w:r>
        <w:rPr>
          <w:i/>
          <w:iCs/>
        </w:rPr>
        <w:t xml:space="preserve">Essentiele aspecten van privacy en security in onderzoek.</w:t>
      </w:r>
      <w:r>
        <w:t xml:space="preserve"> </w:t>
      </w:r>
      <w:hyperlink r:id="rId82">
        <w:r>
          <w:rPr>
            <w:rStyle w:val="Hyperlink"/>
          </w:rPr>
          <w:t xml:space="preserve">https://www.rug.nl/about-ug/policy-and-strategy/privacy-and-security-at-the-ug/ps-research</w:t>
        </w:r>
      </w:hyperlink>
    </w:p>
    <w:p>
      <w:pPr>
        <w:pStyle w:val="BodyText"/>
      </w:pPr>
    </w:p>
    <w:p>
      <w:pPr>
        <w:pStyle w:val="BodyText"/>
      </w:pPr>
      <w:r>
        <w:t xml:space="preserve">Shakudo. (z.d.).</w:t>
      </w:r>
      <w:r>
        <w:t xml:space="preserve"> </w:t>
      </w:r>
      <w:r>
        <w:rPr>
          <w:i/>
          <w:iCs/>
        </w:rPr>
        <w:t xml:space="preserve">Healthcare Data Stack: A Guide to Building a Modern Data Stack.</w:t>
      </w:r>
      <w:r>
        <w:t xml:space="preserve"> </w:t>
      </w:r>
      <w:hyperlink r:id="rId83">
        <w:r>
          <w:rPr>
            <w:rStyle w:val="Hyperlink"/>
          </w:rPr>
          <w:t xml:space="preserve">https://www.shakudo.io/blog/healthcare-modern-data-stack-guide</w:t>
        </w:r>
      </w:hyperlink>
    </w:p>
    <w:p>
      <w:pPr>
        <w:pStyle w:val="BodyText"/>
      </w:pPr>
    </w:p>
    <w:p>
      <w:pPr>
        <w:pStyle w:val="BodyText"/>
      </w:pPr>
      <w:r>
        <w:t xml:space="preserve">Stichtingoprichten.nl. (z.d.).</w:t>
      </w:r>
      <w:r>
        <w:t xml:space="preserve"> </w:t>
      </w:r>
      <w:r>
        <w:rPr>
          <w:i/>
          <w:iCs/>
        </w:rPr>
        <w:t xml:space="preserve">Statuten vereniging.</w:t>
      </w:r>
      <w:r>
        <w:t xml:space="preserve"> </w:t>
      </w:r>
      <w:hyperlink r:id="rId84">
        <w:r>
          <w:rPr>
            <w:rStyle w:val="Hyperlink"/>
          </w:rPr>
          <w:t xml:space="preserve">https://www.stichtingoprichten.nl/statuten-vereniging/</w:t>
        </w:r>
      </w:hyperlink>
    </w:p>
    <w:p>
      <w:pPr>
        <w:pStyle w:val="BodyText"/>
      </w:pPr>
    </w:p>
    <w:p>
      <w:pPr>
        <w:pStyle w:val="BodyText"/>
      </w:pPr>
      <w:r>
        <w:t xml:space="preserve">SURF. (z.d.).</w:t>
      </w:r>
      <w:r>
        <w:t xml:space="preserve"> </w:t>
      </w:r>
      <w:r>
        <w:rPr>
          <w:i/>
          <w:iCs/>
        </w:rPr>
        <w:t xml:space="preserve">De juridische status van ruwe data: een wegwijzer voor de onderzoekspraktijk.</w:t>
      </w:r>
      <w:r>
        <w:t xml:space="preserve"> </w:t>
      </w:r>
      <w:hyperlink r:id="rId85">
        <w:r>
          <w:rPr>
            <w:rStyle w:val="Hyperlink"/>
          </w:rPr>
          <w:t xml:space="preserve">https://www.surf.nl/rapport-de-juridische-status-van-ruwe-data-een-wegwijzer-voor-de-onderzoekspraktijk</w:t>
        </w:r>
      </w:hyperlink>
    </w:p>
    <w:p>
      <w:pPr>
        <w:pStyle w:val="BodyText"/>
      </w:pPr>
    </w:p>
    <w:p>
      <w:pPr>
        <w:pStyle w:val="BodyText"/>
      </w:pPr>
      <w:r>
        <w:t xml:space="preserve">Teradata. (2018).</w:t>
      </w:r>
      <w:r>
        <w:t xml:space="preserve"> </w:t>
      </w:r>
      <w:r>
        <w:rPr>
          <w:i/>
          <w:iCs/>
        </w:rPr>
        <w:t xml:space="preserve">Requests - Teradata Data Lab.</w:t>
      </w:r>
      <w:r>
        <w:t xml:space="preserve"> </w:t>
      </w:r>
      <w:hyperlink r:id="rId86">
        <w:r>
          <w:rPr>
            <w:rStyle w:val="Hyperlink"/>
          </w:rPr>
          <w:t xml:space="preserve">https://docs.teradata.com/r/Teradata-Data-Lab-User-Guide/June-2018/Managing-Requests-and-Approvals/Requests</w:t>
        </w:r>
      </w:hyperlink>
    </w:p>
    <w:p>
      <w:pPr>
        <w:pStyle w:val="BodyText"/>
      </w:pPr>
    </w:p>
    <w:p>
      <w:pPr>
        <w:pStyle w:val="BodyText"/>
      </w:pPr>
      <w:r>
        <w:t xml:space="preserve">The University of Arizona. (z.d.).</w:t>
      </w:r>
      <w:r>
        <w:t xml:space="preserve"> </w:t>
      </w:r>
      <w:r>
        <w:rPr>
          <w:i/>
          <w:iCs/>
        </w:rPr>
        <w:t xml:space="preserve">Code of conduct.</w:t>
      </w:r>
      <w:r>
        <w:t xml:space="preserve"> </w:t>
      </w:r>
      <w:hyperlink r:id="rId87">
        <w:r>
          <w:rPr>
            <w:rStyle w:val="Hyperlink"/>
          </w:rPr>
          <w:t xml:space="preserve">https://datascience.arizona.edu/education/data-science-fellows/dsf-code-conduct</w:t>
        </w:r>
      </w:hyperlink>
    </w:p>
    <w:p>
      <w:pPr>
        <w:pStyle w:val="BodyText"/>
      </w:pPr>
    </w:p>
    <w:p>
      <w:pPr>
        <w:pStyle w:val="BodyText"/>
      </w:pPr>
      <w:r>
        <w:t xml:space="preserve">Tilburg University. (z.d.).</w:t>
      </w:r>
      <w:r>
        <w:t xml:space="preserve"> </w:t>
      </w:r>
      <w:r>
        <w:rPr>
          <w:i/>
          <w:iCs/>
        </w:rPr>
        <w:t xml:space="preserve">Data Lab.</w:t>
      </w:r>
      <w:r>
        <w:t xml:space="preserve"> </w:t>
      </w:r>
      <w:hyperlink r:id="rId88">
        <w:r>
          <w:rPr>
            <w:rStyle w:val="Hyperlink"/>
          </w:rPr>
          <w:t xml:space="preserve">https://www.tilburguniversity.edu/nl/campus/universiteitsbibliotheek/informatie-zoeken/financiele-bedrijfsgegevens/datalab</w:t>
        </w:r>
      </w:hyperlink>
    </w:p>
    <w:p>
      <w:pPr>
        <w:pStyle w:val="BodyText"/>
      </w:pPr>
    </w:p>
    <w:p>
      <w:pPr>
        <w:pStyle w:val="BodyText"/>
      </w:pPr>
      <w:r>
        <w:t xml:space="preserve">TvPO. (z.d.).</w:t>
      </w:r>
      <w:r>
        <w:t xml:space="preserve"> </w:t>
      </w:r>
      <w:r>
        <w:rPr>
          <w:i/>
          <w:iCs/>
        </w:rPr>
        <w:t xml:space="preserve">Best practices interprofessionele samenwerking.</w:t>
      </w:r>
      <w:r>
        <w:t xml:space="preserve"> </w:t>
      </w:r>
      <w:hyperlink r:id="rId89">
        <w:r>
          <w:rPr>
            <w:rStyle w:val="Hyperlink"/>
          </w:rPr>
          <w:t xml:space="preserve">https://www.tvpo.nl/best-practices-interprofessionele-samenwerking/</w:t>
        </w:r>
      </w:hyperlink>
    </w:p>
    <w:p>
      <w:pPr>
        <w:pStyle w:val="BodyText"/>
      </w:pPr>
    </w:p>
    <w:p>
      <w:pPr>
        <w:pStyle w:val="BodyText"/>
      </w:pPr>
      <w:r>
        <w:t xml:space="preserve">Universiteit Gent. (2020).</w:t>
      </w:r>
      <w:r>
        <w:t xml:space="preserve"> </w:t>
      </w:r>
      <w:r>
        <w:rPr>
          <w:i/>
          <w:iCs/>
        </w:rPr>
        <w:t xml:space="preserve">HR ANALYTICS EN PRIVACY IN TIJDEN VAN BIG DATA.</w:t>
      </w:r>
      <w:r>
        <w:t xml:space="preserve"> </w:t>
      </w:r>
      <w:hyperlink r:id="rId90">
        <w:r>
          <w:rPr>
            <w:rStyle w:val="Hyperlink"/>
          </w:rPr>
          <w:t xml:space="preserve">https://libstore.ugent.be/fulltxt/RUG01/002/837/353/RUG01-002837353_2020_0001_AC.pdf</w:t>
        </w:r>
      </w:hyperlink>
    </w:p>
    <w:p>
      <w:pPr>
        <w:pStyle w:val="BodyText"/>
      </w:pPr>
    </w:p>
    <w:p>
      <w:pPr>
        <w:pStyle w:val="BodyText"/>
      </w:pPr>
      <w:r>
        <w:t xml:space="preserve">University of Ottawa. (2022).</w:t>
      </w:r>
      <w:r>
        <w:t xml:space="preserve"> </w:t>
      </w:r>
      <w:r>
        <w:rPr>
          <w:i/>
          <w:iCs/>
        </w:rPr>
        <w:t xml:space="preserve">SHAPING OUR FUTURE SELVES.</w:t>
      </w:r>
      <w:r>
        <w:t xml:space="preserve"> </w:t>
      </w:r>
      <w:hyperlink r:id="rId91">
        <w:r>
          <w:rPr>
            <w:rStyle w:val="Hyperlink"/>
          </w:rPr>
          <w:t xml:space="preserve">https://www.uottawa.ca/research-innovation/sites/g/files/bhrskd326/files/2022-08/life_research_institute_charter_2019_10_24.pdf</w:t>
        </w:r>
      </w:hyperlink>
    </w:p>
    <w:p>
      <w:pPr>
        <w:pStyle w:val="BodyText"/>
      </w:pPr>
    </w:p>
    <w:p>
      <w:pPr>
        <w:pStyle w:val="BodyText"/>
      </w:pPr>
      <w:r>
        <w:t xml:space="preserve">Vereniging van Rekenkamers. (z.d.).</w:t>
      </w:r>
      <w:r>
        <w:t xml:space="preserve"> </w:t>
      </w:r>
      <w:r>
        <w:rPr>
          <w:i/>
          <w:iCs/>
        </w:rPr>
        <w:t xml:space="preserve">Rekenkameronderzoek en publicaties: Reglement van orde.</w:t>
      </w:r>
      <w:r>
        <w:t xml:space="preserve"> </w:t>
      </w:r>
      <w:hyperlink r:id="rId92">
        <w:r>
          <w:rPr>
            <w:rStyle w:val="Hyperlink"/>
          </w:rPr>
          <w:t xml:space="preserve">https://www.rekenkamers.nl/publicatie/11430/reglement-van-orde/</w:t>
        </w:r>
      </w:hyperlink>
    </w:p>
    <w:p>
      <w:pPr>
        <w:pStyle w:val="BodyText"/>
      </w:pPr>
    </w:p>
    <w:p>
      <w:pPr>
        <w:pStyle w:val="BodyText"/>
      </w:pPr>
      <w:r>
        <w:t xml:space="preserve">ZonMw. (z.d.).</w:t>
      </w:r>
      <w:r>
        <w:t xml:space="preserve"> </w:t>
      </w:r>
      <w:r>
        <w:rPr>
          <w:i/>
          <w:iCs/>
        </w:rPr>
        <w:t xml:space="preserve">Multidisciplinaire samenwerking in de eerste lijn.</w:t>
      </w:r>
      <w:r>
        <w:t xml:space="preserve"> </w:t>
      </w:r>
      <w:hyperlink r:id="rId93">
        <w:r>
          <w:rPr>
            <w:rStyle w:val="Hyperlink"/>
          </w:rPr>
          <w:t xml:space="preserve">https://www.zonmw.nl/nl/artikel/multidisciplinaire-samenwerking-de-eerste-lijn</w:t>
        </w:r>
      </w:hyperlink>
    </w:p>
    <w:p>
      <w:pPr>
        <w:pStyle w:val="BodyText"/>
      </w:pPr>
    </w:p>
    <w:p>
      <w:pPr>
        <w:pStyle w:val="BodyText"/>
      </w:pPr>
      <w:r>
        <w:t xml:space="preserve">Zuci Systems. (z.d.).</w:t>
      </w:r>
      <w:r>
        <w:t xml:space="preserve"> </w:t>
      </w:r>
      <w:r>
        <w:rPr>
          <w:i/>
          <w:iCs/>
        </w:rPr>
        <w:t xml:space="preserve">Datawetenschap in de gezondheidszorg: voordelen, strategieën, toepassingen, tools en toekomstige trends.</w:t>
      </w:r>
      <w:r>
        <w:t xml:space="preserve"> </w:t>
      </w:r>
      <w:hyperlink r:id="rId94">
        <w:r>
          <w:rPr>
            <w:rStyle w:val="Hyperlink"/>
          </w:rPr>
          <w:t xml:space="preserve">https://www.zucisystems.com/nl/blog/data-wetenschap-in-gezondheidszorg/</w:t>
        </w:r>
      </w:hyperlink>
    </w:p>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https://ad-ministerie.be/zakelijk/verenigingen/statuten-van-de-vereniging/" TargetMode="External" /><Relationship Type="http://schemas.openxmlformats.org/officeDocument/2006/relationships/hyperlink" Id="rId36" Target="https://adasci.org/cds/ethical-standards-for-chartered-data-scientists-cds/" TargetMode="External" /><Relationship Type="http://schemas.openxmlformats.org/officeDocument/2006/relationships/hyperlink" Id="rId39" Target="https://allea.org/wp-content/uploads/2023/12/The-European-Code-of-Conduct-2023-NL.pdf" TargetMode="External" /><Relationship Type="http://schemas.openxmlformats.org/officeDocument/2006/relationships/hyperlink" Id="rId46" Target="https://beroepseer.nl/wp-content/uploads/2023/08/reglement_scriptieprijs_algemene_rekenkamer.pdf" TargetMode="External" /><Relationship Type="http://schemas.openxmlformats.org/officeDocument/2006/relationships/hyperlink" Id="rId51" Target="https://dama-nl.org/wp-content/uploads/2023/03/DAMA-NL-Data-Science-Governance-Framework-2023.2.pdf" TargetMode="External" /><Relationship Type="http://schemas.openxmlformats.org/officeDocument/2006/relationships/hyperlink" Id="rId87" Target="https://datascience.arizona.edu/education/data-science-fellows/dsf-code-conduct" TargetMode="External" /><Relationship Type="http://schemas.openxmlformats.org/officeDocument/2006/relationships/hyperlink" Id="rId86" Target="https://docs.teradata.com/r/Teradata-Data-Lab-User-Guide/June-2018/Managing-Requests-and-Approvals/Requests" TargetMode="External" /><Relationship Type="http://schemas.openxmlformats.org/officeDocument/2006/relationships/hyperlink" Id="rId58" Target="https://elsi.health-ri.nl/categorieen/gegevensbescherming/waar-vind-ik-meer-informatie-over-de-betekenis-van-de-gdpr-avg" TargetMode="External" /><Relationship Type="http://schemas.openxmlformats.org/officeDocument/2006/relationships/hyperlink" Id="rId9" Target="https://g.co/gemini/share/adff376732ed" TargetMode="External" /><Relationship Type="http://schemas.openxmlformats.org/officeDocument/2006/relationships/hyperlink" Id="rId62" Target="https://gezondenveiligwerken.nl/wp-content/uploads/2024/12/voorbeeld-gedragsregels.pdf" TargetMode="External" /><Relationship Type="http://schemas.openxmlformats.org/officeDocument/2006/relationships/hyperlink" Id="rId63" Target="https://gonxt.nl/blog/de-voor-en-nadelen-van-een-multidisciplinair-team" TargetMode="External" /><Relationship Type="http://schemas.openxmlformats.org/officeDocument/2006/relationships/hyperlink" Id="rId67" Target="https://hrmagazine.be/nl/posts/ethische-vragen-bij-hr-voorspellende-ai" TargetMode="External" /><Relationship Type="http://schemas.openxmlformats.org/officeDocument/2006/relationships/hyperlink" Id="rId60" Target="https://justitie.belgium.be/nl/themas_en_dossiers/vennootschappen_verenigingen_en_stichtingen/verenigingen/vzw/statuten" TargetMode="External" /><Relationship Type="http://schemas.openxmlformats.org/officeDocument/2006/relationships/hyperlink" Id="rId90" Target="https://libstore.ugent.be/fulltxt/RUG01/002/837/353/RUG01-002837353_2020_0001_AC.pdf" TargetMode="External" /><Relationship Type="http://schemas.openxmlformats.org/officeDocument/2006/relationships/hyperlink" Id="rId52" Target="https://medium.com/data-science-collective/the-three-layers-of-the-modern-data-stack-a-practical-guide-an-intro-for-the-uninitiated-3f06a8ba0aeb" TargetMode="External" /><Relationship Type="http://schemas.openxmlformats.org/officeDocument/2006/relationships/hyperlink" Id="rId72" Target="https://ondernemersplein.kvk.nl/bedrijfsvoering/rechtsvormen-en-organisatie/statuten-opstellen-wijzigen-en-opvragen/" TargetMode="External" /><Relationship Type="http://schemas.openxmlformats.org/officeDocument/2006/relationships/hyperlink" Id="rId70" Target="https://pro.katholiekonderwijs.vlaanderen/download/content/4d6496cb-6cf3-4f82-ad40-45005fc55f6b/attachments/2023_02_01_VoorbeeldInternReglementLeersteuncentrumbestuur.docx" TargetMode="External" /><Relationship Type="http://schemas.openxmlformats.org/officeDocument/2006/relationships/hyperlink" Id="rId81" Target="https://quickscan-ipt.nl/wp-content/uploads/2019/09/Best-practives-interprofessionele-samenwerking.pdf" TargetMode="External" /><Relationship Type="http://schemas.openxmlformats.org/officeDocument/2006/relationships/hyperlink" Id="rId37" Target="https://www.aihr.com/blog/data-ethics/" TargetMode="External" /><Relationship Type="http://schemas.openxmlformats.org/officeDocument/2006/relationships/hyperlink" Id="rId38" Target="https://www.allea.org/wp-content/uploads/2018/01/DU_ALLEA_Europese_gedragscode_voor_wetenschappelijke_integriteit.pdf" TargetMode="External" /><Relationship Type="http://schemas.openxmlformats.org/officeDocument/2006/relationships/hyperlink" Id="rId40" Target="https://www.amc.nl/web/leren/master-health-informatics-1/health-informatics/data-science-en-ai-in-de-gezondheidszorg-start-maart.htm" TargetMode="External" /><Relationship Type="http://schemas.openxmlformats.org/officeDocument/2006/relationships/hyperlink" Id="rId41" Target="https://www.autoriteitpersoonsgegevens.nl/" TargetMode="External" /><Relationship Type="http://schemas.openxmlformats.org/officeDocument/2006/relationships/hyperlink" Id="rId42" Target="https://www.autoriteitpersoonsgegevens.nl/themas/basis-avg/avg-algemeen/de-avg-in-het-kort" TargetMode="External" /><Relationship Type="http://schemas.openxmlformats.org/officeDocument/2006/relationships/hyperlink" Id="rId43" Target="https://www.autoriteitpersoonsgegevens.nl/themas/gezondheid/gezondheidsgegevens-gebruiken-en-delen" TargetMode="External" /><Relationship Type="http://schemas.openxmlformats.org/officeDocument/2006/relationships/hyperlink" Id="rId44" Target="https://www.autoriteitpersoonsgegevens.nl/themas/gezondheid/gezondheidsgegevens-gebruiken-en-delen/gezondheidsgegevens-verwerken" TargetMode="External" /><Relationship Type="http://schemas.openxmlformats.org/officeDocument/2006/relationships/hyperlink" Id="rId45" Target="https://www.avg-support.nl/nieuws/gdpr-aan-welke-regels-moet-je-voldoen/" TargetMode="External" /><Relationship Type="http://schemas.openxmlformats.org/officeDocument/2006/relationships/hyperlink" Id="rId47" Target="https://www.businessmanagementdaily.com/69750/the-top-10-hr-analytics-tools-to-use-in-2023/" TargetMode="External" /><Relationship Type="http://schemas.openxmlformats.org/officeDocument/2006/relationships/hyperlink" Id="rId49" Target="https://www.bytesnet.nl/groningen-droot/" TargetMode="External" /><Relationship Type="http://schemas.openxmlformats.org/officeDocument/2006/relationships/hyperlink" Id="rId48" Target="https://www.bytesnet.nl/locatie/groningen-droot/" TargetMode="External" /><Relationship Type="http://schemas.openxmlformats.org/officeDocument/2006/relationships/hyperlink" Id="rId50" Target="https://www.cultuurloket.be/sites/default/files/2021-07/Voorbeeld%20intern%20reglement.docx" TargetMode="External" /><Relationship Type="http://schemas.openxmlformats.org/officeDocument/2006/relationships/hyperlink" Id="rId56" Target="https://www.datalab.nl/business-intelligence-business-analytics-of-data-science/" TargetMode="External" /><Relationship Type="http://schemas.openxmlformats.org/officeDocument/2006/relationships/hyperlink" Id="rId53" Target="https://www.datavoorgezondheid.nl/binaries/datavoorgezondheid/documenten/publicaties/2021/01/15/handleiding-aanpak-begeleidingsethiek-voor-ai--digitale-zorg/Handleiding+Aanpak+begeleidingsethiek+voor+AI+in+de+zorg.pdf" TargetMode="External" /><Relationship Type="http://schemas.openxmlformats.org/officeDocument/2006/relationships/hyperlink" Id="rId54" Target="https://www.datavoorgezondheid.nl/binaries/datavoorgezondheid/documenten/publicaties/2024/04/04/tno2024-r10662-generatieve-ai-in-de-nederlandse-zorg-getekend/TNO2024+R10662+Generatieve+AI+in+de+Nederlandse+zorg+getekend.pdf" TargetMode="External" /><Relationship Type="http://schemas.openxmlformats.org/officeDocument/2006/relationships/hyperlink" Id="rId55" Target="https://www.datavoorgezondheid.nl/health-data-acces-body" TargetMode="External" /><Relationship Type="http://schemas.openxmlformats.org/officeDocument/2006/relationships/hyperlink" Id="rId57" Target="https://www.dehaagsehogeschool.nl/onderzoek/onderzoeksondersteuning/wetgeving" TargetMode="External" /><Relationship Type="http://schemas.openxmlformats.org/officeDocument/2006/relationships/hyperlink" Id="rId59" Target="https://www.emerce.nl/wire/onderzoek-helft-nederlandse-bedrijven-gevoelige-data-kwijtgeraakt-afgelopen-jaar" TargetMode="External" /><Relationship Type="http://schemas.openxmlformats.org/officeDocument/2006/relationships/hyperlink" Id="rId61" Target="https://www.fwo.be/nl/ondersteuningsprogramma-s/alle-oproepen/gevestigde-onderzoekers-onderzoeksteams/zware-onderzoeksinfrastructuur/" TargetMode="External" /><Relationship Type="http://schemas.openxmlformats.org/officeDocument/2006/relationships/hyperlink" Id="rId64" Target="https://www.hartwigmedicalfoundation.nl/oog-voor-de-ethische-aspecten-van-het-delen-van-data/" TargetMode="External" /><Relationship Type="http://schemas.openxmlformats.org/officeDocument/2006/relationships/hyperlink" Id="rId65" Target="https://www.hhrinstitute.org/researcher-resources/hhri-operations-management-committee-charter/" TargetMode="External" /><Relationship Type="http://schemas.openxmlformats.org/officeDocument/2006/relationships/hyperlink" Id="rId66" Target="https://www.hogeschoolrotterdam.nl/onderzoek/projecten-en-publicaties/zorginnovatie/zorginnovatie-met-technologie/hr-datalab-healthcare/" TargetMode="External" /><Relationship Type="http://schemas.openxmlformats.org/officeDocument/2006/relationships/hyperlink" Id="rId68" Target="https://www.hrpraktijk.nl/hr-tech/digitalisering/chatgpt-ai-ethische-dilemmas-voor-hr-professionals/" TargetMode="External" /><Relationship Type="http://schemas.openxmlformats.org/officeDocument/2006/relationships/hyperlink" Id="rId69" Target="https://www.ibm.com/think/topics/ai-ethics" TargetMode="External" /><Relationship Type="http://schemas.openxmlformats.org/officeDocument/2006/relationships/hyperlink" Id="rId71" Target="https://www.kvk.nl/starten/de-vereniging/" TargetMode="External" /><Relationship Type="http://schemas.openxmlformats.org/officeDocument/2006/relationships/hyperlink" Id="rId74" Target="https://www.movisie.nl/sites/movisie.nl/files/2019-12/Toolkit-Werken-aan-sociale-veiligheid-bijlage-1.pdf" TargetMode="External" /><Relationship Type="http://schemas.openxmlformats.org/officeDocument/2006/relationships/hyperlink" Id="rId75" Target="https://www.mst.nl/storage_static/2020/05/WETENSCHAP-EN-DE-AVG-IN-DE-STZ_document-in-beweging_16oktober2018_changes-1.pdf" TargetMode="External" /><Relationship Type="http://schemas.openxmlformats.org/officeDocument/2006/relationships/hyperlink" Id="rId73" Target="https://www.mtu.edu/research/about/centers-institutes/establishment-review.html" TargetMode="External" /><Relationship Type="http://schemas.openxmlformats.org/officeDocument/2006/relationships/hyperlink" Id="rId76" Target="https://www.nih.gov/scientific-management-review-board/charter" TargetMode="External" /><Relationship Type="http://schemas.openxmlformats.org/officeDocument/2006/relationships/hyperlink" Id="rId77" Target="https://www.opencultuurdata.nl/2016/05/open-cultuur-data-lab-sessie-juridische-kaders/" TargetMode="External" /><Relationship Type="http://schemas.openxmlformats.org/officeDocument/2006/relationships/hyperlink" Id="rId78" Target="https://www.personio.nl/hr-woordenboek/multidisciplinair-team/" TargetMode="External" /><Relationship Type="http://schemas.openxmlformats.org/officeDocument/2006/relationships/hyperlink" Id="rId79" Target="https://www.policy.pitt.edu/sites/default/files/Charters/Charter_Centers-and-Institutes.pdf" TargetMode="External" /><Relationship Type="http://schemas.openxmlformats.org/officeDocument/2006/relationships/hyperlink" Id="rId80" Target="https://www.pwc.nl/nl/actueel-en-publicaties/diensten-en-sectoren/publieke-sector/algemene-verordening-gegevensbescherming-in-de-zorg.html" TargetMode="External" /><Relationship Type="http://schemas.openxmlformats.org/officeDocument/2006/relationships/hyperlink" Id="rId92" Target="https://www.rekenkamers.nl/publicatie/11430/reglement-van-orde/" TargetMode="External" /><Relationship Type="http://schemas.openxmlformats.org/officeDocument/2006/relationships/hyperlink" Id="rId82" Target="https://www.rug.nl/about-ug/policy-and-strategy/privacy-and-security-at-the-ug/ps-research" TargetMode="External" /><Relationship Type="http://schemas.openxmlformats.org/officeDocument/2006/relationships/hyperlink" Id="rId83" Target="https://www.shakudo.io/blog/healthcare-modern-data-stack-guide" TargetMode="External" /><Relationship Type="http://schemas.openxmlformats.org/officeDocument/2006/relationships/hyperlink" Id="rId84" Target="https://www.stichtingoprichten.nl/statuten-vereniging/" TargetMode="External" /><Relationship Type="http://schemas.openxmlformats.org/officeDocument/2006/relationships/hyperlink" Id="rId85" Target="https://www.surf.nl/rapport-de-juridische-status-van-ruwe-data-een-wegwijzer-voor-de-onderzoekspraktijk" TargetMode="External" /><Relationship Type="http://schemas.openxmlformats.org/officeDocument/2006/relationships/hyperlink" Id="rId88" Target="https://www.tilburguniversity.edu/nl/campus/universiteitsbibliotheek/informatie-zoeken/financiele-bedrijfsgegevens/datalab" TargetMode="External" /><Relationship Type="http://schemas.openxmlformats.org/officeDocument/2006/relationships/hyperlink" Id="rId89" Target="https://www.tvpo.nl/best-practices-interprofessionele-samenwerking/" TargetMode="External" /><Relationship Type="http://schemas.openxmlformats.org/officeDocument/2006/relationships/hyperlink" Id="rId91" Target="https://www.uottawa.ca/research-innovation/sites/g/files/bhrskd326/files/2022-08/life_research_institute_charter_2019_10_24.pdf" TargetMode="External" /><Relationship Type="http://schemas.openxmlformats.org/officeDocument/2006/relationships/hyperlink" Id="rId93" Target="https://www.zonmw.nl/nl/artikel/multidisciplinaire-samenwerking-de-eerste-lijn" TargetMode="External" /><Relationship Type="http://schemas.openxmlformats.org/officeDocument/2006/relationships/hyperlink" Id="rId94" Target="https://www.zucisystems.com/nl/blog/data-wetenschap-in-gezondheidszorg/" TargetMode="External" /></Relationships>
</file>

<file path=word/_rels/footnotes.xml.rels><?xml version="1.0" encoding="UTF-8"?><Relationships xmlns="http://schemas.openxmlformats.org/package/2006/relationships"><Relationship Type="http://schemas.openxmlformats.org/officeDocument/2006/relationships/hyperlink" Id="rId35" Target="https://ad-ministerie.be/zakelijk/verenigingen/statuten-van-de-vereniging/" TargetMode="External" /><Relationship Type="http://schemas.openxmlformats.org/officeDocument/2006/relationships/hyperlink" Id="rId36" Target="https://adasci.org/cds/ethical-standards-for-chartered-data-scientists-cds/" TargetMode="External" /><Relationship Type="http://schemas.openxmlformats.org/officeDocument/2006/relationships/hyperlink" Id="rId39" Target="https://allea.org/wp-content/uploads/2023/12/The-European-Code-of-Conduct-2023-NL.pdf" TargetMode="External" /><Relationship Type="http://schemas.openxmlformats.org/officeDocument/2006/relationships/hyperlink" Id="rId46" Target="https://beroepseer.nl/wp-content/uploads/2023/08/reglement_scriptieprijs_algemene_rekenkamer.pdf" TargetMode="External" /><Relationship Type="http://schemas.openxmlformats.org/officeDocument/2006/relationships/hyperlink" Id="rId51" Target="https://dama-nl.org/wp-content/uploads/2023/03/DAMA-NL-Data-Science-Governance-Framework-2023.2.pdf" TargetMode="External" /><Relationship Type="http://schemas.openxmlformats.org/officeDocument/2006/relationships/hyperlink" Id="rId87" Target="https://datascience.arizona.edu/education/data-science-fellows/dsf-code-conduct" TargetMode="External" /><Relationship Type="http://schemas.openxmlformats.org/officeDocument/2006/relationships/hyperlink" Id="rId86" Target="https://docs.teradata.com/r/Teradata-Data-Lab-User-Guide/June-2018/Managing-Requests-and-Approvals/Requests" TargetMode="External" /><Relationship Type="http://schemas.openxmlformats.org/officeDocument/2006/relationships/hyperlink" Id="rId58" Target="https://elsi.health-ri.nl/categorieen/gegevensbescherming/waar-vind-ik-meer-informatie-over-de-betekenis-van-de-gdpr-avg" TargetMode="External" /><Relationship Type="http://schemas.openxmlformats.org/officeDocument/2006/relationships/hyperlink" Id="rId9" Target="https://g.co/gemini/share/adff376732ed" TargetMode="External" /><Relationship Type="http://schemas.openxmlformats.org/officeDocument/2006/relationships/hyperlink" Id="rId62" Target="https://gezondenveiligwerken.nl/wp-content/uploads/2024/12/voorbeeld-gedragsregels.pdf" TargetMode="External" /><Relationship Type="http://schemas.openxmlformats.org/officeDocument/2006/relationships/hyperlink" Id="rId63" Target="https://gonxt.nl/blog/de-voor-en-nadelen-van-een-multidisciplinair-team" TargetMode="External" /><Relationship Type="http://schemas.openxmlformats.org/officeDocument/2006/relationships/hyperlink" Id="rId67" Target="https://hrmagazine.be/nl/posts/ethische-vragen-bij-hr-voorspellende-ai" TargetMode="External" /><Relationship Type="http://schemas.openxmlformats.org/officeDocument/2006/relationships/hyperlink" Id="rId60" Target="https://justitie.belgium.be/nl/themas_en_dossiers/vennootschappen_verenigingen_en_stichtingen/verenigingen/vzw/statuten" TargetMode="External" /><Relationship Type="http://schemas.openxmlformats.org/officeDocument/2006/relationships/hyperlink" Id="rId90" Target="https://libstore.ugent.be/fulltxt/RUG01/002/837/353/RUG01-002837353_2020_0001_AC.pdf" TargetMode="External" /><Relationship Type="http://schemas.openxmlformats.org/officeDocument/2006/relationships/hyperlink" Id="rId52" Target="https://medium.com/data-science-collective/the-three-layers-of-the-modern-data-stack-a-practical-guide-an-intro-for-the-uninitiated-3f06a8ba0aeb" TargetMode="External" /><Relationship Type="http://schemas.openxmlformats.org/officeDocument/2006/relationships/hyperlink" Id="rId72" Target="https://ondernemersplein.kvk.nl/bedrijfsvoering/rechtsvormen-en-organisatie/statuten-opstellen-wijzigen-en-opvragen/" TargetMode="External" /><Relationship Type="http://schemas.openxmlformats.org/officeDocument/2006/relationships/hyperlink" Id="rId70" Target="https://pro.katholiekonderwijs.vlaanderen/download/content/4d6496cb-6cf3-4f82-ad40-45005fc55f6b/attachments/2023_02_01_VoorbeeldInternReglementLeersteuncentrumbestuur.docx" TargetMode="External" /><Relationship Type="http://schemas.openxmlformats.org/officeDocument/2006/relationships/hyperlink" Id="rId81" Target="https://quickscan-ipt.nl/wp-content/uploads/2019/09/Best-practives-interprofessionele-samenwerking.pdf" TargetMode="External" /><Relationship Type="http://schemas.openxmlformats.org/officeDocument/2006/relationships/hyperlink" Id="rId37" Target="https://www.aihr.com/blog/data-ethics/" TargetMode="External" /><Relationship Type="http://schemas.openxmlformats.org/officeDocument/2006/relationships/hyperlink" Id="rId38" Target="https://www.allea.org/wp-content/uploads/2018/01/DU_ALLEA_Europese_gedragscode_voor_wetenschappelijke_integriteit.pdf" TargetMode="External" /><Relationship Type="http://schemas.openxmlformats.org/officeDocument/2006/relationships/hyperlink" Id="rId40" Target="https://www.amc.nl/web/leren/master-health-informatics-1/health-informatics/data-science-en-ai-in-de-gezondheidszorg-start-maart.htm" TargetMode="External" /><Relationship Type="http://schemas.openxmlformats.org/officeDocument/2006/relationships/hyperlink" Id="rId41" Target="https://www.autoriteitpersoonsgegevens.nl/" TargetMode="External" /><Relationship Type="http://schemas.openxmlformats.org/officeDocument/2006/relationships/hyperlink" Id="rId42" Target="https://www.autoriteitpersoonsgegevens.nl/themas/basis-avg/avg-algemeen/de-avg-in-het-kort" TargetMode="External" /><Relationship Type="http://schemas.openxmlformats.org/officeDocument/2006/relationships/hyperlink" Id="rId43" Target="https://www.autoriteitpersoonsgegevens.nl/themas/gezondheid/gezondheidsgegevens-gebruiken-en-delen" TargetMode="External" /><Relationship Type="http://schemas.openxmlformats.org/officeDocument/2006/relationships/hyperlink" Id="rId44" Target="https://www.autoriteitpersoonsgegevens.nl/themas/gezondheid/gezondheidsgegevens-gebruiken-en-delen/gezondheidsgegevens-verwerken" TargetMode="External" /><Relationship Type="http://schemas.openxmlformats.org/officeDocument/2006/relationships/hyperlink" Id="rId45" Target="https://www.avg-support.nl/nieuws/gdpr-aan-welke-regels-moet-je-voldoen/" TargetMode="External" /><Relationship Type="http://schemas.openxmlformats.org/officeDocument/2006/relationships/hyperlink" Id="rId47" Target="https://www.businessmanagementdaily.com/69750/the-top-10-hr-analytics-tools-to-use-in-2023/" TargetMode="External" /><Relationship Type="http://schemas.openxmlformats.org/officeDocument/2006/relationships/hyperlink" Id="rId49" Target="https://www.bytesnet.nl/groningen-droot/" TargetMode="External" /><Relationship Type="http://schemas.openxmlformats.org/officeDocument/2006/relationships/hyperlink" Id="rId48" Target="https://www.bytesnet.nl/locatie/groningen-droot/" TargetMode="External" /><Relationship Type="http://schemas.openxmlformats.org/officeDocument/2006/relationships/hyperlink" Id="rId50" Target="https://www.cultuurloket.be/sites/default/files/2021-07/Voorbeeld%20intern%20reglement.docx" TargetMode="External" /><Relationship Type="http://schemas.openxmlformats.org/officeDocument/2006/relationships/hyperlink" Id="rId56" Target="https://www.datalab.nl/business-intelligence-business-analytics-of-data-science/" TargetMode="External" /><Relationship Type="http://schemas.openxmlformats.org/officeDocument/2006/relationships/hyperlink" Id="rId53" Target="https://www.datavoorgezondheid.nl/binaries/datavoorgezondheid/documenten/publicaties/2021/01/15/handleiding-aanpak-begeleidingsethiek-voor-ai--digitale-zorg/Handleiding+Aanpak+begeleidingsethiek+voor+AI+in+de+zorg.pdf" TargetMode="External" /><Relationship Type="http://schemas.openxmlformats.org/officeDocument/2006/relationships/hyperlink" Id="rId54" Target="https://www.datavoorgezondheid.nl/binaries/datavoorgezondheid/documenten/publicaties/2024/04/04/tno2024-r10662-generatieve-ai-in-de-nederlandse-zorg-getekend/TNO2024+R10662+Generatieve+AI+in+de+Nederlandse+zorg+getekend.pdf" TargetMode="External" /><Relationship Type="http://schemas.openxmlformats.org/officeDocument/2006/relationships/hyperlink" Id="rId55" Target="https://www.datavoorgezondheid.nl/health-data-acces-body" TargetMode="External" /><Relationship Type="http://schemas.openxmlformats.org/officeDocument/2006/relationships/hyperlink" Id="rId57" Target="https://www.dehaagsehogeschool.nl/onderzoek/onderzoeksondersteuning/wetgeving" TargetMode="External" /><Relationship Type="http://schemas.openxmlformats.org/officeDocument/2006/relationships/hyperlink" Id="rId59" Target="https://www.emerce.nl/wire/onderzoek-helft-nederlandse-bedrijven-gevoelige-data-kwijtgeraakt-afgelopen-jaar" TargetMode="External" /><Relationship Type="http://schemas.openxmlformats.org/officeDocument/2006/relationships/hyperlink" Id="rId61" Target="https://www.fwo.be/nl/ondersteuningsprogramma-s/alle-oproepen/gevestigde-onderzoekers-onderzoeksteams/zware-onderzoeksinfrastructuur/" TargetMode="External" /><Relationship Type="http://schemas.openxmlformats.org/officeDocument/2006/relationships/hyperlink" Id="rId64" Target="https://www.hartwigmedicalfoundation.nl/oog-voor-de-ethische-aspecten-van-het-delen-van-data/" TargetMode="External" /><Relationship Type="http://schemas.openxmlformats.org/officeDocument/2006/relationships/hyperlink" Id="rId65" Target="https://www.hhrinstitute.org/researcher-resources/hhri-operations-management-committee-charter/" TargetMode="External" /><Relationship Type="http://schemas.openxmlformats.org/officeDocument/2006/relationships/hyperlink" Id="rId66" Target="https://www.hogeschoolrotterdam.nl/onderzoek/projecten-en-publicaties/zorginnovatie/zorginnovatie-met-technologie/hr-datalab-healthcare/" TargetMode="External" /><Relationship Type="http://schemas.openxmlformats.org/officeDocument/2006/relationships/hyperlink" Id="rId68" Target="https://www.hrpraktijk.nl/hr-tech/digitalisering/chatgpt-ai-ethische-dilemmas-voor-hr-professionals/" TargetMode="External" /><Relationship Type="http://schemas.openxmlformats.org/officeDocument/2006/relationships/hyperlink" Id="rId69" Target="https://www.ibm.com/think/topics/ai-ethics" TargetMode="External" /><Relationship Type="http://schemas.openxmlformats.org/officeDocument/2006/relationships/hyperlink" Id="rId71" Target="https://www.kvk.nl/starten/de-vereniging/" TargetMode="External" /><Relationship Type="http://schemas.openxmlformats.org/officeDocument/2006/relationships/hyperlink" Id="rId74" Target="https://www.movisie.nl/sites/movisie.nl/files/2019-12/Toolkit-Werken-aan-sociale-veiligheid-bijlage-1.pdf" TargetMode="External" /><Relationship Type="http://schemas.openxmlformats.org/officeDocument/2006/relationships/hyperlink" Id="rId75" Target="https://www.mst.nl/storage_static/2020/05/WETENSCHAP-EN-DE-AVG-IN-DE-STZ_document-in-beweging_16oktober2018_changes-1.pdf" TargetMode="External" /><Relationship Type="http://schemas.openxmlformats.org/officeDocument/2006/relationships/hyperlink" Id="rId73" Target="https://www.mtu.edu/research/about/centers-institutes/establishment-review.html" TargetMode="External" /><Relationship Type="http://schemas.openxmlformats.org/officeDocument/2006/relationships/hyperlink" Id="rId76" Target="https://www.nih.gov/scientific-management-review-board/charter" TargetMode="External" /><Relationship Type="http://schemas.openxmlformats.org/officeDocument/2006/relationships/hyperlink" Id="rId77" Target="https://www.opencultuurdata.nl/2016/05/open-cultuur-data-lab-sessie-juridische-kaders/" TargetMode="External" /><Relationship Type="http://schemas.openxmlformats.org/officeDocument/2006/relationships/hyperlink" Id="rId78" Target="https://www.personio.nl/hr-woordenboek/multidisciplinair-team/" TargetMode="External" /><Relationship Type="http://schemas.openxmlformats.org/officeDocument/2006/relationships/hyperlink" Id="rId79" Target="https://www.policy.pitt.edu/sites/default/files/Charters/Charter_Centers-and-Institutes.pdf" TargetMode="External" /><Relationship Type="http://schemas.openxmlformats.org/officeDocument/2006/relationships/hyperlink" Id="rId80" Target="https://www.pwc.nl/nl/actueel-en-publicaties/diensten-en-sectoren/publieke-sector/algemene-verordening-gegevensbescherming-in-de-zorg.html" TargetMode="External" /><Relationship Type="http://schemas.openxmlformats.org/officeDocument/2006/relationships/hyperlink" Id="rId92" Target="https://www.rekenkamers.nl/publicatie/11430/reglement-van-orde/" TargetMode="External" /><Relationship Type="http://schemas.openxmlformats.org/officeDocument/2006/relationships/hyperlink" Id="rId82" Target="https://www.rug.nl/about-ug/policy-and-strategy/privacy-and-security-at-the-ug/ps-research" TargetMode="External" /><Relationship Type="http://schemas.openxmlformats.org/officeDocument/2006/relationships/hyperlink" Id="rId83" Target="https://www.shakudo.io/blog/healthcare-modern-data-stack-guide" TargetMode="External" /><Relationship Type="http://schemas.openxmlformats.org/officeDocument/2006/relationships/hyperlink" Id="rId84" Target="https://www.stichtingoprichten.nl/statuten-vereniging/" TargetMode="External" /><Relationship Type="http://schemas.openxmlformats.org/officeDocument/2006/relationships/hyperlink" Id="rId85" Target="https://www.surf.nl/rapport-de-juridische-status-van-ruwe-data-een-wegwijzer-voor-de-onderzoekspraktijk" TargetMode="External" /><Relationship Type="http://schemas.openxmlformats.org/officeDocument/2006/relationships/hyperlink" Id="rId88" Target="https://www.tilburguniversity.edu/nl/campus/universiteitsbibliotheek/informatie-zoeken/financiele-bedrijfsgegevens/datalab" TargetMode="External" /><Relationship Type="http://schemas.openxmlformats.org/officeDocument/2006/relationships/hyperlink" Id="rId89" Target="https://www.tvpo.nl/best-practices-interprofessionele-samenwerking/" TargetMode="External" /><Relationship Type="http://schemas.openxmlformats.org/officeDocument/2006/relationships/hyperlink" Id="rId91" Target="https://www.uottawa.ca/research-innovation/sites/g/files/bhrskd326/files/2022-08/life_research_institute_charter_2019_10_24.pdf" TargetMode="External" /><Relationship Type="http://schemas.openxmlformats.org/officeDocument/2006/relationships/hyperlink" Id="rId93" Target="https://www.zonmw.nl/nl/artikel/multidisciplinaire-samenwerking-de-eerste-lijn" TargetMode="External" /><Relationship Type="http://schemas.openxmlformats.org/officeDocument/2006/relationships/hyperlink" Id="rId94" Target="https://www.zucisystems.com/nl/blog/data-wetenschap-in-gezondheidsz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2026-04-08T15:16:44Z</dcterms:created>
  <dcterms:modified xsi:type="dcterms:W3CDTF">2026-04-08T15:16:44Z</dcterms:modified>
</cp:coreProperties>
</file>

<file path=docProps/custom.xml><?xml version="1.0" encoding="utf-8"?>
<Properties xmlns="http://schemas.openxmlformats.org/officeDocument/2006/custom-properties" xmlns:vt="http://schemas.openxmlformats.org/officeDocument/2006/docPropsVTypes"/>
</file>